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AB4D6">
      <w:pPr>
        <w:widowControl/>
        <w:jc w:val="left"/>
        <w:rPr>
          <w:rFonts w:hint="default" w:ascii="宋体" w:hAnsi="宋体" w:eastAsia="宋体" w:cs="Times New Roman"/>
          <w:b/>
          <w:bCs/>
          <w:spacing w:val="10"/>
          <w:kern w:val="0"/>
          <w:sz w:val="28"/>
          <w:szCs w:val="28"/>
          <w:lang w:val="en-US" w:eastAsia="zh-CN"/>
        </w:rPr>
      </w:pPr>
      <w:r>
        <w:rPr>
          <w:rFonts w:hint="eastAsia" w:ascii="宋体" w:hAnsi="宋体" w:eastAsia="宋体" w:cs="Times New Roman"/>
          <w:b/>
          <w:bCs/>
          <w:spacing w:val="10"/>
          <w:kern w:val="0"/>
          <w:sz w:val="28"/>
          <w:szCs w:val="28"/>
        </w:rPr>
        <w:t>报告编号：</w:t>
      </w:r>
      <w:r>
        <w:rPr>
          <w:rFonts w:hint="eastAsia" w:ascii="宋体" w:hAnsi="宋体" w:cs="Times New Roman"/>
          <w:b/>
          <w:bCs/>
          <w:spacing w:val="10"/>
          <w:kern w:val="0"/>
          <w:sz w:val="28"/>
          <w:szCs w:val="28"/>
          <w:lang w:val="en-US" w:eastAsia="zh-CN"/>
        </w:rPr>
        <w:t>DE-202408</w:t>
      </w:r>
    </w:p>
    <w:p w14:paraId="11980EB4">
      <w:pPr>
        <w:widowControl/>
        <w:spacing w:line="408" w:lineRule="auto"/>
        <w:jc w:val="center"/>
        <w:rPr>
          <w:rFonts w:hint="eastAsia" w:ascii="宋体" w:hAnsi="宋体" w:eastAsia="宋体" w:cs="Times New Roman"/>
          <w:b/>
          <w:bCs/>
          <w:kern w:val="0"/>
          <w:sz w:val="52"/>
          <w:szCs w:val="52"/>
        </w:rPr>
      </w:pPr>
    </w:p>
    <w:p w14:paraId="489756DA">
      <w:pPr>
        <w:widowControl/>
        <w:spacing w:line="408" w:lineRule="auto"/>
        <w:jc w:val="center"/>
        <w:outlineLvl w:val="9"/>
        <w:rPr>
          <w:rFonts w:hint="eastAsia" w:ascii="宋体" w:hAnsi="宋体" w:eastAsia="宋体" w:cs="Times New Roman"/>
          <w:b/>
          <w:bCs/>
          <w:kern w:val="0"/>
          <w:sz w:val="52"/>
          <w:szCs w:val="52"/>
        </w:rPr>
      </w:pPr>
      <w:r>
        <w:rPr>
          <w:rFonts w:hint="eastAsia" w:ascii="宋体" w:hAnsi="宋体" w:eastAsia="宋体" w:cs="Times New Roman"/>
          <w:b/>
          <w:bCs/>
          <w:kern w:val="0"/>
          <w:sz w:val="52"/>
          <w:szCs w:val="52"/>
        </w:rPr>
        <w:t>湖北省企业安全生产标准化</w:t>
      </w:r>
    </w:p>
    <w:p w14:paraId="590F3DCB">
      <w:pPr>
        <w:widowControl/>
        <w:jc w:val="center"/>
        <w:rPr>
          <w:rFonts w:hint="eastAsia" w:ascii="宋体" w:hAnsi="宋体" w:eastAsia="宋体" w:cs="Times New Roman"/>
          <w:b/>
          <w:bCs/>
          <w:spacing w:val="340"/>
          <w:kern w:val="0"/>
          <w:sz w:val="72"/>
          <w:szCs w:val="72"/>
        </w:rPr>
      </w:pPr>
    </w:p>
    <w:p w14:paraId="5866752F">
      <w:pPr>
        <w:widowControl/>
        <w:jc w:val="center"/>
        <w:rPr>
          <w:rFonts w:hint="eastAsia" w:ascii="宋体" w:hAnsi="宋体" w:eastAsia="宋体" w:cs="Times New Roman"/>
          <w:b/>
          <w:bCs/>
          <w:spacing w:val="340"/>
          <w:kern w:val="0"/>
          <w:sz w:val="72"/>
          <w:szCs w:val="72"/>
        </w:rPr>
      </w:pPr>
    </w:p>
    <w:p w14:paraId="10E02C19">
      <w:pPr>
        <w:widowControl/>
        <w:jc w:val="center"/>
        <w:rPr>
          <w:rFonts w:hint="eastAsia" w:ascii="宋体" w:hAnsi="宋体" w:eastAsia="宋体" w:cs="Times New Roman"/>
          <w:b/>
          <w:bCs/>
          <w:kern w:val="0"/>
          <w:sz w:val="72"/>
          <w:szCs w:val="72"/>
        </w:rPr>
      </w:pPr>
      <w:r>
        <w:rPr>
          <w:rFonts w:hint="eastAsia" w:ascii="宋体" w:hAnsi="宋体" w:eastAsia="宋体" w:cs="Times New Roman"/>
          <w:b/>
          <w:bCs/>
          <w:spacing w:val="340"/>
          <w:kern w:val="0"/>
          <w:sz w:val="72"/>
          <w:szCs w:val="72"/>
        </w:rPr>
        <w:t>自评报</w:t>
      </w:r>
      <w:r>
        <w:rPr>
          <w:rFonts w:hint="eastAsia" w:ascii="宋体" w:hAnsi="宋体" w:eastAsia="宋体" w:cs="Times New Roman"/>
          <w:b/>
          <w:bCs/>
          <w:kern w:val="0"/>
          <w:sz w:val="72"/>
          <w:szCs w:val="72"/>
        </w:rPr>
        <w:t>告</w:t>
      </w:r>
    </w:p>
    <w:p w14:paraId="4581B05A">
      <w:pPr>
        <w:widowControl/>
        <w:jc w:val="center"/>
        <w:rPr>
          <w:rFonts w:hint="eastAsia" w:ascii="宋体" w:hAnsi="宋体" w:eastAsia="宋体" w:cs="Times New Roman"/>
          <w:b/>
          <w:bCs/>
          <w:kern w:val="0"/>
          <w:sz w:val="72"/>
          <w:szCs w:val="72"/>
        </w:rPr>
      </w:pPr>
    </w:p>
    <w:p w14:paraId="6BB1B7AD">
      <w:pPr>
        <w:widowControl/>
        <w:jc w:val="center"/>
        <w:rPr>
          <w:rFonts w:hint="eastAsia" w:ascii="宋体" w:hAnsi="宋体" w:eastAsia="宋体" w:cs="Times New Roman"/>
          <w:b/>
          <w:bCs/>
          <w:kern w:val="0"/>
          <w:sz w:val="72"/>
          <w:szCs w:val="72"/>
        </w:rPr>
      </w:pPr>
    </w:p>
    <w:p w14:paraId="43C61B6F">
      <w:pPr>
        <w:widowControl/>
        <w:rPr>
          <w:rFonts w:hint="default" w:ascii="仿宋_GB2312" w:eastAsia="宋体" w:cs="Times New Roman"/>
          <w:kern w:val="0"/>
          <w:sz w:val="32"/>
          <w:szCs w:val="32"/>
          <w:u w:val="single"/>
          <w:lang w:val="en-US" w:eastAsia="zh-CN"/>
        </w:rPr>
      </w:pPr>
      <w:r>
        <w:rPr>
          <w:rFonts w:hint="eastAsia" w:ascii="宋体" w:hAnsi="宋体" w:eastAsia="宋体" w:cs="Times New Roman"/>
          <w:kern w:val="0"/>
          <w:sz w:val="32"/>
          <w:szCs w:val="32"/>
        </w:rPr>
        <w:t xml:space="preserve">        申请企业：</w:t>
      </w:r>
      <w:r>
        <w:rPr>
          <w:rFonts w:hint="eastAsia" w:ascii="宋体" w:hAnsi="宋体" w:cs="Times New Roman"/>
          <w:kern w:val="0"/>
          <w:sz w:val="32"/>
          <w:szCs w:val="32"/>
          <w:lang w:val="en-US" w:eastAsia="zh-CN"/>
        </w:rPr>
        <w:t>达诺尔（湖北）微电子材料有限公司</w:t>
      </w:r>
    </w:p>
    <w:p w14:paraId="4E666442">
      <w:pPr>
        <w:widowControl/>
        <w:spacing w:before="156"/>
        <w:ind w:firstLine="1280"/>
        <w:rPr>
          <w:rFonts w:hint="eastAsia" w:ascii="宋体" w:hAnsi="宋体" w:eastAsia="宋体" w:cs="Times New Roman"/>
          <w:kern w:val="0"/>
          <w:sz w:val="32"/>
          <w:szCs w:val="32"/>
        </w:rPr>
      </w:pPr>
      <w:r>
        <w:rPr>
          <w:rFonts w:hint="eastAsia" w:ascii="宋体" w:hAnsi="宋体" w:eastAsia="宋体" w:cs="Times New Roman"/>
          <w:kern w:val="0"/>
          <w:sz w:val="32"/>
          <w:szCs w:val="32"/>
        </w:rPr>
        <w:t>所属行业：危险化学品</w:t>
      </w:r>
      <w:r>
        <w:rPr>
          <w:rFonts w:hint="eastAsia" w:ascii="宋体" w:hAnsi="宋体" w:cs="Times New Roman"/>
          <w:kern w:val="0"/>
          <w:sz w:val="32"/>
          <w:szCs w:val="32"/>
          <w:lang w:val="en-US" w:eastAsia="zh-CN"/>
        </w:rPr>
        <w:t xml:space="preserve"> </w:t>
      </w:r>
      <w:r>
        <w:rPr>
          <w:rFonts w:hint="eastAsia" w:ascii="宋体" w:hAnsi="宋体" w:eastAsia="宋体" w:cs="Times New Roman"/>
          <w:kern w:val="0"/>
          <w:sz w:val="32"/>
          <w:szCs w:val="32"/>
        </w:rPr>
        <w:t>专业: 电子专用材料制造</w:t>
      </w:r>
    </w:p>
    <w:p w14:paraId="76989CB9">
      <w:pPr>
        <w:widowControl/>
        <w:spacing w:before="156"/>
        <w:ind w:firstLine="1280"/>
        <w:rPr>
          <w:rFonts w:hint="eastAsia" w:ascii="宋体" w:hAnsi="宋体" w:eastAsia="宋体" w:cs="Times New Roman"/>
          <w:kern w:val="0"/>
          <w:sz w:val="32"/>
          <w:szCs w:val="32"/>
        </w:rPr>
      </w:pPr>
      <w:r>
        <w:rPr>
          <w:rFonts w:hint="eastAsia" w:ascii="宋体" w:hAnsi="宋体" w:eastAsia="宋体" w:cs="Times New Roman"/>
          <w:kern w:val="0"/>
          <w:sz w:val="32"/>
          <w:szCs w:val="32"/>
        </w:rPr>
        <w:t>自评等级:</w:t>
      </w:r>
      <w:r>
        <w:rPr>
          <w:rFonts w:hint="eastAsia" w:ascii="宋体" w:hAnsi="宋体" w:cs="Times New Roman"/>
          <w:kern w:val="0"/>
          <w:sz w:val="32"/>
          <w:szCs w:val="32"/>
          <w:lang w:val="en-US" w:eastAsia="zh-CN"/>
        </w:rPr>
        <w:t xml:space="preserve"> 三级  </w:t>
      </w:r>
      <w:r>
        <w:rPr>
          <w:rFonts w:hint="eastAsia" w:ascii="宋体" w:hAnsi="宋体" w:eastAsia="宋体" w:cs="Times New Roman"/>
          <w:kern w:val="0"/>
          <w:sz w:val="28"/>
          <w:szCs w:val="28"/>
        </w:rPr>
        <w:t>评审性质：</w:t>
      </w:r>
      <w:r>
        <w:rPr>
          <w:rFonts w:hint="eastAsia" w:ascii="宋体" w:hAnsi="宋体" w:cs="Times New Roman"/>
          <w:kern w:val="0"/>
          <w:sz w:val="28"/>
          <w:szCs w:val="28"/>
          <w:lang w:val="en-US" w:eastAsia="zh-CN"/>
        </w:rPr>
        <w:t xml:space="preserve"> </w:t>
      </w:r>
      <w:r>
        <w:rPr>
          <w:rFonts w:hint="eastAsia" w:ascii="宋体" w:hAnsi="宋体" w:cs="Times New Roman"/>
          <w:kern w:val="0"/>
          <w:sz w:val="28"/>
          <w:szCs w:val="28"/>
          <w:lang w:val="en-US" w:eastAsia="zh-CN"/>
        </w:rPr>
        <w:sym w:font="Wingdings 2" w:char="0052"/>
      </w:r>
      <w:r>
        <w:rPr>
          <w:rFonts w:hint="eastAsia" w:ascii="宋体" w:hAnsi="宋体" w:eastAsia="宋体" w:cs="Times New Roman"/>
          <w:kern w:val="0"/>
          <w:sz w:val="28"/>
          <w:szCs w:val="28"/>
        </w:rPr>
        <w:t>初次</w:t>
      </w:r>
      <w:r>
        <w:rPr>
          <w:rFonts w:hint="eastAsia" w:ascii="宋体" w:hAnsi="宋体" w:cs="Times New Roman"/>
          <w:kern w:val="0"/>
          <w:sz w:val="28"/>
          <w:szCs w:val="28"/>
          <w:lang w:val="en-US" w:eastAsia="zh-CN"/>
        </w:rPr>
        <w:t xml:space="preserve"> </w:t>
      </w:r>
      <w:r>
        <w:rPr>
          <w:rFonts w:hint="eastAsia" w:ascii="宋体" w:hAnsi="宋体" w:cs="Times New Roman"/>
          <w:kern w:val="0"/>
          <w:sz w:val="28"/>
          <w:szCs w:val="28"/>
          <w:lang w:val="en-US" w:eastAsia="zh-CN"/>
        </w:rPr>
        <w:sym w:font="Wingdings 2" w:char="00A3"/>
      </w:r>
      <w:r>
        <w:rPr>
          <w:rFonts w:hint="eastAsia" w:ascii="宋体" w:hAnsi="宋体" w:eastAsia="宋体" w:cs="Times New Roman"/>
          <w:kern w:val="0"/>
          <w:sz w:val="28"/>
          <w:szCs w:val="28"/>
        </w:rPr>
        <w:t>复评</w:t>
      </w:r>
    </w:p>
    <w:p w14:paraId="29C87255">
      <w:pPr>
        <w:widowControl/>
        <w:spacing w:before="156"/>
        <w:ind w:firstLine="1280"/>
        <w:rPr>
          <w:rFonts w:hint="eastAsia" w:ascii="宋体" w:hAnsi="宋体" w:eastAsia="宋体" w:cs="Times New Roman"/>
          <w:kern w:val="0"/>
          <w:sz w:val="32"/>
          <w:szCs w:val="32"/>
          <w:u w:val="single"/>
        </w:rPr>
      </w:pPr>
      <w:r>
        <w:rPr>
          <w:rFonts w:hint="eastAsia" w:ascii="宋体" w:hAnsi="宋体" w:eastAsia="宋体" w:cs="Times New Roman"/>
          <w:kern w:val="0"/>
          <w:sz w:val="32"/>
          <w:szCs w:val="32"/>
        </w:rPr>
        <w:t>自评日期：</w:t>
      </w:r>
      <w:r>
        <w:rPr>
          <w:rFonts w:hint="eastAsia" w:ascii="宋体" w:hAnsi="宋体" w:cs="Times New Roman"/>
          <w:kern w:val="0"/>
          <w:sz w:val="32"/>
          <w:szCs w:val="32"/>
          <w:u w:val="single"/>
          <w:lang w:val="en-US" w:eastAsia="zh-CN"/>
        </w:rPr>
        <w:t>2023</w:t>
      </w:r>
      <w:r>
        <w:rPr>
          <w:rFonts w:hint="eastAsia" w:ascii="宋体" w:hAnsi="宋体" w:eastAsia="宋体" w:cs="Times New Roman"/>
          <w:kern w:val="0"/>
          <w:sz w:val="32"/>
          <w:szCs w:val="32"/>
          <w:u w:val="single"/>
        </w:rPr>
        <w:t>年</w:t>
      </w:r>
      <w:r>
        <w:rPr>
          <w:rFonts w:hint="eastAsia" w:ascii="宋体" w:hAnsi="宋体" w:cs="Times New Roman"/>
          <w:kern w:val="0"/>
          <w:sz w:val="32"/>
          <w:szCs w:val="32"/>
          <w:u w:val="single"/>
          <w:lang w:val="en-US" w:eastAsia="zh-CN"/>
        </w:rPr>
        <w:t>8</w:t>
      </w:r>
      <w:r>
        <w:rPr>
          <w:rFonts w:hint="eastAsia" w:ascii="宋体" w:hAnsi="宋体" w:eastAsia="宋体" w:cs="Times New Roman"/>
          <w:kern w:val="0"/>
          <w:sz w:val="32"/>
          <w:szCs w:val="32"/>
          <w:u w:val="single"/>
        </w:rPr>
        <w:t>月</w:t>
      </w:r>
      <w:r>
        <w:rPr>
          <w:rFonts w:hint="eastAsia" w:ascii="宋体" w:hAnsi="宋体" w:cs="Times New Roman"/>
          <w:kern w:val="0"/>
          <w:sz w:val="32"/>
          <w:szCs w:val="32"/>
          <w:u w:val="single"/>
          <w:lang w:val="en-US" w:eastAsia="zh-CN"/>
        </w:rPr>
        <w:t>20</w:t>
      </w:r>
      <w:r>
        <w:rPr>
          <w:rFonts w:hint="eastAsia" w:ascii="宋体" w:hAnsi="宋体" w:eastAsia="宋体" w:cs="Times New Roman"/>
          <w:kern w:val="0"/>
          <w:sz w:val="32"/>
          <w:szCs w:val="32"/>
          <w:u w:val="single"/>
        </w:rPr>
        <w:t xml:space="preserve">日至 </w:t>
      </w:r>
      <w:r>
        <w:rPr>
          <w:rFonts w:hint="eastAsia" w:ascii="宋体" w:hAnsi="宋体" w:cs="Times New Roman"/>
          <w:kern w:val="0"/>
          <w:sz w:val="32"/>
          <w:szCs w:val="32"/>
          <w:u w:val="single"/>
          <w:lang w:val="en-US" w:eastAsia="zh-CN"/>
        </w:rPr>
        <w:t>2024</w:t>
      </w:r>
      <w:r>
        <w:rPr>
          <w:rFonts w:hint="eastAsia" w:ascii="宋体" w:hAnsi="宋体" w:eastAsia="宋体" w:cs="Times New Roman"/>
          <w:kern w:val="0"/>
          <w:sz w:val="32"/>
          <w:szCs w:val="32"/>
          <w:u w:val="single"/>
        </w:rPr>
        <w:t>年</w:t>
      </w:r>
      <w:r>
        <w:rPr>
          <w:rFonts w:hint="eastAsia" w:ascii="宋体" w:hAnsi="宋体" w:cs="Times New Roman"/>
          <w:kern w:val="0"/>
          <w:sz w:val="32"/>
          <w:szCs w:val="32"/>
          <w:u w:val="single"/>
          <w:lang w:val="en-US" w:eastAsia="zh-CN"/>
        </w:rPr>
        <w:t>8</w:t>
      </w:r>
      <w:r>
        <w:rPr>
          <w:rFonts w:hint="eastAsia" w:ascii="宋体" w:hAnsi="宋体" w:eastAsia="宋体" w:cs="Times New Roman"/>
          <w:kern w:val="0"/>
          <w:sz w:val="32"/>
          <w:szCs w:val="32"/>
          <w:u w:val="single"/>
        </w:rPr>
        <w:t>月</w:t>
      </w:r>
      <w:r>
        <w:rPr>
          <w:rFonts w:hint="eastAsia" w:ascii="宋体" w:hAnsi="宋体" w:cs="Times New Roman"/>
          <w:kern w:val="0"/>
          <w:sz w:val="32"/>
          <w:szCs w:val="32"/>
          <w:u w:val="single"/>
          <w:lang w:val="en-US" w:eastAsia="zh-CN"/>
        </w:rPr>
        <w:t>27</w:t>
      </w:r>
      <w:r>
        <w:rPr>
          <w:rFonts w:hint="eastAsia" w:ascii="宋体" w:hAnsi="宋体" w:eastAsia="宋体" w:cs="Times New Roman"/>
          <w:kern w:val="0"/>
          <w:sz w:val="32"/>
          <w:szCs w:val="32"/>
          <w:u w:val="single"/>
        </w:rPr>
        <w:t>日</w:t>
      </w:r>
    </w:p>
    <w:p w14:paraId="0A19B84B">
      <w:pPr>
        <w:widowControl/>
        <w:spacing w:before="156"/>
        <w:ind w:firstLine="1280"/>
        <w:rPr>
          <w:rFonts w:hint="eastAsia" w:ascii="宋体" w:hAnsi="宋体" w:eastAsia="宋体" w:cs="Times New Roman"/>
          <w:kern w:val="0"/>
          <w:sz w:val="32"/>
          <w:szCs w:val="32"/>
        </w:rPr>
      </w:pPr>
      <w:r>
        <w:rPr>
          <w:rFonts w:hint="eastAsia" w:ascii="宋体" w:hAnsi="宋体" w:eastAsia="宋体" w:cs="Times New Roman"/>
          <w:kern w:val="0"/>
          <w:sz w:val="32"/>
          <w:szCs w:val="32"/>
        </w:rPr>
        <w:t>是否在企业内部公示：</w:t>
      </w:r>
      <w:r>
        <w:rPr>
          <w:rFonts w:hint="eastAsia" w:ascii="宋体" w:hAnsi="宋体" w:cs="Times New Roman"/>
          <w:kern w:val="0"/>
          <w:sz w:val="32"/>
          <w:szCs w:val="32"/>
          <w:lang w:eastAsia="zh-CN"/>
        </w:rPr>
        <w:t>☑</w:t>
      </w:r>
      <w:r>
        <w:rPr>
          <w:rFonts w:hint="eastAsia" w:ascii="宋体" w:hAnsi="宋体" w:eastAsia="宋体" w:cs="Times New Roman"/>
          <w:kern w:val="0"/>
          <w:sz w:val="32"/>
          <w:szCs w:val="32"/>
        </w:rPr>
        <w:t>是     □否</w:t>
      </w:r>
    </w:p>
    <w:p w14:paraId="581FDB21">
      <w:pPr>
        <w:widowControl/>
        <w:spacing w:before="156"/>
        <w:ind w:firstLine="1280"/>
        <w:rPr>
          <w:rFonts w:hint="eastAsia" w:ascii="宋体" w:hAnsi="宋体" w:eastAsia="宋体" w:cs="Times New Roman"/>
          <w:kern w:val="0"/>
          <w:sz w:val="32"/>
          <w:szCs w:val="32"/>
        </w:rPr>
      </w:pPr>
      <w:r>
        <w:rPr>
          <w:rFonts w:hint="eastAsia" w:ascii="宋体" w:hAnsi="宋体" w:eastAsia="宋体" w:cs="Times New Roman"/>
          <w:kern w:val="0"/>
          <w:sz w:val="32"/>
          <w:szCs w:val="32"/>
        </w:rPr>
        <w:t xml:space="preserve">是否申请评审:      </w:t>
      </w:r>
      <w:r>
        <w:rPr>
          <w:rFonts w:hint="eastAsia" w:ascii="宋体" w:hAnsi="宋体" w:cs="Times New Roman"/>
          <w:kern w:val="0"/>
          <w:sz w:val="32"/>
          <w:szCs w:val="32"/>
          <w:lang w:eastAsia="zh-CN"/>
        </w:rPr>
        <w:t>☑</w:t>
      </w:r>
      <w:r>
        <w:rPr>
          <w:rFonts w:hint="eastAsia" w:ascii="宋体" w:hAnsi="宋体" w:eastAsia="宋体" w:cs="Times New Roman"/>
          <w:kern w:val="0"/>
          <w:sz w:val="32"/>
          <w:szCs w:val="32"/>
        </w:rPr>
        <w:t>是     □否</w:t>
      </w:r>
    </w:p>
    <w:p w14:paraId="4104580D">
      <w:pPr>
        <w:widowControl/>
        <w:jc w:val="center"/>
        <w:rPr>
          <w:rFonts w:hint="eastAsia" w:ascii="宋体" w:hAnsi="宋体" w:eastAsia="宋体" w:cs="Times New Roman"/>
          <w:b/>
          <w:bCs/>
          <w:spacing w:val="10"/>
          <w:kern w:val="0"/>
          <w:sz w:val="32"/>
          <w:szCs w:val="32"/>
        </w:rPr>
      </w:pPr>
    </w:p>
    <w:p w14:paraId="02221643">
      <w:pPr>
        <w:widowControl/>
        <w:jc w:val="center"/>
        <w:rPr>
          <w:rFonts w:hint="eastAsia" w:ascii="宋体" w:hAnsi="宋体" w:eastAsia="宋体" w:cs="Times New Roman"/>
          <w:b/>
          <w:bCs/>
          <w:spacing w:val="10"/>
          <w:kern w:val="0"/>
          <w:sz w:val="32"/>
          <w:szCs w:val="32"/>
        </w:rPr>
      </w:pPr>
    </w:p>
    <w:p w14:paraId="5B019488">
      <w:pPr>
        <w:widowControl/>
        <w:jc w:val="center"/>
        <w:outlineLvl w:val="9"/>
        <w:rPr>
          <w:rFonts w:hint="eastAsia" w:ascii="宋体" w:hAnsi="宋体" w:eastAsia="宋体" w:cs="Times New Roman"/>
          <w:kern w:val="0"/>
          <w:sz w:val="32"/>
          <w:szCs w:val="32"/>
        </w:rPr>
      </w:pPr>
      <w:r>
        <w:rPr>
          <w:rFonts w:hint="eastAsia" w:ascii="宋体" w:hAnsi="宋体" w:eastAsia="宋体" w:cs="Times New Roman"/>
          <w:b/>
          <w:bCs/>
          <w:spacing w:val="10"/>
          <w:kern w:val="0"/>
          <w:sz w:val="32"/>
          <w:szCs w:val="32"/>
        </w:rPr>
        <w:t>湖北省安全生产技术协会监制</w:t>
      </w:r>
    </w:p>
    <w:p w14:paraId="0A1D75C7">
      <w:pPr>
        <w:widowControl/>
        <w:spacing w:after="93"/>
        <w:jc w:val="center"/>
        <w:outlineLvl w:val="9"/>
        <w:rPr>
          <w:rFonts w:hint="eastAsia" w:ascii="宋体" w:hAnsi="宋体" w:eastAsia="宋体" w:cs="Times New Roman"/>
          <w:b/>
          <w:bCs/>
          <w:kern w:val="0"/>
          <w:sz w:val="32"/>
          <w:szCs w:val="32"/>
        </w:rPr>
      </w:pPr>
    </w:p>
    <w:p w14:paraId="228B43DF">
      <w:pPr>
        <w:widowControl/>
        <w:spacing w:after="93"/>
        <w:jc w:val="center"/>
        <w:outlineLvl w:val="9"/>
        <w:rPr>
          <w:rFonts w:hint="eastAsia" w:ascii="宋体" w:hAnsi="宋体" w:eastAsia="宋体" w:cs="Times New Roman"/>
          <w:b/>
          <w:bCs/>
          <w:kern w:val="0"/>
          <w:sz w:val="32"/>
          <w:szCs w:val="32"/>
        </w:rPr>
      </w:pPr>
      <w:bookmarkStart w:id="13" w:name="_GoBack"/>
      <w:bookmarkEnd w:id="13"/>
    </w:p>
    <w:p w14:paraId="1615D695">
      <w:pPr>
        <w:widowControl/>
        <w:spacing w:after="93"/>
        <w:jc w:val="center"/>
        <w:outlineLvl w:val="9"/>
        <w:rPr>
          <w:rFonts w:hint="eastAsia" w:ascii="宋体" w:hAnsi="宋体" w:eastAsia="宋体" w:cs="Times New Roman"/>
          <w:b/>
          <w:bCs/>
          <w:kern w:val="0"/>
          <w:sz w:val="32"/>
          <w:szCs w:val="32"/>
        </w:rPr>
      </w:pPr>
    </w:p>
    <w:p w14:paraId="6F29AB07">
      <w:pPr>
        <w:widowControl/>
        <w:spacing w:after="93"/>
        <w:jc w:val="center"/>
        <w:outlineLvl w:val="9"/>
        <w:rPr>
          <w:rFonts w:hint="eastAsia" w:ascii="宋体" w:hAnsi="宋体" w:eastAsia="宋体" w:cs="Times New Roman"/>
          <w:b/>
          <w:bCs/>
          <w:kern w:val="0"/>
          <w:sz w:val="32"/>
          <w:szCs w:val="32"/>
        </w:rPr>
      </w:pPr>
    </w:p>
    <w:p w14:paraId="49ABDC3A">
      <w:pPr>
        <w:widowControl/>
        <w:spacing w:after="93"/>
        <w:jc w:val="center"/>
        <w:outlineLvl w:val="9"/>
        <w:rPr>
          <w:rFonts w:hint="eastAsia" w:ascii="宋体" w:hAnsi="宋体" w:eastAsia="宋体" w:cs="Times New Roman"/>
          <w:b/>
          <w:bCs/>
          <w:kern w:val="0"/>
          <w:sz w:val="32"/>
          <w:szCs w:val="32"/>
        </w:rPr>
      </w:pPr>
    </w:p>
    <w:p w14:paraId="6FEFF8E5">
      <w:pPr>
        <w:widowControl/>
        <w:spacing w:after="93"/>
        <w:jc w:val="center"/>
        <w:outlineLvl w:val="9"/>
        <w:rPr>
          <w:rFonts w:hint="eastAsia" w:ascii="宋体" w:hAnsi="宋体" w:eastAsia="宋体" w:cs="Times New Roman"/>
          <w:b/>
          <w:bCs/>
          <w:kern w:val="0"/>
          <w:sz w:val="32"/>
          <w:szCs w:val="32"/>
        </w:rPr>
      </w:pPr>
      <w:r>
        <w:rPr>
          <w:rFonts w:hint="eastAsia" w:ascii="宋体" w:hAnsi="宋体" w:eastAsia="宋体" w:cs="Times New Roman"/>
          <w:b/>
          <w:bCs/>
          <w:kern w:val="0"/>
          <w:sz w:val="32"/>
          <w:szCs w:val="32"/>
        </w:rPr>
        <w:t xml:space="preserve">      企业基本情况表</w:t>
      </w:r>
    </w:p>
    <w:tbl>
      <w:tblPr>
        <w:tblStyle w:val="13"/>
        <w:tblW w:w="9286" w:type="dxa"/>
        <w:tblInd w:w="0" w:type="dxa"/>
        <w:tblLayout w:type="fixed"/>
        <w:tblCellMar>
          <w:top w:w="0" w:type="dxa"/>
          <w:left w:w="108" w:type="dxa"/>
          <w:bottom w:w="0" w:type="dxa"/>
          <w:right w:w="108" w:type="dxa"/>
        </w:tblCellMar>
      </w:tblPr>
      <w:tblGrid>
        <w:gridCol w:w="917"/>
        <w:gridCol w:w="788"/>
        <w:gridCol w:w="99"/>
        <w:gridCol w:w="1103"/>
        <w:gridCol w:w="282"/>
        <w:gridCol w:w="1311"/>
        <w:gridCol w:w="1714"/>
        <w:gridCol w:w="1428"/>
        <w:gridCol w:w="158"/>
        <w:gridCol w:w="1486"/>
      </w:tblGrid>
      <w:tr w14:paraId="639DC6AD">
        <w:tblPrEx>
          <w:tblCellMar>
            <w:top w:w="0" w:type="dxa"/>
            <w:left w:w="108" w:type="dxa"/>
            <w:bottom w:w="0" w:type="dxa"/>
            <w:right w:w="108" w:type="dxa"/>
          </w:tblCellMar>
        </w:tblPrEx>
        <w:trPr>
          <w:trHeight w:val="531" w:hRule="atLeast"/>
        </w:trPr>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652A7F83">
            <w:pPr>
              <w:widowControl/>
              <w:spacing w:before="46"/>
              <w:jc w:val="center"/>
              <w:rPr>
                <w:rFonts w:ascii="宋体" w:hAnsi="宋体" w:eastAsia="宋体" w:cs="Times New Roman"/>
                <w:kern w:val="0"/>
                <w:sz w:val="24"/>
              </w:rPr>
            </w:pPr>
            <w:r>
              <w:rPr>
                <w:rFonts w:hint="eastAsia" w:ascii="宋体" w:hAnsi="宋体" w:eastAsia="宋体" w:cs="Times New Roman"/>
                <w:kern w:val="0"/>
                <w:sz w:val="22"/>
                <w:szCs w:val="22"/>
              </w:rPr>
              <w:t>企业名称</w:t>
            </w:r>
          </w:p>
        </w:tc>
        <w:tc>
          <w:tcPr>
            <w:tcW w:w="7482" w:type="dxa"/>
            <w:gridSpan w:val="7"/>
            <w:tcBorders>
              <w:top w:val="single" w:color="000000" w:sz="4" w:space="0"/>
              <w:left w:val="nil"/>
              <w:bottom w:val="single" w:color="000000" w:sz="4" w:space="0"/>
              <w:right w:val="single" w:color="000000" w:sz="4" w:space="0"/>
            </w:tcBorders>
            <w:noWrap w:val="0"/>
            <w:vAlign w:val="center"/>
          </w:tcPr>
          <w:p w14:paraId="3F7D0DCE">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_GB2312"/>
                <w:snapToGrid w:val="0"/>
                <w:kern w:val="0"/>
                <w:sz w:val="24"/>
                <w:rPrChange w:id="0" w:author="tang" w:date="2024-08-22T09:56:34Z">
                  <w:rPr>
                    <w:rFonts w:hint="eastAsia"/>
                  </w:rPr>
                </w:rPrChange>
              </w:rPr>
              <w:t>达诺尔（湖北）微电子材料有限公司</w:t>
            </w:r>
          </w:p>
        </w:tc>
      </w:tr>
      <w:tr w14:paraId="224DE5A9">
        <w:tblPrEx>
          <w:tblCellMar>
            <w:top w:w="0" w:type="dxa"/>
            <w:left w:w="108" w:type="dxa"/>
            <w:bottom w:w="0" w:type="dxa"/>
            <w:right w:w="108" w:type="dxa"/>
          </w:tblCellMar>
        </w:tblPrEx>
        <w:trPr>
          <w:trHeight w:val="455" w:hRule="atLeast"/>
        </w:trPr>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00BEFDE8">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地    址</w:t>
            </w:r>
          </w:p>
        </w:tc>
        <w:tc>
          <w:tcPr>
            <w:tcW w:w="7482" w:type="dxa"/>
            <w:gridSpan w:val="7"/>
            <w:tcBorders>
              <w:top w:val="single" w:color="000000" w:sz="4" w:space="0"/>
              <w:left w:val="nil"/>
              <w:bottom w:val="single" w:color="000000" w:sz="4" w:space="0"/>
              <w:right w:val="single" w:color="000000" w:sz="4" w:space="0"/>
            </w:tcBorders>
            <w:noWrap w:val="0"/>
            <w:vAlign w:val="center"/>
          </w:tcPr>
          <w:p w14:paraId="3437DE3B">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
                <w:snapToGrid w:val="0"/>
                <w:kern w:val="0"/>
                <w:sz w:val="24"/>
              </w:rPr>
              <w:t>湖北省潜江市泽口街道办事处金澳大道9号</w:t>
            </w:r>
          </w:p>
        </w:tc>
      </w:tr>
      <w:tr w14:paraId="61D15F8F">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4A4C6FEC">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企业性质</w:t>
            </w:r>
          </w:p>
        </w:tc>
        <w:tc>
          <w:tcPr>
            <w:tcW w:w="7482" w:type="dxa"/>
            <w:gridSpan w:val="7"/>
            <w:tcBorders>
              <w:top w:val="single" w:color="000000" w:sz="4" w:space="0"/>
              <w:left w:val="nil"/>
              <w:bottom w:val="single" w:color="000000" w:sz="4" w:space="0"/>
              <w:right w:val="single" w:color="000000" w:sz="4" w:space="0"/>
            </w:tcBorders>
            <w:noWrap w:val="0"/>
            <w:vAlign w:val="center"/>
          </w:tcPr>
          <w:p w14:paraId="4A86953D">
            <w:pPr>
              <w:widowControl/>
              <w:spacing w:before="46"/>
              <w:rPr>
                <w:rFonts w:ascii="宋体" w:hAnsi="宋体" w:eastAsia="宋体" w:cs="Times New Roman"/>
                <w:kern w:val="0"/>
                <w:sz w:val="24"/>
              </w:rPr>
            </w:pPr>
            <w:r>
              <w:rPr>
                <w:rFonts w:hint="eastAsia" w:ascii="宋体" w:hAnsi="宋体" w:eastAsia="宋体" w:cs="Times New Roman"/>
                <w:kern w:val="0"/>
                <w:sz w:val="24"/>
              </w:rPr>
              <w:t xml:space="preserve">□国有  □集体  □民营  </w:t>
            </w:r>
            <w:r>
              <w:rPr>
                <w:rFonts w:hint="eastAsia" w:ascii="宋体" w:hAnsi="宋体" w:cs="Times New Roman"/>
                <w:kern w:val="0"/>
                <w:sz w:val="24"/>
                <w:lang w:eastAsia="zh-CN"/>
              </w:rPr>
              <w:t>☑</w:t>
            </w:r>
            <w:r>
              <w:rPr>
                <w:rFonts w:hint="eastAsia" w:ascii="宋体" w:hAnsi="宋体" w:eastAsia="宋体" w:cs="Times New Roman"/>
                <w:kern w:val="0"/>
                <w:sz w:val="24"/>
              </w:rPr>
              <w:t>私营  □合资  □独资  □其它</w:t>
            </w:r>
          </w:p>
        </w:tc>
      </w:tr>
      <w:tr w14:paraId="31C31901">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07356EFC">
            <w:pPr>
              <w:widowControl/>
              <w:spacing w:before="46"/>
              <w:ind w:left="53" w:right="-53"/>
              <w:jc w:val="center"/>
              <w:rPr>
                <w:rFonts w:ascii="宋体" w:hAnsi="宋体" w:eastAsia="宋体" w:cs="Times New Roman"/>
                <w:kern w:val="0"/>
                <w:sz w:val="24"/>
              </w:rPr>
            </w:pPr>
            <w:r>
              <w:rPr>
                <w:rFonts w:hint="eastAsia" w:ascii="宋体" w:hAnsi="宋体" w:eastAsia="宋体" w:cs="Times New Roman"/>
                <w:kern w:val="0"/>
                <w:sz w:val="24"/>
              </w:rPr>
              <w:t>安全管理机构</w:t>
            </w:r>
          </w:p>
        </w:tc>
        <w:tc>
          <w:tcPr>
            <w:tcW w:w="7482" w:type="dxa"/>
            <w:gridSpan w:val="7"/>
            <w:tcBorders>
              <w:top w:val="single" w:color="000000" w:sz="4" w:space="0"/>
              <w:left w:val="nil"/>
              <w:bottom w:val="single" w:color="000000" w:sz="4" w:space="0"/>
              <w:right w:val="single" w:color="000000" w:sz="4" w:space="0"/>
            </w:tcBorders>
            <w:noWrap w:val="0"/>
            <w:vAlign w:val="center"/>
          </w:tcPr>
          <w:p w14:paraId="3DEE2E35">
            <w:pPr>
              <w:widowControl/>
              <w:spacing w:before="46"/>
              <w:jc w:val="center"/>
              <w:rPr>
                <w:rFonts w:hint="default" w:ascii="宋体" w:hAnsi="宋体" w:eastAsia="宋体" w:cs="Times New Roman"/>
                <w:kern w:val="0"/>
                <w:sz w:val="24"/>
                <w:lang w:val="en-US" w:eastAsia="zh-CN"/>
              </w:rPr>
            </w:pPr>
            <w:r>
              <w:rPr>
                <w:rFonts w:hint="eastAsia" w:ascii="宋体" w:hAnsi="宋体" w:cs="Times New Roman"/>
                <w:kern w:val="0"/>
                <w:sz w:val="24"/>
                <w:lang w:val="en-US" w:eastAsia="zh-CN"/>
              </w:rPr>
              <w:t>EHS部</w:t>
            </w:r>
          </w:p>
        </w:tc>
      </w:tr>
      <w:tr w14:paraId="075AF2FD">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1B0023B8">
            <w:pPr>
              <w:widowControl/>
              <w:jc w:val="center"/>
              <w:rPr>
                <w:rFonts w:ascii="宋体" w:hAnsi="宋体" w:eastAsia="宋体" w:cs="Times New Roman"/>
                <w:kern w:val="0"/>
                <w:sz w:val="24"/>
              </w:rPr>
            </w:pPr>
            <w:r>
              <w:rPr>
                <w:rFonts w:hint="eastAsia" w:ascii="宋体" w:hAnsi="宋体" w:eastAsia="宋体" w:cs="Times New Roman"/>
                <w:kern w:val="0"/>
                <w:sz w:val="24"/>
              </w:rPr>
              <w:t>员工总数</w:t>
            </w:r>
          </w:p>
        </w:tc>
        <w:tc>
          <w:tcPr>
            <w:tcW w:w="1385" w:type="dxa"/>
            <w:gridSpan w:val="2"/>
            <w:tcBorders>
              <w:top w:val="single" w:color="000000" w:sz="4" w:space="0"/>
              <w:left w:val="nil"/>
              <w:bottom w:val="single" w:color="000000" w:sz="4" w:space="0"/>
              <w:right w:val="single" w:color="000000" w:sz="4" w:space="0"/>
            </w:tcBorders>
            <w:noWrap w:val="0"/>
            <w:vAlign w:val="center"/>
          </w:tcPr>
          <w:p w14:paraId="07908C5C">
            <w:pPr>
              <w:widowControl/>
              <w:jc w:val="center"/>
              <w:rPr>
                <w:rFonts w:ascii="宋体" w:hAnsi="宋体" w:eastAsia="宋体" w:cs="Times New Roman"/>
                <w:kern w:val="0"/>
                <w:sz w:val="24"/>
              </w:rPr>
            </w:pPr>
            <w:r>
              <w:rPr>
                <w:rFonts w:hint="eastAsia" w:ascii="宋体" w:hAnsi="宋体" w:cs="Times New Roman"/>
                <w:kern w:val="0"/>
                <w:sz w:val="24"/>
                <w:lang w:val="en-US" w:eastAsia="zh-CN"/>
              </w:rPr>
              <w:t>110</w:t>
            </w:r>
            <w:r>
              <w:rPr>
                <w:rFonts w:hint="eastAsia" w:ascii="宋体" w:hAnsi="宋体" w:eastAsia="宋体" w:cs="Times New Roman"/>
                <w:kern w:val="0"/>
                <w:sz w:val="24"/>
              </w:rPr>
              <w:t>人</w:t>
            </w:r>
          </w:p>
        </w:tc>
        <w:tc>
          <w:tcPr>
            <w:tcW w:w="1311" w:type="dxa"/>
            <w:tcBorders>
              <w:top w:val="single" w:color="000000" w:sz="4" w:space="0"/>
              <w:left w:val="nil"/>
              <w:bottom w:val="single" w:color="000000" w:sz="4" w:space="0"/>
              <w:right w:val="single" w:color="000000" w:sz="4" w:space="0"/>
            </w:tcBorders>
            <w:noWrap w:val="0"/>
            <w:vAlign w:val="center"/>
          </w:tcPr>
          <w:p w14:paraId="2A104675">
            <w:pPr>
              <w:widowControl/>
              <w:ind w:left="53" w:right="-53"/>
              <w:jc w:val="center"/>
              <w:rPr>
                <w:rFonts w:ascii="宋体" w:hAnsi="宋体" w:eastAsia="宋体" w:cs="Times New Roman"/>
                <w:kern w:val="0"/>
                <w:sz w:val="24"/>
              </w:rPr>
            </w:pPr>
            <w:r>
              <w:rPr>
                <w:rFonts w:hint="eastAsia" w:ascii="宋体" w:hAnsi="宋体" w:eastAsia="宋体" w:cs="Times New Roman"/>
                <w:kern w:val="0"/>
                <w:sz w:val="24"/>
              </w:rPr>
              <w:t>专职安全管理人员</w:t>
            </w:r>
          </w:p>
        </w:tc>
        <w:tc>
          <w:tcPr>
            <w:tcW w:w="1714" w:type="dxa"/>
            <w:tcBorders>
              <w:top w:val="single" w:color="000000" w:sz="4" w:space="0"/>
              <w:left w:val="nil"/>
              <w:bottom w:val="single" w:color="000000" w:sz="4" w:space="0"/>
              <w:right w:val="single" w:color="000000" w:sz="4" w:space="0"/>
            </w:tcBorders>
            <w:noWrap w:val="0"/>
            <w:vAlign w:val="center"/>
          </w:tcPr>
          <w:p w14:paraId="1EA6CC44">
            <w:pPr>
              <w:widowControl/>
              <w:jc w:val="center"/>
              <w:rPr>
                <w:rFonts w:ascii="宋体" w:hAnsi="宋体" w:eastAsia="宋体" w:cs="Times New Roman"/>
                <w:kern w:val="0"/>
                <w:sz w:val="24"/>
              </w:rPr>
            </w:pPr>
            <w:r>
              <w:rPr>
                <w:rFonts w:hint="eastAsia" w:ascii="宋体" w:hAnsi="宋体" w:cs="Times New Roman"/>
                <w:kern w:val="0"/>
                <w:sz w:val="24"/>
                <w:lang w:val="en-US" w:eastAsia="zh-CN"/>
              </w:rPr>
              <w:t>4</w:t>
            </w:r>
            <w:r>
              <w:rPr>
                <w:rFonts w:hint="eastAsia" w:ascii="宋体" w:hAnsi="宋体" w:eastAsia="宋体" w:cs="Times New Roman"/>
                <w:kern w:val="0"/>
                <w:sz w:val="24"/>
              </w:rPr>
              <w:t>人</w:t>
            </w:r>
          </w:p>
        </w:tc>
        <w:tc>
          <w:tcPr>
            <w:tcW w:w="1428" w:type="dxa"/>
            <w:tcBorders>
              <w:top w:val="single" w:color="000000" w:sz="4" w:space="0"/>
              <w:left w:val="nil"/>
              <w:bottom w:val="single" w:color="000000" w:sz="4" w:space="0"/>
              <w:right w:val="single" w:color="000000" w:sz="4" w:space="0"/>
            </w:tcBorders>
            <w:noWrap w:val="0"/>
            <w:vAlign w:val="center"/>
          </w:tcPr>
          <w:p w14:paraId="29E78C58">
            <w:pPr>
              <w:widowControl/>
              <w:jc w:val="center"/>
              <w:rPr>
                <w:rFonts w:ascii="宋体" w:hAnsi="宋体" w:eastAsia="宋体" w:cs="Times New Roman"/>
                <w:kern w:val="0"/>
                <w:sz w:val="24"/>
              </w:rPr>
            </w:pPr>
            <w:r>
              <w:rPr>
                <w:rFonts w:hint="eastAsia" w:ascii="宋体" w:hAnsi="宋体" w:eastAsia="宋体" w:cs="Times New Roman"/>
                <w:kern w:val="0"/>
                <w:sz w:val="24"/>
              </w:rPr>
              <w:t>特种作业人    员</w:t>
            </w:r>
          </w:p>
        </w:tc>
        <w:tc>
          <w:tcPr>
            <w:tcW w:w="1644" w:type="dxa"/>
            <w:gridSpan w:val="2"/>
            <w:tcBorders>
              <w:top w:val="single" w:color="000000" w:sz="4" w:space="0"/>
              <w:left w:val="nil"/>
              <w:bottom w:val="single" w:color="000000" w:sz="4" w:space="0"/>
              <w:right w:val="single" w:color="000000" w:sz="4" w:space="0"/>
            </w:tcBorders>
            <w:noWrap w:val="0"/>
            <w:vAlign w:val="center"/>
          </w:tcPr>
          <w:p w14:paraId="7B69B446">
            <w:pPr>
              <w:widowControl/>
              <w:jc w:val="center"/>
              <w:rPr>
                <w:rFonts w:ascii="宋体" w:hAnsi="宋体" w:eastAsia="宋体" w:cs="Times New Roman"/>
                <w:kern w:val="0"/>
                <w:sz w:val="24"/>
              </w:rPr>
            </w:pPr>
            <w:r>
              <w:rPr>
                <w:rFonts w:hint="eastAsia" w:ascii="宋体" w:hAnsi="宋体" w:eastAsia="宋体" w:cs="Times New Roman"/>
                <w:kern w:val="0"/>
                <w:sz w:val="24"/>
                <w:lang w:val="en-US" w:eastAsia="zh-CN"/>
              </w:rPr>
              <w:t>17</w:t>
            </w:r>
            <w:r>
              <w:rPr>
                <w:rFonts w:hint="eastAsia" w:ascii="宋体" w:hAnsi="宋体" w:eastAsia="宋体" w:cs="Times New Roman"/>
                <w:kern w:val="0"/>
                <w:sz w:val="24"/>
              </w:rPr>
              <w:t>人</w:t>
            </w:r>
          </w:p>
        </w:tc>
      </w:tr>
      <w:tr w14:paraId="0C9B872F">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3CCBEEC0">
            <w:pPr>
              <w:widowControl/>
              <w:jc w:val="center"/>
              <w:rPr>
                <w:rFonts w:ascii="宋体" w:hAnsi="宋体" w:eastAsia="宋体" w:cs="Times New Roman"/>
                <w:kern w:val="0"/>
                <w:sz w:val="24"/>
              </w:rPr>
            </w:pPr>
            <w:r>
              <w:rPr>
                <w:rFonts w:hint="eastAsia" w:ascii="宋体" w:hAnsi="宋体" w:eastAsia="宋体" w:cs="Times New Roman"/>
                <w:kern w:val="0"/>
                <w:sz w:val="24"/>
              </w:rPr>
              <w:t>固定资产</w:t>
            </w:r>
          </w:p>
        </w:tc>
        <w:tc>
          <w:tcPr>
            <w:tcW w:w="2696" w:type="dxa"/>
            <w:gridSpan w:val="3"/>
            <w:tcBorders>
              <w:top w:val="single" w:color="000000" w:sz="4" w:space="0"/>
              <w:left w:val="nil"/>
              <w:bottom w:val="single" w:color="000000" w:sz="4" w:space="0"/>
              <w:right w:val="single" w:color="000000" w:sz="4" w:space="0"/>
            </w:tcBorders>
            <w:noWrap w:val="0"/>
            <w:vAlign w:val="center"/>
          </w:tcPr>
          <w:p w14:paraId="1E89CE13">
            <w:pPr>
              <w:widowControl/>
              <w:ind w:right="210"/>
              <w:jc w:val="center"/>
              <w:rPr>
                <w:rFonts w:ascii="宋体" w:hAnsi="宋体" w:eastAsia="宋体" w:cs="Times New Roman"/>
                <w:kern w:val="0"/>
                <w:sz w:val="24"/>
              </w:rPr>
            </w:pPr>
            <w:r>
              <w:rPr>
                <w:rFonts w:hint="eastAsia" w:ascii="宋体" w:hAnsi="宋体" w:eastAsia="宋体" w:cs="Times New Roman"/>
                <w:kern w:val="0"/>
                <w:sz w:val="24"/>
              </w:rPr>
              <w:t>20518万元</w:t>
            </w:r>
          </w:p>
        </w:tc>
        <w:tc>
          <w:tcPr>
            <w:tcW w:w="1714" w:type="dxa"/>
            <w:tcBorders>
              <w:top w:val="single" w:color="000000" w:sz="4" w:space="0"/>
              <w:left w:val="nil"/>
              <w:bottom w:val="single" w:color="000000" w:sz="4" w:space="0"/>
              <w:right w:val="single" w:color="000000" w:sz="4" w:space="0"/>
            </w:tcBorders>
            <w:noWrap w:val="0"/>
            <w:vAlign w:val="center"/>
          </w:tcPr>
          <w:p w14:paraId="33386753">
            <w:pPr>
              <w:widowControl/>
              <w:ind w:left="105" w:right="-105"/>
              <w:jc w:val="center"/>
              <w:rPr>
                <w:rFonts w:ascii="宋体" w:hAnsi="宋体" w:eastAsia="宋体" w:cs="Times New Roman"/>
                <w:kern w:val="0"/>
                <w:sz w:val="24"/>
              </w:rPr>
            </w:pPr>
            <w:r>
              <w:rPr>
                <w:rFonts w:hint="eastAsia" w:ascii="宋体" w:hAnsi="宋体" w:eastAsia="宋体" w:cs="Times New Roman"/>
                <w:kern w:val="0"/>
                <w:sz w:val="24"/>
              </w:rPr>
              <w:t>主营业务收入</w:t>
            </w:r>
          </w:p>
        </w:tc>
        <w:tc>
          <w:tcPr>
            <w:tcW w:w="3072" w:type="dxa"/>
            <w:gridSpan w:val="3"/>
            <w:tcBorders>
              <w:top w:val="single" w:color="000000" w:sz="4" w:space="0"/>
              <w:left w:val="nil"/>
              <w:bottom w:val="single" w:color="000000" w:sz="4" w:space="0"/>
              <w:right w:val="single" w:color="000000" w:sz="4" w:space="0"/>
            </w:tcBorders>
            <w:noWrap w:val="0"/>
            <w:vAlign w:val="center"/>
          </w:tcPr>
          <w:p w14:paraId="729E71ED">
            <w:pPr>
              <w:widowControl/>
              <w:ind w:right="210"/>
              <w:jc w:val="center"/>
              <w:rPr>
                <w:rFonts w:ascii="宋体" w:hAnsi="宋体" w:eastAsia="宋体" w:cs="Times New Roman"/>
                <w:kern w:val="0"/>
                <w:sz w:val="24"/>
              </w:rPr>
            </w:pPr>
            <w:r>
              <w:rPr>
                <w:rFonts w:hint="eastAsia" w:ascii="宋体" w:hAnsi="宋体" w:eastAsia="宋体" w:cs="Times New Roman"/>
                <w:kern w:val="0"/>
                <w:sz w:val="24"/>
              </w:rPr>
              <w:t>2900万元</w:t>
            </w:r>
          </w:p>
        </w:tc>
      </w:tr>
      <w:tr w14:paraId="48AD575F">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4490A38C">
            <w:pPr>
              <w:widowControl/>
              <w:jc w:val="center"/>
              <w:rPr>
                <w:rFonts w:ascii="宋体" w:hAnsi="宋体" w:eastAsia="宋体" w:cs="Times New Roman"/>
                <w:kern w:val="0"/>
                <w:sz w:val="24"/>
              </w:rPr>
            </w:pPr>
            <w:r>
              <w:rPr>
                <w:rFonts w:hint="eastAsia" w:ascii="宋体" w:hAnsi="宋体" w:eastAsia="宋体" w:cs="Times New Roman"/>
                <w:kern w:val="0"/>
                <w:sz w:val="24"/>
              </w:rPr>
              <w:t>倒班情况</w:t>
            </w:r>
          </w:p>
        </w:tc>
        <w:tc>
          <w:tcPr>
            <w:tcW w:w="2696" w:type="dxa"/>
            <w:gridSpan w:val="3"/>
            <w:tcBorders>
              <w:top w:val="single" w:color="000000" w:sz="4" w:space="0"/>
              <w:left w:val="nil"/>
              <w:bottom w:val="single" w:color="000000" w:sz="4" w:space="0"/>
              <w:right w:val="single" w:color="000000" w:sz="4" w:space="0"/>
            </w:tcBorders>
            <w:noWrap w:val="0"/>
            <w:vAlign w:val="center"/>
          </w:tcPr>
          <w:p w14:paraId="06B7C8EC">
            <w:pPr>
              <w:widowControl/>
              <w:jc w:val="center"/>
              <w:rPr>
                <w:rFonts w:ascii="宋体" w:hAnsi="宋体" w:eastAsia="宋体" w:cs="Times New Roman"/>
                <w:kern w:val="0"/>
                <w:sz w:val="24"/>
              </w:rPr>
            </w:pPr>
            <w:r>
              <w:rPr>
                <w:rFonts w:hint="eastAsia" w:ascii="宋体" w:hAnsi="宋体" w:cs="Times New Roman"/>
                <w:kern w:val="0"/>
                <w:sz w:val="24"/>
                <w:lang w:eastAsia="zh-CN"/>
              </w:rPr>
              <w:t>☑</w:t>
            </w:r>
            <w:r>
              <w:rPr>
                <w:rFonts w:hint="eastAsia" w:ascii="宋体" w:hAnsi="宋体" w:eastAsia="宋体" w:cs="Times New Roman"/>
                <w:kern w:val="0"/>
                <w:sz w:val="24"/>
              </w:rPr>
              <w:t>有  □没有</w:t>
            </w:r>
          </w:p>
        </w:tc>
        <w:tc>
          <w:tcPr>
            <w:tcW w:w="1714" w:type="dxa"/>
            <w:tcBorders>
              <w:top w:val="single" w:color="000000" w:sz="4" w:space="0"/>
              <w:left w:val="nil"/>
              <w:bottom w:val="single" w:color="000000" w:sz="4" w:space="0"/>
              <w:right w:val="single" w:color="000000" w:sz="4" w:space="0"/>
            </w:tcBorders>
            <w:noWrap w:val="0"/>
            <w:vAlign w:val="center"/>
          </w:tcPr>
          <w:p w14:paraId="0345731E">
            <w:pPr>
              <w:widowControl/>
              <w:jc w:val="center"/>
              <w:rPr>
                <w:rFonts w:ascii="宋体" w:hAnsi="宋体" w:eastAsia="宋体" w:cs="Times New Roman"/>
                <w:kern w:val="0"/>
                <w:sz w:val="24"/>
              </w:rPr>
            </w:pPr>
            <w:r>
              <w:rPr>
                <w:rFonts w:hint="eastAsia" w:ascii="宋体" w:hAnsi="宋体" w:eastAsia="宋体" w:cs="Times New Roman"/>
                <w:kern w:val="0"/>
                <w:sz w:val="24"/>
              </w:rPr>
              <w:t>倒班人数及 方 式</w:t>
            </w:r>
          </w:p>
        </w:tc>
        <w:tc>
          <w:tcPr>
            <w:tcW w:w="3072" w:type="dxa"/>
            <w:gridSpan w:val="3"/>
            <w:tcBorders>
              <w:top w:val="single" w:color="000000" w:sz="4" w:space="0"/>
              <w:left w:val="nil"/>
              <w:bottom w:val="single" w:color="000000" w:sz="4" w:space="0"/>
              <w:right w:val="single" w:color="000000" w:sz="4" w:space="0"/>
            </w:tcBorders>
            <w:noWrap w:val="0"/>
            <w:vAlign w:val="center"/>
          </w:tcPr>
          <w:p w14:paraId="447E04F4">
            <w:pPr>
              <w:widowControl/>
              <w:jc w:val="center"/>
              <w:rPr>
                <w:rFonts w:hint="default" w:ascii="宋体" w:hAnsi="宋体" w:eastAsia="宋体" w:cs="Times New Roman"/>
                <w:kern w:val="0"/>
                <w:sz w:val="24"/>
                <w:lang w:val="en-US" w:eastAsia="zh-CN"/>
              </w:rPr>
            </w:pPr>
            <w:r>
              <w:rPr>
                <w:rFonts w:hint="eastAsia" w:ascii="宋体" w:hAnsi="宋体" w:cs="Times New Roman"/>
                <w:kern w:val="0"/>
                <w:sz w:val="24"/>
                <w:lang w:val="en-US" w:eastAsia="zh-CN"/>
              </w:rPr>
              <w:t>60</w:t>
            </w:r>
          </w:p>
        </w:tc>
      </w:tr>
      <w:tr w14:paraId="5DC14FB9">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23152263">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法定代表人</w:t>
            </w:r>
          </w:p>
        </w:tc>
        <w:tc>
          <w:tcPr>
            <w:tcW w:w="1385" w:type="dxa"/>
            <w:gridSpan w:val="2"/>
            <w:tcBorders>
              <w:top w:val="single" w:color="000000" w:sz="4" w:space="0"/>
              <w:left w:val="nil"/>
              <w:bottom w:val="single" w:color="000000" w:sz="4" w:space="0"/>
              <w:right w:val="single" w:color="000000" w:sz="4" w:space="0"/>
            </w:tcBorders>
            <w:noWrap w:val="0"/>
            <w:vAlign w:val="center"/>
          </w:tcPr>
          <w:p w14:paraId="583AE07E">
            <w:pPr>
              <w:widowControl/>
              <w:spacing w:before="46"/>
              <w:jc w:val="center"/>
              <w:rPr>
                <w:rFonts w:hint="default" w:ascii="宋体" w:hAnsi="宋体" w:eastAsia="宋体" w:cs="Times New Roman"/>
                <w:kern w:val="0"/>
                <w:sz w:val="24"/>
                <w:lang w:val="en-US" w:eastAsia="zh-CN"/>
              </w:rPr>
            </w:pPr>
            <w:r>
              <w:rPr>
                <w:rFonts w:hint="eastAsia" w:ascii="宋体" w:hAnsi="宋体" w:cs="Times New Roman"/>
                <w:kern w:val="0"/>
                <w:sz w:val="24"/>
                <w:lang w:val="en-US" w:eastAsia="zh-CN"/>
              </w:rPr>
              <w:t>张文巨</w:t>
            </w:r>
          </w:p>
        </w:tc>
        <w:tc>
          <w:tcPr>
            <w:tcW w:w="1311" w:type="dxa"/>
            <w:tcBorders>
              <w:top w:val="single" w:color="000000" w:sz="4" w:space="0"/>
              <w:left w:val="nil"/>
              <w:bottom w:val="single" w:color="000000" w:sz="4" w:space="0"/>
              <w:right w:val="single" w:color="000000" w:sz="4" w:space="0"/>
            </w:tcBorders>
            <w:noWrap w:val="0"/>
            <w:vAlign w:val="center"/>
          </w:tcPr>
          <w:p w14:paraId="72F84CD1">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电  话</w:t>
            </w:r>
          </w:p>
        </w:tc>
        <w:tc>
          <w:tcPr>
            <w:tcW w:w="1714" w:type="dxa"/>
            <w:tcBorders>
              <w:top w:val="single" w:color="000000" w:sz="4" w:space="0"/>
              <w:left w:val="nil"/>
              <w:bottom w:val="single" w:color="000000" w:sz="4" w:space="0"/>
              <w:right w:val="single" w:color="000000" w:sz="4" w:space="0"/>
            </w:tcBorders>
            <w:noWrap w:val="0"/>
            <w:vAlign w:val="center"/>
          </w:tcPr>
          <w:p w14:paraId="046F0988">
            <w:pPr>
              <w:widowControl/>
              <w:spacing w:before="46"/>
              <w:jc w:val="center"/>
              <w:rPr>
                <w:rFonts w:ascii="宋体" w:hAnsi="宋体" w:eastAsia="宋体" w:cs="Times New Roman"/>
                <w:kern w:val="0"/>
                <w:sz w:val="24"/>
              </w:rPr>
            </w:pPr>
            <w:r>
              <w:rPr>
                <w:rFonts w:hint="eastAsia" w:ascii="仿宋_GB2312"/>
                <w:snapToGrid w:val="0"/>
                <w:kern w:val="0"/>
                <w:sz w:val="24"/>
                <w:rPrChange w:id="1" w:author="tang" w:date="2024-08-22T09:57:58Z">
                  <w:rPr>
                    <w:rFonts w:hint="eastAsia"/>
                  </w:rPr>
                </w:rPrChange>
              </w:rPr>
              <w:t>15392818015</w:t>
            </w:r>
          </w:p>
        </w:tc>
        <w:tc>
          <w:tcPr>
            <w:tcW w:w="1428" w:type="dxa"/>
            <w:tcBorders>
              <w:top w:val="single" w:color="000000" w:sz="4" w:space="0"/>
              <w:left w:val="nil"/>
              <w:bottom w:val="single" w:color="000000" w:sz="4" w:space="0"/>
              <w:right w:val="single" w:color="000000" w:sz="4" w:space="0"/>
            </w:tcBorders>
            <w:noWrap w:val="0"/>
            <w:vAlign w:val="center"/>
          </w:tcPr>
          <w:p w14:paraId="64D06A86">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传    真</w:t>
            </w:r>
          </w:p>
        </w:tc>
        <w:tc>
          <w:tcPr>
            <w:tcW w:w="1644" w:type="dxa"/>
            <w:gridSpan w:val="2"/>
            <w:tcBorders>
              <w:top w:val="single" w:color="000000" w:sz="4" w:space="0"/>
              <w:left w:val="nil"/>
              <w:bottom w:val="single" w:color="000000" w:sz="4" w:space="0"/>
              <w:right w:val="single" w:color="000000" w:sz="4" w:space="0"/>
            </w:tcBorders>
            <w:noWrap w:val="0"/>
            <w:vAlign w:val="center"/>
          </w:tcPr>
          <w:p w14:paraId="72AB8C4F">
            <w:pPr>
              <w:widowControl/>
              <w:spacing w:before="46"/>
              <w:jc w:val="center"/>
              <w:rPr>
                <w:rFonts w:ascii="宋体" w:hAnsi="宋体" w:eastAsia="宋体" w:cs="Times New Roman"/>
                <w:kern w:val="0"/>
                <w:sz w:val="24"/>
              </w:rPr>
            </w:pPr>
          </w:p>
        </w:tc>
      </w:tr>
      <w:tr w14:paraId="01C75C99">
        <w:tblPrEx>
          <w:tblCellMar>
            <w:top w:w="0" w:type="dxa"/>
            <w:left w:w="108" w:type="dxa"/>
            <w:bottom w:w="0" w:type="dxa"/>
            <w:right w:w="108" w:type="dxa"/>
          </w:tblCellMar>
        </w:tblPrEx>
        <w:tc>
          <w:tcPr>
            <w:tcW w:w="1804" w:type="dxa"/>
            <w:gridSpan w:val="3"/>
            <w:vMerge w:val="restart"/>
            <w:tcBorders>
              <w:top w:val="nil"/>
              <w:left w:val="single" w:color="000000" w:sz="4" w:space="0"/>
              <w:bottom w:val="single" w:color="000000" w:sz="4" w:space="0"/>
              <w:right w:val="single" w:color="000000" w:sz="4" w:space="0"/>
            </w:tcBorders>
            <w:noWrap w:val="0"/>
            <w:vAlign w:val="center"/>
          </w:tcPr>
          <w:p w14:paraId="1C9B848A">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联 系 人</w:t>
            </w:r>
          </w:p>
        </w:tc>
        <w:tc>
          <w:tcPr>
            <w:tcW w:w="1385" w:type="dxa"/>
            <w:gridSpan w:val="2"/>
            <w:vMerge w:val="restart"/>
            <w:tcBorders>
              <w:top w:val="nil"/>
              <w:left w:val="nil"/>
              <w:bottom w:val="single" w:color="000000" w:sz="4" w:space="0"/>
              <w:right w:val="single" w:color="000000" w:sz="4" w:space="0"/>
            </w:tcBorders>
            <w:noWrap w:val="0"/>
            <w:vAlign w:val="center"/>
          </w:tcPr>
          <w:p w14:paraId="0FF04D26">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_GB2312"/>
                <w:snapToGrid w:val="0"/>
                <w:kern w:val="0"/>
                <w:sz w:val="24"/>
                <w:lang w:val="en-US" w:eastAsia="zh-CN"/>
              </w:rPr>
              <w:t>汤秀辉</w:t>
            </w:r>
          </w:p>
        </w:tc>
        <w:tc>
          <w:tcPr>
            <w:tcW w:w="1311" w:type="dxa"/>
            <w:tcBorders>
              <w:top w:val="single" w:color="000000" w:sz="4" w:space="0"/>
              <w:left w:val="nil"/>
              <w:bottom w:val="single" w:color="000000" w:sz="4" w:space="0"/>
              <w:right w:val="single" w:color="000000" w:sz="4" w:space="0"/>
            </w:tcBorders>
            <w:noWrap w:val="0"/>
            <w:vAlign w:val="center"/>
          </w:tcPr>
          <w:p w14:paraId="141C8C62">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_GB2312"/>
                <w:snapToGrid w:val="0"/>
                <w:kern w:val="0"/>
                <w:sz w:val="24"/>
              </w:rPr>
              <w:t>电  话</w:t>
            </w:r>
          </w:p>
        </w:tc>
        <w:tc>
          <w:tcPr>
            <w:tcW w:w="1714" w:type="dxa"/>
            <w:tcBorders>
              <w:top w:val="single" w:color="000000" w:sz="4" w:space="0"/>
              <w:left w:val="nil"/>
              <w:bottom w:val="single" w:color="000000" w:sz="4" w:space="0"/>
              <w:right w:val="single" w:color="000000" w:sz="4" w:space="0"/>
            </w:tcBorders>
            <w:noWrap w:val="0"/>
            <w:vAlign w:val="center"/>
          </w:tcPr>
          <w:p w14:paraId="1C8A0ED2">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_GB2312"/>
                <w:snapToGrid w:val="0"/>
                <w:kern w:val="0"/>
                <w:sz w:val="24"/>
                <w:lang w:val="en-US" w:eastAsia="zh-CN"/>
              </w:rPr>
              <w:t>15083891407</w:t>
            </w:r>
          </w:p>
        </w:tc>
        <w:tc>
          <w:tcPr>
            <w:tcW w:w="1428" w:type="dxa"/>
            <w:tcBorders>
              <w:top w:val="single" w:color="000000" w:sz="4" w:space="0"/>
              <w:left w:val="nil"/>
              <w:bottom w:val="single" w:color="000000" w:sz="4" w:space="0"/>
              <w:right w:val="single" w:color="000000" w:sz="4" w:space="0"/>
            </w:tcBorders>
            <w:noWrap w:val="0"/>
            <w:vAlign w:val="center"/>
          </w:tcPr>
          <w:p w14:paraId="1E2AB40F">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传    真</w:t>
            </w:r>
          </w:p>
        </w:tc>
        <w:tc>
          <w:tcPr>
            <w:tcW w:w="1644" w:type="dxa"/>
            <w:gridSpan w:val="2"/>
            <w:tcBorders>
              <w:top w:val="single" w:color="000000" w:sz="4" w:space="0"/>
              <w:left w:val="nil"/>
              <w:bottom w:val="single" w:color="000000" w:sz="4" w:space="0"/>
              <w:right w:val="single" w:color="000000" w:sz="4" w:space="0"/>
            </w:tcBorders>
            <w:noWrap w:val="0"/>
            <w:vAlign w:val="top"/>
          </w:tcPr>
          <w:p w14:paraId="48985093">
            <w:pPr>
              <w:widowControl/>
              <w:spacing w:before="46"/>
              <w:jc w:val="center"/>
              <w:rPr>
                <w:rFonts w:ascii="宋体" w:hAnsi="宋体" w:eastAsia="宋体" w:cs="Times New Roman"/>
                <w:kern w:val="0"/>
                <w:sz w:val="24"/>
              </w:rPr>
            </w:pPr>
          </w:p>
        </w:tc>
      </w:tr>
      <w:tr w14:paraId="1564C090">
        <w:tblPrEx>
          <w:tblCellMar>
            <w:top w:w="0" w:type="dxa"/>
            <w:left w:w="108" w:type="dxa"/>
            <w:bottom w:w="0" w:type="dxa"/>
            <w:right w:w="108" w:type="dxa"/>
          </w:tblCellMar>
        </w:tblPrEx>
        <w:tc>
          <w:tcPr>
            <w:tcW w:w="1804" w:type="dxa"/>
            <w:gridSpan w:val="3"/>
            <w:vMerge w:val="continue"/>
            <w:tcBorders>
              <w:top w:val="nil"/>
              <w:left w:val="single" w:color="000000" w:sz="4" w:space="0"/>
              <w:bottom w:val="single" w:color="000000" w:sz="4" w:space="0"/>
              <w:right w:val="single" w:color="000000" w:sz="4" w:space="0"/>
            </w:tcBorders>
            <w:noWrap w:val="0"/>
            <w:vAlign w:val="center"/>
          </w:tcPr>
          <w:p w14:paraId="67F82925">
            <w:pPr>
              <w:widowControl/>
              <w:jc w:val="left"/>
              <w:rPr>
                <w:rFonts w:ascii="宋体" w:hAnsi="宋体" w:eastAsia="宋体" w:cs="Times New Roman"/>
                <w:kern w:val="0"/>
                <w:sz w:val="24"/>
              </w:rPr>
            </w:pPr>
          </w:p>
        </w:tc>
        <w:tc>
          <w:tcPr>
            <w:tcW w:w="1385" w:type="dxa"/>
            <w:gridSpan w:val="2"/>
            <w:vMerge w:val="continue"/>
            <w:tcBorders>
              <w:top w:val="nil"/>
              <w:left w:val="nil"/>
              <w:bottom w:val="single" w:color="000000" w:sz="4" w:space="0"/>
              <w:right w:val="single" w:color="000000" w:sz="4" w:space="0"/>
            </w:tcBorders>
            <w:noWrap w:val="0"/>
            <w:vAlign w:val="center"/>
          </w:tcPr>
          <w:p w14:paraId="11967A3B">
            <w:pPr>
              <w:widowControl/>
              <w:jc w:val="left"/>
              <w:rPr>
                <w:rFonts w:ascii="宋体" w:hAnsi="宋体" w:eastAsia="宋体" w:cs="Times New Roman"/>
                <w:kern w:val="0"/>
                <w:sz w:val="24"/>
              </w:rPr>
            </w:pPr>
          </w:p>
        </w:tc>
        <w:tc>
          <w:tcPr>
            <w:tcW w:w="1311" w:type="dxa"/>
            <w:tcBorders>
              <w:top w:val="single" w:color="000000" w:sz="4" w:space="0"/>
              <w:left w:val="nil"/>
              <w:bottom w:val="single" w:color="000000" w:sz="4" w:space="0"/>
              <w:right w:val="single" w:color="000000" w:sz="4" w:space="0"/>
            </w:tcBorders>
            <w:noWrap w:val="0"/>
            <w:vAlign w:val="center"/>
          </w:tcPr>
          <w:p w14:paraId="5B80E441">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手  机</w:t>
            </w:r>
          </w:p>
        </w:tc>
        <w:tc>
          <w:tcPr>
            <w:tcW w:w="1714" w:type="dxa"/>
            <w:tcBorders>
              <w:top w:val="single" w:color="000000" w:sz="4" w:space="0"/>
              <w:left w:val="nil"/>
              <w:bottom w:val="single" w:color="000000" w:sz="4" w:space="0"/>
              <w:right w:val="single" w:color="000000" w:sz="4" w:space="0"/>
            </w:tcBorders>
            <w:noWrap w:val="0"/>
            <w:vAlign w:val="top"/>
          </w:tcPr>
          <w:p w14:paraId="0C335624">
            <w:pPr>
              <w:widowControl/>
              <w:spacing w:before="46"/>
              <w:jc w:val="center"/>
              <w:rPr>
                <w:rFonts w:ascii="宋体" w:hAnsi="宋体" w:eastAsia="宋体" w:cs="Times New Roman"/>
                <w:kern w:val="0"/>
                <w:sz w:val="24"/>
              </w:rPr>
            </w:pPr>
          </w:p>
        </w:tc>
        <w:tc>
          <w:tcPr>
            <w:tcW w:w="1428" w:type="dxa"/>
            <w:tcBorders>
              <w:top w:val="single" w:color="000000" w:sz="4" w:space="0"/>
              <w:left w:val="nil"/>
              <w:bottom w:val="single" w:color="000000" w:sz="4" w:space="0"/>
              <w:right w:val="single" w:color="000000" w:sz="4" w:space="0"/>
            </w:tcBorders>
            <w:noWrap w:val="0"/>
            <w:vAlign w:val="center"/>
          </w:tcPr>
          <w:p w14:paraId="4AB340E6">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电子信箱</w:t>
            </w:r>
          </w:p>
        </w:tc>
        <w:tc>
          <w:tcPr>
            <w:tcW w:w="1644" w:type="dxa"/>
            <w:gridSpan w:val="2"/>
            <w:tcBorders>
              <w:top w:val="single" w:color="000000" w:sz="4" w:space="0"/>
              <w:left w:val="nil"/>
              <w:bottom w:val="single" w:color="000000" w:sz="4" w:space="0"/>
              <w:right w:val="single" w:color="000000" w:sz="4" w:space="0"/>
            </w:tcBorders>
            <w:noWrap w:val="0"/>
            <w:vAlign w:val="top"/>
          </w:tcPr>
          <w:p w14:paraId="4359CFBB">
            <w:pPr>
              <w:widowControl/>
              <w:spacing w:before="46"/>
              <w:jc w:val="center"/>
              <w:rPr>
                <w:rFonts w:hint="default" w:ascii="宋体" w:hAnsi="宋体" w:eastAsia="宋体" w:cs="Times New Roman"/>
                <w:kern w:val="0"/>
                <w:sz w:val="24"/>
                <w:lang w:val="en-US" w:eastAsia="zh-CN"/>
              </w:rPr>
            </w:pPr>
            <w:r>
              <w:rPr>
                <w:rFonts w:hint="eastAsia" w:ascii="宋体" w:hAnsi="宋体" w:cs="Times New Roman"/>
                <w:kern w:val="0"/>
                <w:sz w:val="24"/>
                <w:lang w:val="en-US" w:eastAsia="zh-CN"/>
              </w:rPr>
              <w:t>498273895@qq.com</w:t>
            </w:r>
          </w:p>
        </w:tc>
      </w:tr>
      <w:tr w14:paraId="7A3FDCB2">
        <w:tblPrEx>
          <w:tblCellMar>
            <w:top w:w="0" w:type="dxa"/>
            <w:left w:w="108" w:type="dxa"/>
            <w:bottom w:w="0" w:type="dxa"/>
            <w:right w:w="108" w:type="dxa"/>
          </w:tblCellMar>
        </w:tblPrEx>
        <w:tc>
          <w:tcPr>
            <w:tcW w:w="1804" w:type="dxa"/>
            <w:gridSpan w:val="3"/>
            <w:tcBorders>
              <w:top w:val="single" w:color="000000" w:sz="4" w:space="0"/>
              <w:left w:val="single" w:color="000000" w:sz="4" w:space="0"/>
              <w:bottom w:val="single" w:color="000000" w:sz="4" w:space="0"/>
              <w:right w:val="single" w:color="000000" w:sz="4" w:space="0"/>
            </w:tcBorders>
            <w:noWrap w:val="0"/>
            <w:vAlign w:val="center"/>
          </w:tcPr>
          <w:p w14:paraId="61AFCCCD">
            <w:pPr>
              <w:widowControl/>
              <w:jc w:val="center"/>
              <w:rPr>
                <w:rFonts w:ascii="宋体" w:hAnsi="宋体" w:eastAsia="宋体" w:cs="Times New Roman"/>
                <w:kern w:val="0"/>
                <w:sz w:val="24"/>
              </w:rPr>
            </w:pPr>
            <w:r>
              <w:rPr>
                <w:rFonts w:hint="eastAsia" w:ascii="宋体" w:hAnsi="宋体" w:eastAsia="宋体" w:cs="Times New Roman"/>
                <w:kern w:val="0"/>
                <w:sz w:val="24"/>
              </w:rPr>
              <w:t>自评等级</w:t>
            </w:r>
          </w:p>
        </w:tc>
        <w:tc>
          <w:tcPr>
            <w:tcW w:w="7482" w:type="dxa"/>
            <w:gridSpan w:val="7"/>
            <w:tcBorders>
              <w:top w:val="single" w:color="000000" w:sz="4" w:space="0"/>
              <w:left w:val="nil"/>
              <w:bottom w:val="single" w:color="000000" w:sz="4" w:space="0"/>
              <w:right w:val="single" w:color="000000" w:sz="4" w:space="0"/>
            </w:tcBorders>
            <w:noWrap w:val="0"/>
            <w:vAlign w:val="center"/>
          </w:tcPr>
          <w:p w14:paraId="3527CB48">
            <w:pPr>
              <w:widowControl/>
              <w:ind w:firstLine="280"/>
              <w:rPr>
                <w:rFonts w:ascii="宋体" w:hAnsi="宋体" w:eastAsia="宋体" w:cs="Times New Roman"/>
                <w:kern w:val="0"/>
                <w:sz w:val="24"/>
              </w:rPr>
            </w:pPr>
            <w:r>
              <w:rPr>
                <w:rFonts w:hint="eastAsia" w:ascii="宋体" w:hAnsi="宋体" w:eastAsia="宋体" w:cs="Times New Roman"/>
                <w:kern w:val="0"/>
                <w:sz w:val="24"/>
              </w:rPr>
              <w:t xml:space="preserve">□一级        □二级        </w:t>
            </w:r>
            <w:r>
              <w:rPr>
                <w:rFonts w:hint="eastAsia" w:ascii="宋体" w:hAnsi="宋体" w:cs="Times New Roman"/>
                <w:kern w:val="0"/>
                <w:sz w:val="24"/>
                <w:lang w:eastAsia="zh-CN"/>
              </w:rPr>
              <w:t>☑</w:t>
            </w:r>
            <w:r>
              <w:rPr>
                <w:rFonts w:hint="eastAsia" w:ascii="宋体" w:hAnsi="宋体" w:eastAsia="宋体" w:cs="Times New Roman"/>
                <w:kern w:val="0"/>
                <w:sz w:val="24"/>
              </w:rPr>
              <w:t>三级      □小微企业</w:t>
            </w:r>
          </w:p>
        </w:tc>
      </w:tr>
      <w:tr w14:paraId="3531EA00">
        <w:tblPrEx>
          <w:tblCellMar>
            <w:top w:w="0" w:type="dxa"/>
            <w:left w:w="108" w:type="dxa"/>
            <w:bottom w:w="0" w:type="dxa"/>
            <w:right w:w="108" w:type="dxa"/>
          </w:tblCellMar>
        </w:tblPrEx>
        <w:tc>
          <w:tcPr>
            <w:tcW w:w="9286" w:type="dxa"/>
            <w:gridSpan w:val="10"/>
            <w:tcBorders>
              <w:top w:val="single" w:color="000000" w:sz="4" w:space="0"/>
              <w:left w:val="single" w:color="000000" w:sz="4" w:space="0"/>
              <w:bottom w:val="single" w:color="000000" w:sz="4" w:space="0"/>
              <w:right w:val="single" w:color="000000" w:sz="4" w:space="0"/>
            </w:tcBorders>
            <w:noWrap w:val="0"/>
            <w:vAlign w:val="center"/>
          </w:tcPr>
          <w:p w14:paraId="22455805">
            <w:pPr>
              <w:widowControl/>
              <w:spacing w:before="46"/>
              <w:rPr>
                <w:rFonts w:ascii="宋体" w:hAnsi="宋体" w:eastAsia="宋体" w:cs="Times New Roman"/>
                <w:spacing w:val="-16"/>
                <w:kern w:val="0"/>
                <w:sz w:val="24"/>
              </w:rPr>
            </w:pPr>
            <w:r>
              <w:rPr>
                <w:rFonts w:hint="eastAsia" w:ascii="宋体" w:hAnsi="宋体" w:eastAsia="宋体" w:cs="Times New Roman"/>
                <w:spacing w:val="-16"/>
                <w:kern w:val="0"/>
                <w:sz w:val="24"/>
              </w:rPr>
              <w:t xml:space="preserve">本次自评前本专业曾经取得的标准化等级:□一级  □二级  </w:t>
            </w:r>
            <w:r>
              <w:rPr>
                <w:rFonts w:hint="eastAsia" w:ascii="宋体" w:hAnsi="宋体" w:cs="Times New Roman"/>
                <w:spacing w:val="-16"/>
                <w:kern w:val="0"/>
                <w:sz w:val="24"/>
                <w:lang w:eastAsia="zh-CN"/>
              </w:rPr>
              <w:t>☑</w:t>
            </w:r>
            <w:r>
              <w:rPr>
                <w:rFonts w:hint="eastAsia" w:ascii="宋体" w:hAnsi="宋体" w:eastAsia="宋体" w:cs="Times New Roman"/>
                <w:spacing w:val="-16"/>
                <w:kern w:val="0"/>
                <w:sz w:val="24"/>
              </w:rPr>
              <w:t>三级   □ 小微企业    □无</w:t>
            </w:r>
          </w:p>
        </w:tc>
      </w:tr>
      <w:tr w14:paraId="4C6D332E">
        <w:tblPrEx>
          <w:tblCellMar>
            <w:top w:w="0" w:type="dxa"/>
            <w:left w:w="108" w:type="dxa"/>
            <w:bottom w:w="0" w:type="dxa"/>
            <w:right w:w="108" w:type="dxa"/>
          </w:tblCellMar>
        </w:tblPrEx>
        <w:trPr>
          <w:trHeight w:val="1100" w:hRule="atLeast"/>
        </w:trPr>
        <w:tc>
          <w:tcPr>
            <w:tcW w:w="9286" w:type="dxa"/>
            <w:gridSpan w:val="10"/>
            <w:tcBorders>
              <w:top w:val="single" w:color="000000" w:sz="4" w:space="0"/>
              <w:left w:val="single" w:color="000000" w:sz="4" w:space="0"/>
              <w:bottom w:val="single" w:color="000000" w:sz="4" w:space="0"/>
              <w:right w:val="single" w:color="000000" w:sz="4" w:space="0"/>
            </w:tcBorders>
            <w:noWrap w:val="0"/>
            <w:vAlign w:val="center"/>
          </w:tcPr>
          <w:p w14:paraId="68E66545">
            <w:pPr>
              <w:widowControl/>
              <w:spacing w:before="46"/>
              <w:rPr>
                <w:rFonts w:ascii="宋体" w:hAnsi="宋体" w:eastAsia="宋体" w:cs="Times New Roman"/>
                <w:kern w:val="0"/>
                <w:sz w:val="24"/>
              </w:rPr>
            </w:pPr>
            <w:r>
              <w:rPr>
                <w:rFonts w:hint="eastAsia" w:ascii="宋体" w:hAnsi="宋体" w:eastAsia="宋体" w:cs="Times New Roman"/>
                <w:kern w:val="0"/>
                <w:sz w:val="24"/>
              </w:rPr>
              <w:t>如果企业是某企业集团的成员单位，请注明企业集团名称:</w:t>
            </w:r>
          </w:p>
          <w:p w14:paraId="58500F02">
            <w:pPr>
              <w:widowControl/>
              <w:spacing w:before="46"/>
              <w:rPr>
                <w:rFonts w:ascii="宋体" w:hAnsi="宋体" w:eastAsia="宋体" w:cs="Times New Roman"/>
                <w:kern w:val="0"/>
                <w:sz w:val="24"/>
              </w:rPr>
            </w:pPr>
          </w:p>
        </w:tc>
      </w:tr>
      <w:tr w14:paraId="5E7EBDC8">
        <w:tblPrEx>
          <w:tblCellMar>
            <w:top w:w="0" w:type="dxa"/>
            <w:left w:w="108" w:type="dxa"/>
            <w:bottom w:w="0" w:type="dxa"/>
            <w:right w:w="108" w:type="dxa"/>
          </w:tblCellMar>
        </w:tblPrEx>
        <w:tc>
          <w:tcPr>
            <w:tcW w:w="9286" w:type="dxa"/>
            <w:gridSpan w:val="10"/>
            <w:tcBorders>
              <w:top w:val="single" w:color="000000" w:sz="4" w:space="0"/>
              <w:left w:val="single" w:color="000000" w:sz="4" w:space="0"/>
              <w:bottom w:val="single" w:color="000000" w:sz="4" w:space="0"/>
              <w:right w:val="single" w:color="000000" w:sz="4" w:space="0"/>
            </w:tcBorders>
            <w:noWrap w:val="0"/>
            <w:vAlign w:val="center"/>
          </w:tcPr>
          <w:p w14:paraId="4B57F041">
            <w:pPr>
              <w:widowControl/>
              <w:spacing w:before="46"/>
              <w:ind w:left="384" w:hanging="395"/>
              <w:rPr>
                <w:rFonts w:hint="eastAsia" w:ascii="宋体" w:hAnsi="宋体" w:eastAsia="宋体" w:cs="Times New Roman"/>
                <w:kern w:val="0"/>
                <w:sz w:val="24"/>
              </w:rPr>
            </w:pPr>
            <w:r>
              <w:rPr>
                <w:rFonts w:hint="eastAsia" w:ascii="宋体" w:hAnsi="宋体" w:eastAsia="宋体" w:cs="Times New Roman"/>
                <w:spacing w:val="-4"/>
                <w:kern w:val="0"/>
                <w:sz w:val="24"/>
              </w:rPr>
              <w:t>如果已取得职业健康安全管理体系认证证书,请注明证书名称和发证机构</w:t>
            </w:r>
            <w:r>
              <w:rPr>
                <w:rFonts w:hint="eastAsia" w:ascii="宋体" w:hAnsi="宋体" w:eastAsia="宋体" w:cs="Times New Roman"/>
                <w:kern w:val="0"/>
                <w:sz w:val="24"/>
              </w:rPr>
              <w:t>:</w:t>
            </w:r>
          </w:p>
          <w:p w14:paraId="5566696F">
            <w:pPr>
              <w:widowControl/>
              <w:spacing w:before="46"/>
              <w:ind w:left="384" w:hanging="395"/>
              <w:rPr>
                <w:rFonts w:hint="eastAsia" w:ascii="宋体" w:hAnsi="宋体" w:eastAsia="宋体" w:cs="Times New Roman"/>
                <w:kern w:val="0"/>
                <w:sz w:val="24"/>
              </w:rPr>
            </w:pPr>
          </w:p>
          <w:p w14:paraId="28CAEED3">
            <w:pPr>
              <w:widowControl/>
              <w:spacing w:before="46"/>
              <w:ind w:left="384" w:hanging="395"/>
              <w:rPr>
                <w:rFonts w:hint="eastAsia" w:ascii="宋体" w:hAnsi="宋体" w:eastAsia="宋体" w:cs="Times New Roman"/>
                <w:kern w:val="0"/>
                <w:sz w:val="24"/>
              </w:rPr>
            </w:pPr>
          </w:p>
          <w:p w14:paraId="5DA3B3D9">
            <w:pPr>
              <w:widowControl/>
              <w:spacing w:before="46"/>
              <w:rPr>
                <w:rFonts w:ascii="宋体" w:hAnsi="宋体" w:eastAsia="宋体" w:cs="Times New Roman"/>
                <w:kern w:val="0"/>
                <w:sz w:val="24"/>
              </w:rPr>
            </w:pPr>
          </w:p>
        </w:tc>
      </w:tr>
      <w:tr w14:paraId="088F57D1">
        <w:tblPrEx>
          <w:tblCellMar>
            <w:top w:w="0" w:type="dxa"/>
            <w:left w:w="108" w:type="dxa"/>
            <w:bottom w:w="0" w:type="dxa"/>
            <w:right w:w="108" w:type="dxa"/>
          </w:tblCellMar>
        </w:tblPrEx>
        <w:tc>
          <w:tcPr>
            <w:tcW w:w="917" w:type="dxa"/>
            <w:vMerge w:val="restart"/>
            <w:tcBorders>
              <w:top w:val="nil"/>
              <w:left w:val="single" w:color="000000" w:sz="4" w:space="0"/>
              <w:bottom w:val="single" w:color="000000" w:sz="4" w:space="0"/>
              <w:right w:val="single" w:color="000000" w:sz="4" w:space="0"/>
            </w:tcBorders>
            <w:noWrap w:val="0"/>
            <w:vAlign w:val="center"/>
          </w:tcPr>
          <w:p w14:paraId="59340FAE">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本企业安全生产标准化自评小组主要成员</w:t>
            </w:r>
          </w:p>
        </w:tc>
        <w:tc>
          <w:tcPr>
            <w:tcW w:w="788" w:type="dxa"/>
            <w:tcBorders>
              <w:top w:val="single" w:color="000000" w:sz="4" w:space="0"/>
              <w:left w:val="nil"/>
              <w:bottom w:val="single" w:color="000000" w:sz="4" w:space="0"/>
              <w:right w:val="single" w:color="000000" w:sz="4" w:space="0"/>
            </w:tcBorders>
            <w:noWrap w:val="0"/>
            <w:vAlign w:val="center"/>
          </w:tcPr>
          <w:p w14:paraId="6B885200">
            <w:pPr>
              <w:widowControl/>
              <w:spacing w:before="46"/>
              <w:jc w:val="center"/>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6AA6B835">
            <w:pPr>
              <w:widowControl/>
              <w:spacing w:before="46"/>
              <w:jc w:val="distribute"/>
              <w:rPr>
                <w:rFonts w:ascii="宋体" w:hAnsi="宋体" w:eastAsia="宋体" w:cs="Times New Roman"/>
                <w:kern w:val="0"/>
                <w:sz w:val="24"/>
              </w:rPr>
            </w:pPr>
            <w:r>
              <w:rPr>
                <w:rFonts w:hint="eastAsia" w:ascii="宋体" w:hAnsi="宋体" w:eastAsia="宋体" w:cs="Times New Roman"/>
                <w:kern w:val="0"/>
                <w:sz w:val="24"/>
              </w:rPr>
              <w:t>姓名</w:t>
            </w:r>
          </w:p>
        </w:tc>
        <w:tc>
          <w:tcPr>
            <w:tcW w:w="3307" w:type="dxa"/>
            <w:gridSpan w:val="3"/>
            <w:tcBorders>
              <w:top w:val="single" w:color="000000" w:sz="4" w:space="0"/>
              <w:left w:val="nil"/>
              <w:bottom w:val="single" w:color="000000" w:sz="4" w:space="0"/>
              <w:right w:val="single" w:color="000000" w:sz="4" w:space="0"/>
            </w:tcBorders>
            <w:noWrap w:val="0"/>
            <w:vAlign w:val="center"/>
          </w:tcPr>
          <w:p w14:paraId="0D6D1E02">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所在部门 职务</w:t>
            </w:r>
            <w:r>
              <w:rPr>
                <w:rFonts w:hint="eastAsia" w:ascii="仿宋_GB2312" w:eastAsia="仿宋_GB2312" w:cs="Times New Roman"/>
                <w:kern w:val="0"/>
                <w:sz w:val="24"/>
              </w:rPr>
              <w:t>/</w:t>
            </w:r>
            <w:r>
              <w:rPr>
                <w:rFonts w:hint="eastAsia" w:ascii="宋体" w:hAnsi="宋体" w:eastAsia="宋体" w:cs="Times New Roman"/>
                <w:kern w:val="0"/>
                <w:sz w:val="24"/>
              </w:rPr>
              <w:t>职称</w:t>
            </w:r>
          </w:p>
        </w:tc>
        <w:tc>
          <w:tcPr>
            <w:tcW w:w="1586" w:type="dxa"/>
            <w:gridSpan w:val="2"/>
            <w:tcBorders>
              <w:top w:val="single" w:color="000000" w:sz="4" w:space="0"/>
              <w:left w:val="nil"/>
              <w:bottom w:val="single" w:color="000000" w:sz="4" w:space="0"/>
              <w:right w:val="single" w:color="000000" w:sz="4" w:space="0"/>
            </w:tcBorders>
            <w:noWrap w:val="0"/>
            <w:vAlign w:val="center"/>
          </w:tcPr>
          <w:p w14:paraId="7C274094">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电话</w:t>
            </w:r>
          </w:p>
        </w:tc>
        <w:tc>
          <w:tcPr>
            <w:tcW w:w="1486" w:type="dxa"/>
            <w:tcBorders>
              <w:top w:val="single" w:color="000000" w:sz="4" w:space="0"/>
              <w:left w:val="nil"/>
              <w:bottom w:val="single" w:color="000000" w:sz="4" w:space="0"/>
              <w:right w:val="single" w:color="000000" w:sz="4" w:space="0"/>
            </w:tcBorders>
            <w:noWrap w:val="0"/>
            <w:vAlign w:val="center"/>
          </w:tcPr>
          <w:p w14:paraId="45AE7A9F">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备注</w:t>
            </w:r>
          </w:p>
        </w:tc>
      </w:tr>
      <w:tr w14:paraId="16AD9F75">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71643F78">
            <w:pPr>
              <w:widowControl/>
              <w:jc w:val="left"/>
              <w:rPr>
                <w:rFonts w:ascii="宋体" w:hAnsi="宋体" w:eastAsia="宋体" w:cs="Times New Roman"/>
                <w:kern w:val="0"/>
                <w:sz w:val="24"/>
              </w:rPr>
            </w:pPr>
          </w:p>
        </w:tc>
        <w:tc>
          <w:tcPr>
            <w:tcW w:w="788" w:type="dxa"/>
            <w:tcBorders>
              <w:top w:val="single" w:color="000000" w:sz="4" w:space="0"/>
              <w:left w:val="nil"/>
              <w:bottom w:val="single" w:color="000000" w:sz="4" w:space="0"/>
              <w:right w:val="single" w:color="000000" w:sz="4" w:space="0"/>
            </w:tcBorders>
            <w:noWrap w:val="0"/>
            <w:vAlign w:val="center"/>
          </w:tcPr>
          <w:p w14:paraId="380924A7">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组长</w:t>
            </w:r>
          </w:p>
        </w:tc>
        <w:tc>
          <w:tcPr>
            <w:tcW w:w="1202" w:type="dxa"/>
            <w:gridSpan w:val="2"/>
            <w:tcBorders>
              <w:top w:val="single" w:color="000000" w:sz="4" w:space="0"/>
              <w:left w:val="nil"/>
              <w:bottom w:val="single" w:color="000000" w:sz="4" w:space="0"/>
              <w:right w:val="single" w:color="000000" w:sz="4" w:space="0"/>
            </w:tcBorders>
            <w:noWrap w:val="0"/>
            <w:vAlign w:val="center"/>
          </w:tcPr>
          <w:p w14:paraId="167926A5">
            <w:pPr>
              <w:keepNext w:val="0"/>
              <w:keepLines w:val="0"/>
              <w:suppressLineNumbers w:val="0"/>
              <w:adjustRightInd w:val="0"/>
              <w:snapToGrid w:val="0"/>
              <w:spacing w:before="87" w:beforeLines="15" w:beforeAutospacing="0" w:after="0" w:afterAutospacing="0"/>
              <w:ind w:left="0" w:leftChars="0" w:right="0" w:rightChars="0" w:firstLine="240" w:firstLineChars="100"/>
              <w:jc w:val="both"/>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白昊</w:t>
            </w:r>
          </w:p>
        </w:tc>
        <w:tc>
          <w:tcPr>
            <w:tcW w:w="3307" w:type="dxa"/>
            <w:gridSpan w:val="3"/>
            <w:tcBorders>
              <w:top w:val="single" w:color="000000" w:sz="4" w:space="0"/>
              <w:left w:val="nil"/>
              <w:bottom w:val="single" w:color="000000" w:sz="4" w:space="0"/>
              <w:right w:val="single" w:color="000000" w:sz="4" w:space="0"/>
            </w:tcBorders>
            <w:noWrap w:val="0"/>
            <w:vAlign w:val="center"/>
          </w:tcPr>
          <w:p w14:paraId="7EEB5517">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总经理</w:t>
            </w:r>
          </w:p>
        </w:tc>
        <w:tc>
          <w:tcPr>
            <w:tcW w:w="1586" w:type="dxa"/>
            <w:gridSpan w:val="2"/>
            <w:tcBorders>
              <w:top w:val="single" w:color="000000" w:sz="4" w:space="0"/>
              <w:left w:val="nil"/>
              <w:bottom w:val="single" w:color="000000" w:sz="4" w:space="0"/>
              <w:right w:val="single" w:color="000000" w:sz="4" w:space="0"/>
            </w:tcBorders>
            <w:noWrap w:val="0"/>
            <w:vAlign w:val="center"/>
          </w:tcPr>
          <w:p w14:paraId="7A5B9D6F">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18662245226</w:t>
            </w:r>
          </w:p>
        </w:tc>
        <w:tc>
          <w:tcPr>
            <w:tcW w:w="1486" w:type="dxa"/>
            <w:tcBorders>
              <w:top w:val="single" w:color="000000" w:sz="4" w:space="0"/>
              <w:left w:val="nil"/>
              <w:bottom w:val="single" w:color="000000" w:sz="4" w:space="0"/>
              <w:right w:val="single" w:color="000000" w:sz="4" w:space="0"/>
            </w:tcBorders>
            <w:noWrap w:val="0"/>
            <w:vAlign w:val="center"/>
          </w:tcPr>
          <w:p w14:paraId="282AE32A">
            <w:pPr>
              <w:widowControl/>
              <w:spacing w:before="46"/>
              <w:rPr>
                <w:rFonts w:ascii="宋体" w:hAnsi="宋体" w:eastAsia="宋体" w:cs="Times New Roman"/>
                <w:kern w:val="0"/>
                <w:sz w:val="24"/>
              </w:rPr>
            </w:pPr>
          </w:p>
        </w:tc>
      </w:tr>
      <w:tr w14:paraId="21C84A3E">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34B4466B">
            <w:pPr>
              <w:widowControl/>
              <w:jc w:val="left"/>
              <w:rPr>
                <w:rFonts w:ascii="宋体" w:hAnsi="宋体" w:eastAsia="宋体" w:cs="Times New Roman"/>
                <w:kern w:val="0"/>
                <w:sz w:val="24"/>
              </w:rPr>
            </w:pPr>
          </w:p>
        </w:tc>
        <w:tc>
          <w:tcPr>
            <w:tcW w:w="788" w:type="dxa"/>
            <w:vMerge w:val="restart"/>
            <w:tcBorders>
              <w:top w:val="nil"/>
              <w:left w:val="nil"/>
              <w:bottom w:val="single" w:color="000000" w:sz="4" w:space="0"/>
              <w:right w:val="single" w:color="000000" w:sz="4" w:space="0"/>
            </w:tcBorders>
            <w:noWrap w:val="0"/>
            <w:vAlign w:val="top"/>
          </w:tcPr>
          <w:p w14:paraId="5A65D518">
            <w:pPr>
              <w:widowControl/>
              <w:spacing w:before="46"/>
              <w:jc w:val="center"/>
              <w:rPr>
                <w:rFonts w:ascii="宋体" w:hAnsi="宋体" w:eastAsia="宋体" w:cs="Times New Roman"/>
                <w:kern w:val="0"/>
                <w:sz w:val="24"/>
              </w:rPr>
            </w:pPr>
            <w:r>
              <w:rPr>
                <w:rFonts w:hint="eastAsia" w:ascii="宋体" w:hAnsi="宋体" w:eastAsia="宋体" w:cs="Times New Roman"/>
                <w:kern w:val="0"/>
                <w:sz w:val="24"/>
              </w:rPr>
              <w:t>成员</w:t>
            </w:r>
          </w:p>
        </w:tc>
        <w:tc>
          <w:tcPr>
            <w:tcW w:w="1202" w:type="dxa"/>
            <w:gridSpan w:val="2"/>
            <w:tcBorders>
              <w:top w:val="single" w:color="000000" w:sz="4" w:space="0"/>
              <w:left w:val="nil"/>
              <w:bottom w:val="single" w:color="000000" w:sz="4" w:space="0"/>
              <w:right w:val="single" w:color="000000" w:sz="4" w:space="0"/>
            </w:tcBorders>
            <w:noWrap w:val="0"/>
            <w:vAlign w:val="center"/>
          </w:tcPr>
          <w:p w14:paraId="312FBE4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汤秀辉</w:t>
            </w:r>
          </w:p>
        </w:tc>
        <w:tc>
          <w:tcPr>
            <w:tcW w:w="3307" w:type="dxa"/>
            <w:gridSpan w:val="3"/>
            <w:tcBorders>
              <w:top w:val="single" w:color="000000" w:sz="4" w:space="0"/>
              <w:left w:val="nil"/>
              <w:bottom w:val="single" w:color="000000" w:sz="4" w:space="0"/>
              <w:right w:val="single" w:color="000000" w:sz="4" w:space="0"/>
            </w:tcBorders>
            <w:noWrap w:val="0"/>
            <w:vAlign w:val="center"/>
          </w:tcPr>
          <w:p w14:paraId="567FF35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安全总监</w:t>
            </w:r>
          </w:p>
        </w:tc>
        <w:tc>
          <w:tcPr>
            <w:tcW w:w="1586" w:type="dxa"/>
            <w:gridSpan w:val="2"/>
            <w:tcBorders>
              <w:top w:val="single" w:color="000000" w:sz="4" w:space="0"/>
              <w:left w:val="nil"/>
              <w:bottom w:val="single" w:color="000000" w:sz="4" w:space="0"/>
              <w:right w:val="single" w:color="000000" w:sz="4" w:space="0"/>
            </w:tcBorders>
            <w:noWrap w:val="0"/>
            <w:vAlign w:val="center"/>
          </w:tcPr>
          <w:p w14:paraId="6793C140">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15083891407</w:t>
            </w:r>
          </w:p>
        </w:tc>
        <w:tc>
          <w:tcPr>
            <w:tcW w:w="1486" w:type="dxa"/>
            <w:tcBorders>
              <w:top w:val="single" w:color="000000" w:sz="4" w:space="0"/>
              <w:left w:val="nil"/>
              <w:bottom w:val="single" w:color="000000" w:sz="4" w:space="0"/>
              <w:right w:val="single" w:color="000000" w:sz="4" w:space="0"/>
            </w:tcBorders>
            <w:noWrap w:val="0"/>
            <w:vAlign w:val="center"/>
          </w:tcPr>
          <w:p w14:paraId="237E74BE">
            <w:pPr>
              <w:widowControl/>
              <w:spacing w:before="46"/>
              <w:rPr>
                <w:rFonts w:ascii="宋体" w:hAnsi="宋体" w:eastAsia="宋体" w:cs="Times New Roman"/>
                <w:kern w:val="0"/>
                <w:sz w:val="24"/>
              </w:rPr>
            </w:pPr>
          </w:p>
        </w:tc>
      </w:tr>
      <w:tr w14:paraId="4B2C46E2">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520C071A">
            <w:pPr>
              <w:widowControl/>
              <w:jc w:val="left"/>
              <w:rPr>
                <w:rFonts w:ascii="宋体" w:hAnsi="宋体" w:eastAsia="宋体" w:cs="Times New Roman"/>
                <w:kern w:val="0"/>
                <w:sz w:val="24"/>
              </w:rPr>
            </w:pPr>
          </w:p>
        </w:tc>
        <w:tc>
          <w:tcPr>
            <w:tcW w:w="788" w:type="dxa"/>
            <w:vMerge w:val="continue"/>
            <w:tcBorders>
              <w:top w:val="nil"/>
              <w:left w:val="nil"/>
              <w:bottom w:val="single" w:color="000000" w:sz="4" w:space="0"/>
              <w:right w:val="single" w:color="000000" w:sz="4" w:space="0"/>
            </w:tcBorders>
            <w:noWrap w:val="0"/>
            <w:vAlign w:val="center"/>
          </w:tcPr>
          <w:p w14:paraId="3E907B32">
            <w:pPr>
              <w:widowControl/>
              <w:jc w:val="left"/>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736F219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阮汝明</w:t>
            </w:r>
          </w:p>
        </w:tc>
        <w:tc>
          <w:tcPr>
            <w:tcW w:w="3307" w:type="dxa"/>
            <w:gridSpan w:val="3"/>
            <w:tcBorders>
              <w:top w:val="single" w:color="000000" w:sz="4" w:space="0"/>
              <w:left w:val="nil"/>
              <w:bottom w:val="single" w:color="000000" w:sz="4" w:space="0"/>
              <w:right w:val="single" w:color="000000" w:sz="4" w:space="0"/>
            </w:tcBorders>
            <w:noWrap w:val="0"/>
            <w:vAlign w:val="center"/>
          </w:tcPr>
          <w:p w14:paraId="05CC4E16">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生产技术副总</w:t>
            </w:r>
          </w:p>
        </w:tc>
        <w:tc>
          <w:tcPr>
            <w:tcW w:w="1586" w:type="dxa"/>
            <w:gridSpan w:val="2"/>
            <w:tcBorders>
              <w:top w:val="single" w:color="000000" w:sz="4" w:space="0"/>
              <w:left w:val="nil"/>
              <w:bottom w:val="single" w:color="000000" w:sz="4" w:space="0"/>
              <w:right w:val="single" w:color="000000" w:sz="4" w:space="0"/>
            </w:tcBorders>
            <w:noWrap w:val="0"/>
            <w:vAlign w:val="center"/>
          </w:tcPr>
          <w:p w14:paraId="239DE86C">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18262107217</w:t>
            </w:r>
          </w:p>
        </w:tc>
        <w:tc>
          <w:tcPr>
            <w:tcW w:w="1486" w:type="dxa"/>
            <w:tcBorders>
              <w:top w:val="single" w:color="000000" w:sz="4" w:space="0"/>
              <w:left w:val="nil"/>
              <w:bottom w:val="single" w:color="000000" w:sz="4" w:space="0"/>
              <w:right w:val="single" w:color="000000" w:sz="4" w:space="0"/>
            </w:tcBorders>
            <w:noWrap w:val="0"/>
            <w:vAlign w:val="center"/>
          </w:tcPr>
          <w:p w14:paraId="1B0172A3">
            <w:pPr>
              <w:widowControl/>
              <w:spacing w:before="46"/>
              <w:rPr>
                <w:rFonts w:ascii="宋体" w:hAnsi="宋体" w:eastAsia="宋体" w:cs="Times New Roman"/>
                <w:kern w:val="0"/>
                <w:sz w:val="24"/>
              </w:rPr>
            </w:pPr>
          </w:p>
        </w:tc>
      </w:tr>
      <w:tr w14:paraId="584AE55F">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3B8BCC8A">
            <w:pPr>
              <w:widowControl/>
              <w:jc w:val="left"/>
              <w:rPr>
                <w:rFonts w:ascii="宋体" w:hAnsi="宋体" w:eastAsia="宋体" w:cs="Times New Roman"/>
                <w:kern w:val="0"/>
                <w:sz w:val="24"/>
              </w:rPr>
            </w:pPr>
          </w:p>
        </w:tc>
        <w:tc>
          <w:tcPr>
            <w:tcW w:w="788" w:type="dxa"/>
            <w:vMerge w:val="continue"/>
            <w:tcBorders>
              <w:top w:val="nil"/>
              <w:left w:val="nil"/>
              <w:bottom w:val="single" w:color="000000" w:sz="4" w:space="0"/>
              <w:right w:val="single" w:color="000000" w:sz="4" w:space="0"/>
            </w:tcBorders>
            <w:noWrap w:val="0"/>
            <w:vAlign w:val="center"/>
          </w:tcPr>
          <w:p w14:paraId="48A62BC8">
            <w:pPr>
              <w:widowControl/>
              <w:jc w:val="left"/>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3A8FCF1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魏永祥</w:t>
            </w:r>
          </w:p>
        </w:tc>
        <w:tc>
          <w:tcPr>
            <w:tcW w:w="3307" w:type="dxa"/>
            <w:gridSpan w:val="3"/>
            <w:tcBorders>
              <w:top w:val="single" w:color="000000" w:sz="4" w:space="0"/>
              <w:left w:val="nil"/>
              <w:bottom w:val="single" w:color="000000" w:sz="4" w:space="0"/>
              <w:right w:val="single" w:color="000000" w:sz="4" w:space="0"/>
            </w:tcBorders>
            <w:noWrap w:val="0"/>
            <w:vAlign w:val="center"/>
          </w:tcPr>
          <w:p w14:paraId="4E1F7472">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设备部部长</w:t>
            </w:r>
          </w:p>
        </w:tc>
        <w:tc>
          <w:tcPr>
            <w:tcW w:w="1586" w:type="dxa"/>
            <w:gridSpan w:val="2"/>
            <w:tcBorders>
              <w:top w:val="single" w:color="000000" w:sz="4" w:space="0"/>
              <w:left w:val="nil"/>
              <w:bottom w:val="single" w:color="000000" w:sz="4" w:space="0"/>
              <w:right w:val="single" w:color="000000" w:sz="4" w:space="0"/>
            </w:tcBorders>
            <w:noWrap w:val="0"/>
            <w:vAlign w:val="center"/>
          </w:tcPr>
          <w:p w14:paraId="1920CE9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18115857918</w:t>
            </w:r>
          </w:p>
        </w:tc>
        <w:tc>
          <w:tcPr>
            <w:tcW w:w="1486" w:type="dxa"/>
            <w:tcBorders>
              <w:top w:val="single" w:color="000000" w:sz="4" w:space="0"/>
              <w:left w:val="nil"/>
              <w:bottom w:val="single" w:color="000000" w:sz="4" w:space="0"/>
              <w:right w:val="single" w:color="000000" w:sz="4" w:space="0"/>
            </w:tcBorders>
            <w:noWrap w:val="0"/>
            <w:vAlign w:val="center"/>
          </w:tcPr>
          <w:p w14:paraId="7C2913A1">
            <w:pPr>
              <w:widowControl/>
              <w:spacing w:before="46"/>
              <w:rPr>
                <w:rFonts w:ascii="宋体" w:hAnsi="宋体" w:eastAsia="宋体" w:cs="Times New Roman"/>
                <w:kern w:val="0"/>
                <w:sz w:val="24"/>
              </w:rPr>
            </w:pPr>
          </w:p>
        </w:tc>
      </w:tr>
      <w:tr w14:paraId="662FD2BA">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7AD6E30E">
            <w:pPr>
              <w:widowControl/>
              <w:jc w:val="left"/>
              <w:rPr>
                <w:rFonts w:ascii="宋体" w:hAnsi="宋体" w:eastAsia="宋体" w:cs="Times New Roman"/>
                <w:kern w:val="0"/>
                <w:sz w:val="24"/>
              </w:rPr>
            </w:pPr>
          </w:p>
        </w:tc>
        <w:tc>
          <w:tcPr>
            <w:tcW w:w="788" w:type="dxa"/>
            <w:vMerge w:val="continue"/>
            <w:tcBorders>
              <w:top w:val="nil"/>
              <w:left w:val="nil"/>
              <w:bottom w:val="single" w:color="000000" w:sz="4" w:space="0"/>
              <w:right w:val="single" w:color="000000" w:sz="4" w:space="0"/>
            </w:tcBorders>
            <w:noWrap w:val="0"/>
            <w:vAlign w:val="center"/>
          </w:tcPr>
          <w:p w14:paraId="27FFC3E2">
            <w:pPr>
              <w:widowControl/>
              <w:jc w:val="left"/>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584A8C68">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胡莎莎</w:t>
            </w:r>
          </w:p>
        </w:tc>
        <w:tc>
          <w:tcPr>
            <w:tcW w:w="3307" w:type="dxa"/>
            <w:gridSpan w:val="3"/>
            <w:tcBorders>
              <w:top w:val="single" w:color="000000" w:sz="4" w:space="0"/>
              <w:left w:val="nil"/>
              <w:bottom w:val="single" w:color="000000" w:sz="4" w:space="0"/>
              <w:right w:val="single" w:color="000000" w:sz="4" w:space="0"/>
            </w:tcBorders>
            <w:noWrap w:val="0"/>
            <w:vAlign w:val="center"/>
          </w:tcPr>
          <w:p w14:paraId="6E5AC22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安全员</w:t>
            </w:r>
          </w:p>
        </w:tc>
        <w:tc>
          <w:tcPr>
            <w:tcW w:w="1586" w:type="dxa"/>
            <w:gridSpan w:val="2"/>
            <w:tcBorders>
              <w:top w:val="single" w:color="000000" w:sz="4" w:space="0"/>
              <w:left w:val="nil"/>
              <w:bottom w:val="single" w:color="000000" w:sz="4" w:space="0"/>
              <w:right w:val="single" w:color="000000" w:sz="4" w:space="0"/>
            </w:tcBorders>
            <w:noWrap w:val="0"/>
            <w:vAlign w:val="center"/>
          </w:tcPr>
          <w:p w14:paraId="162250F7">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18717165484</w:t>
            </w:r>
          </w:p>
        </w:tc>
        <w:tc>
          <w:tcPr>
            <w:tcW w:w="1486" w:type="dxa"/>
            <w:tcBorders>
              <w:top w:val="single" w:color="000000" w:sz="4" w:space="0"/>
              <w:left w:val="nil"/>
              <w:bottom w:val="single" w:color="000000" w:sz="4" w:space="0"/>
              <w:right w:val="single" w:color="000000" w:sz="4" w:space="0"/>
            </w:tcBorders>
            <w:noWrap w:val="0"/>
            <w:vAlign w:val="center"/>
          </w:tcPr>
          <w:p w14:paraId="70D85102">
            <w:pPr>
              <w:widowControl/>
              <w:spacing w:before="46"/>
              <w:rPr>
                <w:rFonts w:ascii="宋体" w:hAnsi="宋体" w:eastAsia="宋体" w:cs="Times New Roman"/>
                <w:kern w:val="0"/>
                <w:sz w:val="24"/>
              </w:rPr>
            </w:pPr>
          </w:p>
        </w:tc>
      </w:tr>
      <w:tr w14:paraId="4F37ADAB">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7FEB20DF">
            <w:pPr>
              <w:widowControl/>
              <w:jc w:val="left"/>
              <w:rPr>
                <w:rFonts w:ascii="宋体" w:hAnsi="宋体" w:eastAsia="宋体" w:cs="Times New Roman"/>
                <w:kern w:val="0"/>
                <w:sz w:val="24"/>
              </w:rPr>
            </w:pPr>
          </w:p>
        </w:tc>
        <w:tc>
          <w:tcPr>
            <w:tcW w:w="788" w:type="dxa"/>
            <w:vMerge w:val="continue"/>
            <w:tcBorders>
              <w:top w:val="nil"/>
              <w:left w:val="nil"/>
              <w:bottom w:val="single" w:color="000000" w:sz="4" w:space="0"/>
              <w:right w:val="single" w:color="000000" w:sz="4" w:space="0"/>
            </w:tcBorders>
            <w:noWrap w:val="0"/>
            <w:vAlign w:val="center"/>
          </w:tcPr>
          <w:p w14:paraId="52E68885">
            <w:pPr>
              <w:widowControl/>
              <w:jc w:val="left"/>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526F8E5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湛正科</w:t>
            </w:r>
          </w:p>
        </w:tc>
        <w:tc>
          <w:tcPr>
            <w:tcW w:w="3307" w:type="dxa"/>
            <w:gridSpan w:val="3"/>
            <w:tcBorders>
              <w:top w:val="single" w:color="000000" w:sz="4" w:space="0"/>
              <w:left w:val="nil"/>
              <w:bottom w:val="single" w:color="000000" w:sz="4" w:space="0"/>
              <w:right w:val="single" w:color="000000" w:sz="4" w:space="0"/>
            </w:tcBorders>
            <w:noWrap w:val="0"/>
            <w:vAlign w:val="center"/>
          </w:tcPr>
          <w:p w14:paraId="1293F2D4">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安全员</w:t>
            </w:r>
          </w:p>
        </w:tc>
        <w:tc>
          <w:tcPr>
            <w:tcW w:w="1586" w:type="dxa"/>
            <w:gridSpan w:val="2"/>
            <w:tcBorders>
              <w:top w:val="single" w:color="000000" w:sz="4" w:space="0"/>
              <w:left w:val="nil"/>
              <w:bottom w:val="single" w:color="000000" w:sz="4" w:space="0"/>
              <w:right w:val="single" w:color="000000" w:sz="4" w:space="0"/>
            </w:tcBorders>
            <w:noWrap w:val="0"/>
            <w:vAlign w:val="center"/>
          </w:tcPr>
          <w:p w14:paraId="32970FE6">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Times New Roman"/>
                <w:kern w:val="0"/>
                <w:sz w:val="24"/>
              </w:rPr>
            </w:pPr>
            <w:r>
              <w:rPr>
                <w:rFonts w:hint="eastAsia" w:ascii="仿宋" w:hAnsi="仿宋" w:eastAsia="仿宋" w:cs="仿宋"/>
                <w:snapToGrid w:val="0"/>
                <w:kern w:val="0"/>
                <w:sz w:val="24"/>
                <w:szCs w:val="24"/>
                <w:lang w:val="en-US" w:eastAsia="zh-CN"/>
              </w:rPr>
              <w:t>17386610685</w:t>
            </w:r>
          </w:p>
        </w:tc>
        <w:tc>
          <w:tcPr>
            <w:tcW w:w="1486" w:type="dxa"/>
            <w:tcBorders>
              <w:top w:val="single" w:color="000000" w:sz="4" w:space="0"/>
              <w:left w:val="nil"/>
              <w:bottom w:val="single" w:color="000000" w:sz="4" w:space="0"/>
              <w:right w:val="single" w:color="000000" w:sz="4" w:space="0"/>
            </w:tcBorders>
            <w:noWrap w:val="0"/>
            <w:vAlign w:val="center"/>
          </w:tcPr>
          <w:p w14:paraId="6D14C897">
            <w:pPr>
              <w:widowControl/>
              <w:spacing w:before="46"/>
              <w:rPr>
                <w:rFonts w:ascii="宋体" w:hAnsi="宋体" w:eastAsia="宋体" w:cs="Times New Roman"/>
                <w:kern w:val="0"/>
                <w:sz w:val="24"/>
              </w:rPr>
            </w:pPr>
          </w:p>
        </w:tc>
      </w:tr>
      <w:tr w14:paraId="3029D762">
        <w:tblPrEx>
          <w:tblCellMar>
            <w:top w:w="0" w:type="dxa"/>
            <w:left w:w="108" w:type="dxa"/>
            <w:bottom w:w="0" w:type="dxa"/>
            <w:right w:w="108" w:type="dxa"/>
          </w:tblCellMar>
        </w:tblPrEx>
        <w:tc>
          <w:tcPr>
            <w:tcW w:w="917" w:type="dxa"/>
            <w:vMerge w:val="continue"/>
            <w:tcBorders>
              <w:top w:val="nil"/>
              <w:left w:val="single" w:color="000000" w:sz="4" w:space="0"/>
              <w:bottom w:val="single" w:color="000000" w:sz="4" w:space="0"/>
              <w:right w:val="single" w:color="000000" w:sz="4" w:space="0"/>
            </w:tcBorders>
            <w:noWrap w:val="0"/>
            <w:vAlign w:val="center"/>
          </w:tcPr>
          <w:p w14:paraId="39E95721">
            <w:pPr>
              <w:widowControl/>
              <w:jc w:val="left"/>
              <w:rPr>
                <w:rFonts w:ascii="宋体" w:hAnsi="宋体" w:eastAsia="宋体" w:cs="Times New Roman"/>
                <w:kern w:val="0"/>
                <w:sz w:val="24"/>
              </w:rPr>
            </w:pPr>
          </w:p>
        </w:tc>
        <w:tc>
          <w:tcPr>
            <w:tcW w:w="788" w:type="dxa"/>
            <w:vMerge w:val="continue"/>
            <w:tcBorders>
              <w:top w:val="nil"/>
              <w:left w:val="nil"/>
              <w:bottom w:val="single" w:color="000000" w:sz="4" w:space="0"/>
              <w:right w:val="single" w:color="000000" w:sz="4" w:space="0"/>
            </w:tcBorders>
            <w:noWrap w:val="0"/>
            <w:vAlign w:val="center"/>
          </w:tcPr>
          <w:p w14:paraId="62BA01A9">
            <w:pPr>
              <w:widowControl/>
              <w:jc w:val="left"/>
              <w:rPr>
                <w:rFonts w:ascii="宋体" w:hAnsi="宋体" w:eastAsia="宋体" w:cs="Times New Roman"/>
                <w:kern w:val="0"/>
                <w:sz w:val="24"/>
              </w:rPr>
            </w:pPr>
          </w:p>
        </w:tc>
        <w:tc>
          <w:tcPr>
            <w:tcW w:w="1202" w:type="dxa"/>
            <w:gridSpan w:val="2"/>
            <w:tcBorders>
              <w:top w:val="single" w:color="000000" w:sz="4" w:space="0"/>
              <w:left w:val="nil"/>
              <w:bottom w:val="single" w:color="000000" w:sz="4" w:space="0"/>
              <w:right w:val="single" w:color="000000" w:sz="4" w:space="0"/>
            </w:tcBorders>
            <w:noWrap w:val="0"/>
            <w:vAlign w:val="center"/>
          </w:tcPr>
          <w:p w14:paraId="3BF023A7">
            <w:pPr>
              <w:widowControl/>
              <w:spacing w:before="46"/>
              <w:rPr>
                <w:rFonts w:ascii="宋体" w:hAnsi="宋体" w:eastAsia="宋体" w:cs="Times New Roman"/>
                <w:kern w:val="0"/>
                <w:sz w:val="24"/>
              </w:rPr>
            </w:pPr>
          </w:p>
        </w:tc>
        <w:tc>
          <w:tcPr>
            <w:tcW w:w="3307" w:type="dxa"/>
            <w:gridSpan w:val="3"/>
            <w:tcBorders>
              <w:top w:val="single" w:color="000000" w:sz="4" w:space="0"/>
              <w:left w:val="nil"/>
              <w:bottom w:val="single" w:color="000000" w:sz="4" w:space="0"/>
              <w:right w:val="single" w:color="000000" w:sz="4" w:space="0"/>
            </w:tcBorders>
            <w:noWrap w:val="0"/>
            <w:vAlign w:val="center"/>
          </w:tcPr>
          <w:p w14:paraId="426FD642">
            <w:pPr>
              <w:widowControl/>
              <w:spacing w:before="46"/>
              <w:rPr>
                <w:rFonts w:ascii="宋体" w:hAnsi="宋体" w:eastAsia="宋体" w:cs="Times New Roman"/>
                <w:kern w:val="0"/>
                <w:sz w:val="24"/>
              </w:rPr>
            </w:pPr>
          </w:p>
        </w:tc>
        <w:tc>
          <w:tcPr>
            <w:tcW w:w="1586" w:type="dxa"/>
            <w:gridSpan w:val="2"/>
            <w:tcBorders>
              <w:top w:val="single" w:color="000000" w:sz="4" w:space="0"/>
              <w:left w:val="nil"/>
              <w:bottom w:val="single" w:color="000000" w:sz="4" w:space="0"/>
              <w:right w:val="single" w:color="000000" w:sz="4" w:space="0"/>
            </w:tcBorders>
            <w:noWrap w:val="0"/>
            <w:vAlign w:val="center"/>
          </w:tcPr>
          <w:p w14:paraId="26CC06FC">
            <w:pPr>
              <w:widowControl/>
              <w:spacing w:before="46"/>
              <w:rPr>
                <w:rFonts w:ascii="宋体" w:hAnsi="宋体" w:eastAsia="宋体" w:cs="Times New Roman"/>
                <w:kern w:val="0"/>
                <w:sz w:val="24"/>
              </w:rPr>
            </w:pPr>
          </w:p>
        </w:tc>
        <w:tc>
          <w:tcPr>
            <w:tcW w:w="1486" w:type="dxa"/>
            <w:tcBorders>
              <w:top w:val="single" w:color="000000" w:sz="4" w:space="0"/>
              <w:left w:val="nil"/>
              <w:bottom w:val="single" w:color="000000" w:sz="4" w:space="0"/>
              <w:right w:val="single" w:color="000000" w:sz="4" w:space="0"/>
            </w:tcBorders>
            <w:noWrap w:val="0"/>
            <w:vAlign w:val="center"/>
          </w:tcPr>
          <w:p w14:paraId="29EA7D7A">
            <w:pPr>
              <w:widowControl/>
              <w:spacing w:before="46"/>
              <w:rPr>
                <w:rFonts w:ascii="宋体" w:hAnsi="宋体" w:eastAsia="宋体" w:cs="Times New Roman"/>
                <w:kern w:val="0"/>
                <w:sz w:val="24"/>
              </w:rPr>
            </w:pPr>
          </w:p>
        </w:tc>
      </w:tr>
    </w:tbl>
    <w:p w14:paraId="34344248">
      <w:pPr>
        <w:widowControl/>
        <w:jc w:val="center"/>
        <w:rPr>
          <w:rFonts w:hint="eastAsia" w:ascii="宋体" w:hAnsi="宋体" w:eastAsia="宋体" w:cs="宋体"/>
          <w:b/>
          <w:bCs/>
          <w:kern w:val="0"/>
          <w:sz w:val="32"/>
          <w:szCs w:val="32"/>
        </w:rPr>
      </w:pPr>
    </w:p>
    <w:p w14:paraId="2196A87D">
      <w:pPr>
        <w:widowControl/>
        <w:jc w:val="center"/>
        <w:rPr>
          <w:rFonts w:hint="eastAsia" w:ascii="宋体" w:hAnsi="宋体" w:eastAsia="宋体" w:cs="宋体"/>
          <w:b/>
          <w:bCs/>
          <w:kern w:val="0"/>
          <w:sz w:val="32"/>
          <w:szCs w:val="32"/>
        </w:rPr>
      </w:pPr>
    </w:p>
    <w:p w14:paraId="40611A01">
      <w:pPr>
        <w:widowControl/>
        <w:jc w:val="center"/>
        <w:rPr>
          <w:rFonts w:hint="eastAsia" w:ascii="宋体" w:hAnsi="宋体" w:eastAsia="宋体" w:cs="宋体"/>
          <w:b/>
          <w:bCs/>
          <w:kern w:val="0"/>
          <w:sz w:val="32"/>
          <w:szCs w:val="32"/>
        </w:rPr>
      </w:pPr>
    </w:p>
    <w:p w14:paraId="65C708F9">
      <w:pPr>
        <w:widowControl/>
        <w:jc w:val="center"/>
        <w:rPr>
          <w:rFonts w:hint="eastAsia" w:ascii="宋体" w:hAnsi="宋体" w:eastAsia="宋体" w:cs="宋体"/>
          <w:b/>
          <w:bCs/>
          <w:kern w:val="0"/>
          <w:sz w:val="32"/>
          <w:szCs w:val="32"/>
        </w:rPr>
      </w:pPr>
    </w:p>
    <w:p w14:paraId="1CB4A6E5">
      <w:pPr>
        <w:widowControl/>
        <w:jc w:val="center"/>
        <w:rPr>
          <w:rFonts w:hint="eastAsia" w:ascii="宋体" w:hAnsi="宋体" w:eastAsia="宋体" w:cs="宋体"/>
          <w:b/>
          <w:bCs/>
          <w:kern w:val="0"/>
          <w:sz w:val="32"/>
          <w:szCs w:val="32"/>
        </w:rPr>
      </w:pPr>
    </w:p>
    <w:p w14:paraId="45ED1277">
      <w:pPr>
        <w:widowControl/>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评 审 人 员</w:t>
      </w:r>
    </w:p>
    <w:tbl>
      <w:tblPr>
        <w:tblStyle w:val="13"/>
        <w:tblW w:w="0" w:type="auto"/>
        <w:jc w:val="center"/>
        <w:tblLayout w:type="fixed"/>
        <w:tblCellMar>
          <w:top w:w="0" w:type="dxa"/>
          <w:left w:w="108" w:type="dxa"/>
          <w:bottom w:w="0" w:type="dxa"/>
          <w:right w:w="108" w:type="dxa"/>
        </w:tblCellMar>
      </w:tblPr>
      <w:tblGrid>
        <w:gridCol w:w="1548"/>
        <w:gridCol w:w="1620"/>
        <w:gridCol w:w="1802"/>
        <w:gridCol w:w="1618"/>
        <w:gridCol w:w="1934"/>
      </w:tblGrid>
      <w:tr w14:paraId="1068DF66">
        <w:tblPrEx>
          <w:tblCellMar>
            <w:top w:w="0" w:type="dxa"/>
            <w:left w:w="108" w:type="dxa"/>
            <w:bottom w:w="0" w:type="dxa"/>
            <w:right w:w="108" w:type="dxa"/>
          </w:tblCellMar>
        </w:tblPrEx>
        <w:trPr>
          <w:trHeight w:val="567" w:hRule="atLeas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2E09C1A2">
            <w:pPr>
              <w:widowControl/>
              <w:adjustRightInd w:val="0"/>
              <w:snapToGrid w:val="0"/>
              <w:spacing w:before="47" w:beforeLines="15" w:after="47" w:afterLines="15"/>
              <w:jc w:val="center"/>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52FA3E55">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姓  名</w:t>
            </w:r>
          </w:p>
        </w:tc>
        <w:tc>
          <w:tcPr>
            <w:tcW w:w="1802" w:type="dxa"/>
            <w:tcBorders>
              <w:top w:val="single" w:color="000000" w:sz="4" w:space="0"/>
              <w:left w:val="nil"/>
              <w:bottom w:val="single" w:color="000000" w:sz="4" w:space="0"/>
              <w:right w:val="single" w:color="000000" w:sz="4" w:space="0"/>
            </w:tcBorders>
            <w:noWrap w:val="0"/>
            <w:vAlign w:val="center"/>
          </w:tcPr>
          <w:p w14:paraId="4301FAB3">
            <w:pPr>
              <w:widowControl/>
              <w:adjustRightInd w:val="0"/>
              <w:snapToGrid w:val="0"/>
              <w:spacing w:before="47" w:beforeLines="15" w:after="47" w:afterLines="15"/>
              <w:jc w:val="center"/>
              <w:rPr>
                <w:rFonts w:hint="eastAsia" w:ascii="宋体" w:hAnsi="宋体" w:eastAsia="宋体" w:cs="宋体"/>
                <w:color w:val="000000"/>
                <w:kern w:val="0"/>
                <w:sz w:val="24"/>
              </w:rPr>
            </w:pPr>
            <w:r>
              <w:rPr>
                <w:rFonts w:hint="eastAsia" w:ascii="宋体" w:hAnsi="宋体" w:eastAsia="宋体" w:cs="宋体"/>
                <w:color w:val="000000"/>
                <w:kern w:val="0"/>
                <w:sz w:val="24"/>
              </w:rPr>
              <w:t>职务/职称</w:t>
            </w:r>
          </w:p>
        </w:tc>
        <w:tc>
          <w:tcPr>
            <w:tcW w:w="1618" w:type="dxa"/>
            <w:tcBorders>
              <w:top w:val="single" w:color="000000" w:sz="4" w:space="0"/>
              <w:left w:val="nil"/>
              <w:bottom w:val="single" w:color="000000" w:sz="4" w:space="0"/>
              <w:right w:val="single" w:color="000000" w:sz="4" w:space="0"/>
            </w:tcBorders>
            <w:noWrap w:val="0"/>
            <w:vAlign w:val="center"/>
          </w:tcPr>
          <w:p w14:paraId="09DCBFDD">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专  业</w:t>
            </w:r>
          </w:p>
        </w:tc>
        <w:tc>
          <w:tcPr>
            <w:tcW w:w="1934" w:type="dxa"/>
            <w:tcBorders>
              <w:top w:val="single" w:color="000000" w:sz="4" w:space="0"/>
              <w:left w:val="nil"/>
              <w:bottom w:val="single" w:color="000000" w:sz="4" w:space="0"/>
              <w:right w:val="single" w:color="000000" w:sz="4" w:space="0"/>
            </w:tcBorders>
            <w:noWrap w:val="0"/>
            <w:vAlign w:val="center"/>
          </w:tcPr>
          <w:p w14:paraId="17E9B442">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签 字</w:t>
            </w:r>
          </w:p>
        </w:tc>
      </w:tr>
      <w:tr w14:paraId="5FE736E5">
        <w:tblPrEx>
          <w:tblCellMar>
            <w:top w:w="0" w:type="dxa"/>
            <w:left w:w="108" w:type="dxa"/>
            <w:bottom w:w="0" w:type="dxa"/>
            <w:right w:w="108" w:type="dxa"/>
          </w:tblCellMar>
        </w:tblPrEx>
        <w:trPr>
          <w:trHeight w:val="567" w:hRule="atLeas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0CB0A24">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评审组长</w:t>
            </w:r>
          </w:p>
        </w:tc>
        <w:tc>
          <w:tcPr>
            <w:tcW w:w="1620" w:type="dxa"/>
            <w:tcBorders>
              <w:top w:val="single" w:color="000000" w:sz="4" w:space="0"/>
              <w:left w:val="nil"/>
              <w:bottom w:val="single" w:color="000000" w:sz="4" w:space="0"/>
              <w:right w:val="single" w:color="000000" w:sz="4" w:space="0"/>
            </w:tcBorders>
            <w:noWrap w:val="0"/>
            <w:vAlign w:val="center"/>
          </w:tcPr>
          <w:p w14:paraId="6449E911">
            <w:pPr>
              <w:keepNext w:val="0"/>
              <w:keepLines w:val="0"/>
              <w:suppressLineNumbers w:val="0"/>
              <w:adjustRightInd w:val="0"/>
              <w:snapToGrid w:val="0"/>
              <w:spacing w:before="87" w:beforeLines="15" w:beforeAutospacing="0" w:after="0" w:afterAutospacing="0"/>
              <w:ind w:left="0" w:leftChars="0" w:right="0" w:rightChars="0" w:firstLine="480" w:firstLineChars="200"/>
              <w:jc w:val="both"/>
              <w:rPr>
                <w:rFonts w:hint="eastAsia" w:ascii="宋体" w:hAnsi="宋体" w:eastAsia="宋体" w:cs="宋体"/>
                <w:color w:val="000000"/>
                <w:kern w:val="0"/>
                <w:sz w:val="24"/>
                <w:lang w:val="en-US" w:eastAsia="zh-CN"/>
              </w:rPr>
            </w:pPr>
            <w:r>
              <w:rPr>
                <w:rFonts w:hint="eastAsia" w:ascii="仿宋" w:hAnsi="仿宋" w:eastAsia="仿宋" w:cs="仿宋"/>
                <w:snapToGrid w:val="0"/>
                <w:kern w:val="0"/>
                <w:sz w:val="24"/>
                <w:szCs w:val="24"/>
                <w:lang w:val="en-US" w:eastAsia="zh-CN"/>
              </w:rPr>
              <w:t>白昊</w:t>
            </w:r>
          </w:p>
        </w:tc>
        <w:tc>
          <w:tcPr>
            <w:tcW w:w="1802" w:type="dxa"/>
            <w:tcBorders>
              <w:top w:val="single" w:color="000000" w:sz="4" w:space="0"/>
              <w:left w:val="nil"/>
              <w:bottom w:val="single" w:color="000000" w:sz="4" w:space="0"/>
              <w:right w:val="single" w:color="000000" w:sz="4" w:space="0"/>
            </w:tcBorders>
            <w:noWrap w:val="0"/>
            <w:vAlign w:val="center"/>
          </w:tcPr>
          <w:p w14:paraId="0DB219C6">
            <w:pPr>
              <w:keepNext w:val="0"/>
              <w:keepLines w:val="0"/>
              <w:suppressLineNumbers w:val="0"/>
              <w:adjustRightInd w:val="0"/>
              <w:snapToGrid w:val="0"/>
              <w:spacing w:before="87" w:beforeLines="15" w:beforeAutospacing="0" w:after="0" w:afterAutospacing="0"/>
              <w:ind w:left="0" w:leftChars="0" w:right="0" w:rightChars="0"/>
              <w:jc w:val="center"/>
              <w:rPr>
                <w:rFonts w:hint="eastAsia" w:ascii="宋体" w:hAnsi="宋体" w:eastAsia="宋体" w:cs="宋体"/>
                <w:color w:val="000000"/>
                <w:kern w:val="0"/>
                <w:sz w:val="24"/>
                <w:lang w:val="en-US" w:eastAsia="zh-CN"/>
              </w:rPr>
            </w:pPr>
            <w:r>
              <w:rPr>
                <w:rFonts w:hint="eastAsia" w:ascii="仿宋" w:hAnsi="仿宋" w:eastAsia="仿宋" w:cs="仿宋"/>
                <w:snapToGrid w:val="0"/>
                <w:kern w:val="0"/>
                <w:sz w:val="24"/>
                <w:szCs w:val="24"/>
                <w:lang w:val="en-US" w:eastAsia="zh-CN"/>
              </w:rPr>
              <w:t>总经理</w:t>
            </w:r>
          </w:p>
        </w:tc>
        <w:tc>
          <w:tcPr>
            <w:tcW w:w="1618" w:type="dxa"/>
            <w:tcBorders>
              <w:top w:val="single" w:color="000000" w:sz="4" w:space="0"/>
              <w:left w:val="nil"/>
              <w:bottom w:val="single" w:color="000000" w:sz="4" w:space="0"/>
              <w:right w:val="single" w:color="000000" w:sz="4" w:space="0"/>
            </w:tcBorders>
            <w:noWrap w:val="0"/>
            <w:vAlign w:val="center"/>
          </w:tcPr>
          <w:p w14:paraId="181D9244">
            <w:pPr>
              <w:keepNext w:val="0"/>
              <w:keepLines w:val="0"/>
              <w:suppressLineNumbers w:val="0"/>
              <w:adjustRightInd w:val="0"/>
              <w:snapToGrid w:val="0"/>
              <w:spacing w:before="87" w:beforeLines="15" w:beforeAutospacing="0" w:after="0" w:afterAutospacing="0"/>
              <w:ind w:left="0" w:leftChars="0" w:right="0" w:rightChars="0"/>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756A6DCA">
            <w:pPr>
              <w:widowControl/>
              <w:adjustRightInd w:val="0"/>
              <w:snapToGrid w:val="0"/>
              <w:spacing w:before="47" w:beforeLines="15" w:after="47" w:afterLines="15"/>
              <w:jc w:val="center"/>
              <w:rPr>
                <w:rFonts w:ascii="宋体" w:hAnsi="宋体" w:eastAsia="宋体" w:cs="宋体"/>
                <w:color w:val="000000"/>
                <w:kern w:val="0"/>
                <w:sz w:val="24"/>
              </w:rPr>
            </w:pPr>
          </w:p>
        </w:tc>
      </w:tr>
      <w:tr w14:paraId="6AE6C8F3">
        <w:tblPrEx>
          <w:tblCellMar>
            <w:top w:w="0" w:type="dxa"/>
            <w:left w:w="108" w:type="dxa"/>
            <w:bottom w:w="0" w:type="dxa"/>
            <w:right w:w="108" w:type="dxa"/>
          </w:tblCellMar>
        </w:tblPrEx>
        <w:trPr>
          <w:trHeight w:val="567" w:hRule="atLeast"/>
          <w:jc w:val="center"/>
        </w:trPr>
        <w:tc>
          <w:tcPr>
            <w:tcW w:w="1548" w:type="dxa"/>
            <w:vMerge w:val="restart"/>
            <w:tcBorders>
              <w:top w:val="nil"/>
              <w:left w:val="single" w:color="000000" w:sz="4" w:space="0"/>
              <w:bottom w:val="single" w:color="000000" w:sz="4" w:space="0"/>
              <w:right w:val="single" w:color="000000" w:sz="4" w:space="0"/>
            </w:tcBorders>
            <w:noWrap w:val="0"/>
            <w:vAlign w:val="center"/>
          </w:tcPr>
          <w:p w14:paraId="76DFF125">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评审组成员</w:t>
            </w:r>
          </w:p>
        </w:tc>
        <w:tc>
          <w:tcPr>
            <w:tcW w:w="1620" w:type="dxa"/>
            <w:tcBorders>
              <w:top w:val="single" w:color="000000" w:sz="4" w:space="0"/>
              <w:left w:val="nil"/>
              <w:bottom w:val="single" w:color="000000" w:sz="4" w:space="0"/>
              <w:right w:val="single" w:color="000000" w:sz="4" w:space="0"/>
            </w:tcBorders>
            <w:noWrap w:val="0"/>
            <w:vAlign w:val="center"/>
          </w:tcPr>
          <w:p w14:paraId="3D39CE1E">
            <w:pPr>
              <w:keepNext w:val="0"/>
              <w:keepLines w:val="0"/>
              <w:widowControl/>
              <w:suppressLineNumbers w:val="0"/>
              <w:adjustRightInd w:val="0"/>
              <w:snapToGrid w:val="0"/>
              <w:spacing w:before="54" w:beforeLines="15" w:beforeAutospacing="0" w:after="200" w:afterAutospacing="0"/>
              <w:ind w:left="0" w:leftChars="0" w:right="0" w:rightChars="0"/>
              <w:jc w:val="center"/>
              <w:rPr>
                <w:rFonts w:hint="eastAsia" w:ascii="宋体" w:hAnsi="宋体" w:eastAsia="宋体" w:cs="宋体"/>
                <w:color w:val="000000"/>
                <w:kern w:val="0"/>
                <w:sz w:val="24"/>
                <w:lang w:val="en-US" w:eastAsia="zh-CN"/>
              </w:rPr>
            </w:pPr>
            <w:r>
              <w:rPr>
                <w:rFonts w:hint="eastAsia" w:ascii="仿宋" w:hAnsi="仿宋" w:eastAsia="仿宋" w:cs="仿宋"/>
                <w:snapToGrid w:val="0"/>
                <w:kern w:val="0"/>
                <w:sz w:val="24"/>
                <w:szCs w:val="24"/>
                <w:lang w:val="en-US" w:eastAsia="zh-CN"/>
              </w:rPr>
              <w:t>汤秀辉</w:t>
            </w:r>
          </w:p>
        </w:tc>
        <w:tc>
          <w:tcPr>
            <w:tcW w:w="1802" w:type="dxa"/>
            <w:tcBorders>
              <w:top w:val="single" w:color="000000" w:sz="4" w:space="0"/>
              <w:left w:val="nil"/>
              <w:bottom w:val="single" w:color="000000" w:sz="4" w:space="0"/>
              <w:right w:val="single" w:color="000000" w:sz="4" w:space="0"/>
            </w:tcBorders>
            <w:noWrap w:val="0"/>
            <w:vAlign w:val="center"/>
          </w:tcPr>
          <w:p w14:paraId="07BF74D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安全总监</w:t>
            </w:r>
          </w:p>
        </w:tc>
        <w:tc>
          <w:tcPr>
            <w:tcW w:w="1618" w:type="dxa"/>
            <w:tcBorders>
              <w:top w:val="single" w:color="000000" w:sz="4" w:space="0"/>
              <w:left w:val="nil"/>
              <w:bottom w:val="single" w:color="000000" w:sz="4" w:space="0"/>
              <w:right w:val="single" w:color="000000" w:sz="4" w:space="0"/>
            </w:tcBorders>
            <w:noWrap w:val="0"/>
            <w:vAlign w:val="center"/>
          </w:tcPr>
          <w:p w14:paraId="490AD504">
            <w:pPr>
              <w:keepNext w:val="0"/>
              <w:keepLines w:val="0"/>
              <w:widowControl/>
              <w:suppressLineNumbers w:val="0"/>
              <w:adjustRightInd w:val="0"/>
              <w:snapToGrid w:val="0"/>
              <w:spacing w:before="54" w:beforeLines="15" w:beforeAutospacing="0" w:after="200" w:afterAutospacing="0"/>
              <w:ind w:left="0" w:leftChars="0" w:right="0" w:rightChars="0"/>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安全工程</w:t>
            </w:r>
          </w:p>
        </w:tc>
        <w:tc>
          <w:tcPr>
            <w:tcW w:w="1934" w:type="dxa"/>
            <w:tcBorders>
              <w:top w:val="single" w:color="000000" w:sz="4" w:space="0"/>
              <w:left w:val="nil"/>
              <w:bottom w:val="single" w:color="000000" w:sz="4" w:space="0"/>
              <w:right w:val="single" w:color="000000" w:sz="4" w:space="0"/>
            </w:tcBorders>
            <w:noWrap w:val="0"/>
            <w:vAlign w:val="center"/>
          </w:tcPr>
          <w:p w14:paraId="20D520F9">
            <w:pPr>
              <w:widowControl/>
              <w:adjustRightInd w:val="0"/>
              <w:snapToGrid w:val="0"/>
              <w:spacing w:before="47" w:beforeLines="15" w:after="47" w:afterLines="15"/>
              <w:jc w:val="center"/>
              <w:rPr>
                <w:rFonts w:ascii="宋体" w:hAnsi="宋体" w:eastAsia="宋体" w:cs="宋体"/>
                <w:color w:val="000000"/>
                <w:kern w:val="0"/>
                <w:sz w:val="24"/>
              </w:rPr>
            </w:pPr>
          </w:p>
        </w:tc>
      </w:tr>
      <w:tr w14:paraId="7BB8A449">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65EE753F">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60D73A3D">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阮汝明</w:t>
            </w:r>
          </w:p>
        </w:tc>
        <w:tc>
          <w:tcPr>
            <w:tcW w:w="1802" w:type="dxa"/>
            <w:tcBorders>
              <w:top w:val="single" w:color="000000" w:sz="4" w:space="0"/>
              <w:left w:val="nil"/>
              <w:bottom w:val="single" w:color="000000" w:sz="4" w:space="0"/>
              <w:right w:val="single" w:color="000000" w:sz="4" w:space="0"/>
            </w:tcBorders>
            <w:noWrap w:val="0"/>
            <w:vAlign w:val="center"/>
          </w:tcPr>
          <w:p w14:paraId="79E8F453">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生产技术副总</w:t>
            </w:r>
          </w:p>
        </w:tc>
        <w:tc>
          <w:tcPr>
            <w:tcW w:w="1618" w:type="dxa"/>
            <w:tcBorders>
              <w:top w:val="single" w:color="000000" w:sz="4" w:space="0"/>
              <w:left w:val="nil"/>
              <w:bottom w:val="single" w:color="000000" w:sz="4" w:space="0"/>
              <w:right w:val="single" w:color="000000" w:sz="4" w:space="0"/>
            </w:tcBorders>
            <w:noWrap w:val="0"/>
            <w:vAlign w:val="center"/>
          </w:tcPr>
          <w:p w14:paraId="48C55D9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5FEFD165">
            <w:pPr>
              <w:widowControl/>
              <w:adjustRightInd w:val="0"/>
              <w:snapToGrid w:val="0"/>
              <w:spacing w:before="47" w:beforeLines="15" w:after="47" w:afterLines="15"/>
              <w:jc w:val="center"/>
              <w:rPr>
                <w:rFonts w:ascii="宋体" w:hAnsi="宋体" w:eastAsia="宋体" w:cs="宋体"/>
                <w:color w:val="000000"/>
                <w:kern w:val="0"/>
                <w:sz w:val="24"/>
              </w:rPr>
            </w:pPr>
          </w:p>
        </w:tc>
      </w:tr>
      <w:tr w14:paraId="5E1BDD53">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30E9DD41">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7C5AB0A7">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魏永祥</w:t>
            </w:r>
          </w:p>
        </w:tc>
        <w:tc>
          <w:tcPr>
            <w:tcW w:w="1802" w:type="dxa"/>
            <w:tcBorders>
              <w:top w:val="single" w:color="000000" w:sz="4" w:space="0"/>
              <w:left w:val="nil"/>
              <w:bottom w:val="single" w:color="000000" w:sz="4" w:space="0"/>
              <w:right w:val="single" w:color="000000" w:sz="4" w:space="0"/>
            </w:tcBorders>
            <w:noWrap w:val="0"/>
            <w:vAlign w:val="center"/>
          </w:tcPr>
          <w:p w14:paraId="04607B25">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设备部部长</w:t>
            </w:r>
          </w:p>
        </w:tc>
        <w:tc>
          <w:tcPr>
            <w:tcW w:w="1618" w:type="dxa"/>
            <w:tcBorders>
              <w:top w:val="single" w:color="000000" w:sz="4" w:space="0"/>
              <w:left w:val="nil"/>
              <w:bottom w:val="single" w:color="000000" w:sz="4" w:space="0"/>
              <w:right w:val="single" w:color="000000" w:sz="4" w:space="0"/>
            </w:tcBorders>
            <w:noWrap w:val="0"/>
            <w:vAlign w:val="center"/>
          </w:tcPr>
          <w:p w14:paraId="629075D7">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7E642387">
            <w:pPr>
              <w:widowControl/>
              <w:adjustRightInd w:val="0"/>
              <w:snapToGrid w:val="0"/>
              <w:spacing w:before="47" w:beforeLines="15" w:after="47" w:afterLines="15"/>
              <w:jc w:val="center"/>
              <w:rPr>
                <w:rFonts w:ascii="宋体" w:hAnsi="宋体" w:eastAsia="宋体" w:cs="宋体"/>
                <w:color w:val="000000"/>
                <w:kern w:val="0"/>
                <w:sz w:val="24"/>
              </w:rPr>
            </w:pPr>
          </w:p>
        </w:tc>
      </w:tr>
      <w:tr w14:paraId="568AE570">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6A9FA45A">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1834AB5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胡莎莎</w:t>
            </w:r>
          </w:p>
        </w:tc>
        <w:tc>
          <w:tcPr>
            <w:tcW w:w="1802" w:type="dxa"/>
            <w:tcBorders>
              <w:top w:val="single" w:color="000000" w:sz="4" w:space="0"/>
              <w:left w:val="nil"/>
              <w:bottom w:val="single" w:color="000000" w:sz="4" w:space="0"/>
              <w:right w:val="single" w:color="000000" w:sz="4" w:space="0"/>
            </w:tcBorders>
            <w:noWrap w:val="0"/>
            <w:vAlign w:val="center"/>
          </w:tcPr>
          <w:p w14:paraId="0418073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安全员</w:t>
            </w:r>
          </w:p>
        </w:tc>
        <w:tc>
          <w:tcPr>
            <w:tcW w:w="1618" w:type="dxa"/>
            <w:tcBorders>
              <w:top w:val="single" w:color="000000" w:sz="4" w:space="0"/>
              <w:left w:val="nil"/>
              <w:bottom w:val="single" w:color="000000" w:sz="4" w:space="0"/>
              <w:right w:val="single" w:color="000000" w:sz="4" w:space="0"/>
            </w:tcBorders>
            <w:noWrap w:val="0"/>
            <w:vAlign w:val="center"/>
          </w:tcPr>
          <w:p w14:paraId="6F31D3F7">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12E5005D">
            <w:pPr>
              <w:widowControl/>
              <w:adjustRightInd w:val="0"/>
              <w:snapToGrid w:val="0"/>
              <w:spacing w:before="47" w:beforeLines="15" w:after="47" w:afterLines="15"/>
              <w:jc w:val="center"/>
              <w:rPr>
                <w:rFonts w:ascii="宋体" w:hAnsi="宋体" w:eastAsia="宋体" w:cs="宋体"/>
                <w:color w:val="000000"/>
                <w:kern w:val="0"/>
                <w:sz w:val="24"/>
              </w:rPr>
            </w:pPr>
          </w:p>
        </w:tc>
      </w:tr>
      <w:tr w14:paraId="58E8B0CD">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073F3E87">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0828E629">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湛正科</w:t>
            </w:r>
          </w:p>
        </w:tc>
        <w:tc>
          <w:tcPr>
            <w:tcW w:w="1802" w:type="dxa"/>
            <w:tcBorders>
              <w:top w:val="single" w:color="000000" w:sz="4" w:space="0"/>
              <w:left w:val="nil"/>
              <w:bottom w:val="single" w:color="000000" w:sz="4" w:space="0"/>
              <w:right w:val="single" w:color="000000" w:sz="4" w:space="0"/>
            </w:tcBorders>
            <w:noWrap w:val="0"/>
            <w:vAlign w:val="center"/>
          </w:tcPr>
          <w:p w14:paraId="2CE4EA24">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r>
              <w:rPr>
                <w:rFonts w:hint="eastAsia" w:ascii="仿宋" w:hAnsi="仿宋" w:eastAsia="仿宋" w:cs="仿宋"/>
                <w:snapToGrid w:val="0"/>
                <w:kern w:val="0"/>
                <w:sz w:val="24"/>
                <w:szCs w:val="24"/>
                <w:lang w:val="en-US" w:eastAsia="zh-CN"/>
              </w:rPr>
              <w:t>安全员</w:t>
            </w:r>
          </w:p>
        </w:tc>
        <w:tc>
          <w:tcPr>
            <w:tcW w:w="1618" w:type="dxa"/>
            <w:tcBorders>
              <w:top w:val="single" w:color="000000" w:sz="4" w:space="0"/>
              <w:left w:val="nil"/>
              <w:bottom w:val="single" w:color="000000" w:sz="4" w:space="0"/>
              <w:right w:val="single" w:color="000000" w:sz="4" w:space="0"/>
            </w:tcBorders>
            <w:noWrap w:val="0"/>
            <w:vAlign w:val="center"/>
          </w:tcPr>
          <w:p w14:paraId="44A815CE">
            <w:pPr>
              <w:keepNext w:val="0"/>
              <w:keepLines w:val="0"/>
              <w:widowControl/>
              <w:suppressLineNumbers w:val="0"/>
              <w:adjustRightInd w:val="0"/>
              <w:snapToGrid w:val="0"/>
              <w:spacing w:before="54" w:beforeLines="15" w:beforeAutospacing="0" w:after="200" w:afterAutospacing="0"/>
              <w:ind w:left="0" w:leftChars="0" w:right="0" w:rightChars="0"/>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7723F9A8">
            <w:pPr>
              <w:widowControl/>
              <w:adjustRightInd w:val="0"/>
              <w:snapToGrid w:val="0"/>
              <w:spacing w:before="47" w:beforeLines="15" w:after="47" w:afterLines="15"/>
              <w:jc w:val="center"/>
              <w:rPr>
                <w:rFonts w:ascii="宋体" w:hAnsi="宋体" w:eastAsia="宋体" w:cs="宋体"/>
                <w:color w:val="000000"/>
                <w:kern w:val="0"/>
                <w:sz w:val="24"/>
              </w:rPr>
            </w:pPr>
          </w:p>
        </w:tc>
      </w:tr>
      <w:tr w14:paraId="4E839D1F">
        <w:tblPrEx>
          <w:tblCellMar>
            <w:top w:w="0" w:type="dxa"/>
            <w:left w:w="108" w:type="dxa"/>
            <w:bottom w:w="0" w:type="dxa"/>
            <w:right w:w="108" w:type="dxa"/>
          </w:tblCellMar>
        </w:tblPrEx>
        <w:trPr>
          <w:trHeight w:val="567" w:hRule="atLeast"/>
          <w:jc w:val="center"/>
        </w:trPr>
        <w:tc>
          <w:tcPr>
            <w:tcW w:w="1548" w:type="dxa"/>
            <w:vMerge w:val="restart"/>
            <w:tcBorders>
              <w:top w:val="nil"/>
              <w:left w:val="single" w:color="000000" w:sz="4" w:space="0"/>
              <w:bottom w:val="single" w:color="000000" w:sz="4" w:space="0"/>
              <w:right w:val="single" w:color="000000" w:sz="4" w:space="0"/>
            </w:tcBorders>
            <w:noWrap w:val="0"/>
            <w:vAlign w:val="center"/>
          </w:tcPr>
          <w:p w14:paraId="42678FB2">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报告编制人</w:t>
            </w:r>
          </w:p>
        </w:tc>
        <w:tc>
          <w:tcPr>
            <w:tcW w:w="1620" w:type="dxa"/>
            <w:tcBorders>
              <w:top w:val="single" w:color="000000" w:sz="4" w:space="0"/>
              <w:left w:val="nil"/>
              <w:bottom w:val="single" w:color="000000" w:sz="4" w:space="0"/>
              <w:right w:val="single" w:color="000000" w:sz="4" w:space="0"/>
            </w:tcBorders>
            <w:noWrap w:val="0"/>
            <w:vAlign w:val="center"/>
          </w:tcPr>
          <w:p w14:paraId="0D1CCB1E">
            <w:pPr>
              <w:widowControl/>
              <w:adjustRightInd w:val="0"/>
              <w:snapToGrid w:val="0"/>
              <w:spacing w:before="47" w:beforeLines="15" w:after="47" w:afterLines="15"/>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湛正科</w:t>
            </w:r>
          </w:p>
        </w:tc>
        <w:tc>
          <w:tcPr>
            <w:tcW w:w="1802" w:type="dxa"/>
            <w:tcBorders>
              <w:top w:val="single" w:color="000000" w:sz="4" w:space="0"/>
              <w:left w:val="nil"/>
              <w:bottom w:val="single" w:color="000000" w:sz="4" w:space="0"/>
              <w:right w:val="single" w:color="000000" w:sz="4" w:space="0"/>
            </w:tcBorders>
            <w:noWrap w:val="0"/>
            <w:vAlign w:val="center"/>
          </w:tcPr>
          <w:p w14:paraId="5CCE2104">
            <w:pPr>
              <w:widowControl/>
              <w:adjustRightInd w:val="0"/>
              <w:snapToGrid w:val="0"/>
              <w:spacing w:before="47" w:beforeLines="15" w:after="47" w:afterLines="15"/>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安全员</w:t>
            </w:r>
          </w:p>
        </w:tc>
        <w:tc>
          <w:tcPr>
            <w:tcW w:w="1618" w:type="dxa"/>
            <w:tcBorders>
              <w:top w:val="single" w:color="000000" w:sz="4" w:space="0"/>
              <w:left w:val="nil"/>
              <w:bottom w:val="single" w:color="000000" w:sz="4" w:space="0"/>
              <w:right w:val="single" w:color="000000" w:sz="4" w:space="0"/>
            </w:tcBorders>
            <w:noWrap w:val="0"/>
            <w:vAlign w:val="center"/>
          </w:tcPr>
          <w:p w14:paraId="62326A38">
            <w:pPr>
              <w:widowControl/>
              <w:adjustRightInd w:val="0"/>
              <w:snapToGrid w:val="0"/>
              <w:spacing w:before="47" w:beforeLines="15" w:after="47" w:afterLines="15"/>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环境工程</w:t>
            </w:r>
          </w:p>
        </w:tc>
        <w:tc>
          <w:tcPr>
            <w:tcW w:w="1934" w:type="dxa"/>
            <w:tcBorders>
              <w:top w:val="single" w:color="000000" w:sz="4" w:space="0"/>
              <w:left w:val="nil"/>
              <w:bottom w:val="single" w:color="000000" w:sz="4" w:space="0"/>
              <w:right w:val="single" w:color="000000" w:sz="4" w:space="0"/>
            </w:tcBorders>
            <w:noWrap w:val="0"/>
            <w:vAlign w:val="center"/>
          </w:tcPr>
          <w:p w14:paraId="4FD2E602">
            <w:pPr>
              <w:widowControl/>
              <w:adjustRightInd w:val="0"/>
              <w:snapToGrid w:val="0"/>
              <w:spacing w:before="47" w:beforeLines="15" w:after="47" w:afterLines="15"/>
              <w:jc w:val="center"/>
              <w:rPr>
                <w:rFonts w:ascii="宋体" w:hAnsi="宋体" w:eastAsia="宋体" w:cs="宋体"/>
                <w:color w:val="000000"/>
                <w:kern w:val="0"/>
                <w:sz w:val="24"/>
              </w:rPr>
            </w:pPr>
          </w:p>
        </w:tc>
      </w:tr>
      <w:tr w14:paraId="48B71376">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7C9CB054">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7D26CAEA">
            <w:pPr>
              <w:widowControl/>
              <w:adjustRightInd w:val="0"/>
              <w:snapToGrid w:val="0"/>
              <w:spacing w:before="47" w:beforeLines="15" w:after="47" w:afterLines="15"/>
              <w:jc w:val="center"/>
              <w:rPr>
                <w:rFonts w:ascii="宋体" w:hAnsi="宋体" w:eastAsia="宋体" w:cs="宋体"/>
                <w:color w:val="000000"/>
                <w:kern w:val="0"/>
                <w:sz w:val="24"/>
              </w:rPr>
            </w:pPr>
          </w:p>
        </w:tc>
        <w:tc>
          <w:tcPr>
            <w:tcW w:w="1802" w:type="dxa"/>
            <w:tcBorders>
              <w:top w:val="single" w:color="000000" w:sz="4" w:space="0"/>
              <w:left w:val="nil"/>
              <w:bottom w:val="single" w:color="000000" w:sz="4" w:space="0"/>
              <w:right w:val="single" w:color="000000" w:sz="4" w:space="0"/>
            </w:tcBorders>
            <w:noWrap w:val="0"/>
            <w:vAlign w:val="center"/>
          </w:tcPr>
          <w:p w14:paraId="22ABFA0B">
            <w:pPr>
              <w:widowControl/>
              <w:adjustRightInd w:val="0"/>
              <w:snapToGrid w:val="0"/>
              <w:spacing w:before="47" w:beforeLines="15" w:after="47" w:afterLines="15"/>
              <w:jc w:val="center"/>
              <w:rPr>
                <w:rFonts w:ascii="宋体" w:hAnsi="宋体" w:eastAsia="宋体" w:cs="宋体"/>
                <w:color w:val="000000"/>
                <w:kern w:val="0"/>
                <w:sz w:val="24"/>
              </w:rPr>
            </w:pPr>
          </w:p>
        </w:tc>
        <w:tc>
          <w:tcPr>
            <w:tcW w:w="1618" w:type="dxa"/>
            <w:tcBorders>
              <w:top w:val="single" w:color="000000" w:sz="4" w:space="0"/>
              <w:left w:val="nil"/>
              <w:bottom w:val="single" w:color="000000" w:sz="4" w:space="0"/>
              <w:right w:val="single" w:color="000000" w:sz="4" w:space="0"/>
            </w:tcBorders>
            <w:noWrap w:val="0"/>
            <w:vAlign w:val="center"/>
          </w:tcPr>
          <w:p w14:paraId="5779FFA8">
            <w:pPr>
              <w:widowControl/>
              <w:adjustRightInd w:val="0"/>
              <w:snapToGrid w:val="0"/>
              <w:spacing w:before="47" w:beforeLines="15" w:after="47" w:afterLines="15"/>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1DECF857">
            <w:pPr>
              <w:widowControl/>
              <w:adjustRightInd w:val="0"/>
              <w:snapToGrid w:val="0"/>
              <w:spacing w:before="47" w:beforeLines="15" w:after="47" w:afterLines="15"/>
              <w:jc w:val="center"/>
              <w:rPr>
                <w:rFonts w:ascii="宋体" w:hAnsi="宋体" w:eastAsia="宋体" w:cs="宋体"/>
                <w:color w:val="000000"/>
                <w:kern w:val="0"/>
                <w:sz w:val="24"/>
              </w:rPr>
            </w:pPr>
          </w:p>
        </w:tc>
      </w:tr>
      <w:tr w14:paraId="08072490">
        <w:tblPrEx>
          <w:tblCellMar>
            <w:top w:w="0" w:type="dxa"/>
            <w:left w:w="108" w:type="dxa"/>
            <w:bottom w:w="0" w:type="dxa"/>
            <w:right w:w="108" w:type="dxa"/>
          </w:tblCellMar>
        </w:tblPrEx>
        <w:trPr>
          <w:trHeight w:val="567" w:hRule="atLeast"/>
          <w:jc w:val="center"/>
        </w:trPr>
        <w:tc>
          <w:tcPr>
            <w:tcW w:w="1548" w:type="dxa"/>
            <w:vMerge w:val="continue"/>
            <w:tcBorders>
              <w:top w:val="nil"/>
              <w:left w:val="single" w:color="000000" w:sz="4" w:space="0"/>
              <w:bottom w:val="single" w:color="000000" w:sz="4" w:space="0"/>
              <w:right w:val="single" w:color="000000" w:sz="4" w:space="0"/>
            </w:tcBorders>
            <w:noWrap w:val="0"/>
            <w:vAlign w:val="center"/>
          </w:tcPr>
          <w:p w14:paraId="72313746">
            <w:pPr>
              <w:widowControl/>
              <w:jc w:val="left"/>
              <w:rPr>
                <w:rFonts w:ascii="宋体" w:hAnsi="宋体" w:eastAsia="宋体" w:cs="宋体"/>
                <w:color w:val="000000"/>
                <w:kern w:val="0"/>
                <w:sz w:val="24"/>
              </w:rPr>
            </w:pPr>
          </w:p>
        </w:tc>
        <w:tc>
          <w:tcPr>
            <w:tcW w:w="1620" w:type="dxa"/>
            <w:tcBorders>
              <w:top w:val="single" w:color="000000" w:sz="4" w:space="0"/>
              <w:left w:val="nil"/>
              <w:bottom w:val="single" w:color="000000" w:sz="4" w:space="0"/>
              <w:right w:val="single" w:color="000000" w:sz="4" w:space="0"/>
            </w:tcBorders>
            <w:noWrap w:val="0"/>
            <w:vAlign w:val="center"/>
          </w:tcPr>
          <w:p w14:paraId="762E58BD">
            <w:pPr>
              <w:widowControl/>
              <w:adjustRightInd w:val="0"/>
              <w:snapToGrid w:val="0"/>
              <w:spacing w:before="47" w:beforeLines="15" w:after="47" w:afterLines="15"/>
              <w:jc w:val="center"/>
              <w:rPr>
                <w:rFonts w:ascii="宋体" w:hAnsi="宋体" w:eastAsia="宋体" w:cs="宋体"/>
                <w:color w:val="000000"/>
                <w:kern w:val="0"/>
                <w:sz w:val="24"/>
              </w:rPr>
            </w:pPr>
          </w:p>
        </w:tc>
        <w:tc>
          <w:tcPr>
            <w:tcW w:w="1802" w:type="dxa"/>
            <w:tcBorders>
              <w:top w:val="single" w:color="000000" w:sz="4" w:space="0"/>
              <w:left w:val="nil"/>
              <w:bottom w:val="single" w:color="000000" w:sz="4" w:space="0"/>
              <w:right w:val="single" w:color="000000" w:sz="4" w:space="0"/>
            </w:tcBorders>
            <w:noWrap w:val="0"/>
            <w:vAlign w:val="center"/>
          </w:tcPr>
          <w:p w14:paraId="1FD99D05">
            <w:pPr>
              <w:widowControl/>
              <w:adjustRightInd w:val="0"/>
              <w:snapToGrid w:val="0"/>
              <w:spacing w:before="47" w:beforeLines="15" w:after="47" w:afterLines="15"/>
              <w:jc w:val="center"/>
              <w:rPr>
                <w:rFonts w:ascii="宋体" w:hAnsi="宋体" w:eastAsia="宋体" w:cs="宋体"/>
                <w:color w:val="000000"/>
                <w:kern w:val="0"/>
                <w:sz w:val="24"/>
              </w:rPr>
            </w:pPr>
          </w:p>
        </w:tc>
        <w:tc>
          <w:tcPr>
            <w:tcW w:w="1618" w:type="dxa"/>
            <w:tcBorders>
              <w:top w:val="single" w:color="000000" w:sz="4" w:space="0"/>
              <w:left w:val="nil"/>
              <w:bottom w:val="single" w:color="000000" w:sz="4" w:space="0"/>
              <w:right w:val="single" w:color="000000" w:sz="4" w:space="0"/>
            </w:tcBorders>
            <w:noWrap w:val="0"/>
            <w:vAlign w:val="center"/>
          </w:tcPr>
          <w:p w14:paraId="03299017">
            <w:pPr>
              <w:widowControl/>
              <w:adjustRightInd w:val="0"/>
              <w:snapToGrid w:val="0"/>
              <w:spacing w:before="47" w:beforeLines="15" w:after="47" w:afterLines="15"/>
              <w:jc w:val="center"/>
              <w:rPr>
                <w:rFonts w:ascii="宋体" w:hAnsi="宋体" w:eastAsia="宋体" w:cs="宋体"/>
                <w:color w:val="000000"/>
                <w:kern w:val="0"/>
                <w:sz w:val="24"/>
              </w:rPr>
            </w:pPr>
          </w:p>
        </w:tc>
        <w:tc>
          <w:tcPr>
            <w:tcW w:w="1934" w:type="dxa"/>
            <w:tcBorders>
              <w:top w:val="single" w:color="000000" w:sz="4" w:space="0"/>
              <w:left w:val="nil"/>
              <w:bottom w:val="single" w:color="000000" w:sz="4" w:space="0"/>
              <w:right w:val="single" w:color="000000" w:sz="4" w:space="0"/>
            </w:tcBorders>
            <w:noWrap w:val="0"/>
            <w:vAlign w:val="center"/>
          </w:tcPr>
          <w:p w14:paraId="027FEE20">
            <w:pPr>
              <w:widowControl/>
              <w:adjustRightInd w:val="0"/>
              <w:snapToGrid w:val="0"/>
              <w:spacing w:before="47" w:beforeLines="15" w:after="47" w:afterLines="15"/>
              <w:jc w:val="center"/>
              <w:rPr>
                <w:rFonts w:ascii="宋体" w:hAnsi="宋体" w:eastAsia="宋体" w:cs="宋体"/>
                <w:color w:val="000000"/>
                <w:kern w:val="0"/>
                <w:sz w:val="24"/>
              </w:rPr>
            </w:pPr>
          </w:p>
        </w:tc>
      </w:tr>
      <w:tr w14:paraId="483400C4">
        <w:tblPrEx>
          <w:tblCellMar>
            <w:top w:w="0" w:type="dxa"/>
            <w:left w:w="108" w:type="dxa"/>
            <w:bottom w:w="0" w:type="dxa"/>
            <w:right w:w="108" w:type="dxa"/>
          </w:tblCellMar>
        </w:tblPrEx>
        <w:trPr>
          <w:trHeight w:val="567" w:hRule="atLeas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3C68C037">
            <w:pPr>
              <w:widowControl/>
              <w:adjustRightInd w:val="0"/>
              <w:snapToGrid w:val="0"/>
              <w:spacing w:before="47" w:beforeLines="15" w:after="47" w:afterLines="15"/>
              <w:jc w:val="center"/>
              <w:rPr>
                <w:rFonts w:ascii="宋体" w:hAnsi="宋体" w:eastAsia="宋体" w:cs="宋体"/>
                <w:color w:val="000000"/>
                <w:kern w:val="0"/>
                <w:sz w:val="24"/>
              </w:rPr>
            </w:pPr>
            <w:r>
              <w:rPr>
                <w:rFonts w:hint="eastAsia" w:ascii="宋体" w:hAnsi="宋体" w:eastAsia="宋体" w:cs="宋体"/>
                <w:color w:val="000000"/>
                <w:kern w:val="0"/>
                <w:sz w:val="24"/>
              </w:rPr>
              <w:t>报告审核人</w:t>
            </w:r>
          </w:p>
        </w:tc>
        <w:tc>
          <w:tcPr>
            <w:tcW w:w="1620" w:type="dxa"/>
            <w:tcBorders>
              <w:top w:val="single" w:color="000000" w:sz="4" w:space="0"/>
              <w:left w:val="nil"/>
              <w:bottom w:val="single" w:color="000000" w:sz="4" w:space="0"/>
              <w:right w:val="single" w:color="000000" w:sz="4" w:space="0"/>
            </w:tcBorders>
            <w:noWrap w:val="0"/>
            <w:vAlign w:val="center"/>
          </w:tcPr>
          <w:p w14:paraId="3F44061F">
            <w:pPr>
              <w:widowControl/>
              <w:adjustRightInd w:val="0"/>
              <w:snapToGrid w:val="0"/>
              <w:spacing w:before="47" w:beforeLines="15" w:after="47" w:afterLines="15"/>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汤秀辉</w:t>
            </w:r>
          </w:p>
        </w:tc>
        <w:tc>
          <w:tcPr>
            <w:tcW w:w="1802" w:type="dxa"/>
            <w:tcBorders>
              <w:top w:val="single" w:color="000000" w:sz="4" w:space="0"/>
              <w:left w:val="nil"/>
              <w:bottom w:val="single" w:color="000000" w:sz="4" w:space="0"/>
              <w:right w:val="single" w:color="000000" w:sz="4" w:space="0"/>
            </w:tcBorders>
            <w:noWrap w:val="0"/>
            <w:vAlign w:val="center"/>
          </w:tcPr>
          <w:p w14:paraId="15836D95">
            <w:pPr>
              <w:widowControl/>
              <w:adjustRightInd w:val="0"/>
              <w:snapToGrid w:val="0"/>
              <w:spacing w:before="47" w:beforeLines="15" w:after="47" w:afterLines="15"/>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安全总监</w:t>
            </w:r>
          </w:p>
        </w:tc>
        <w:tc>
          <w:tcPr>
            <w:tcW w:w="1618" w:type="dxa"/>
            <w:tcBorders>
              <w:top w:val="single" w:color="000000" w:sz="4" w:space="0"/>
              <w:left w:val="nil"/>
              <w:bottom w:val="single" w:color="000000" w:sz="4" w:space="0"/>
              <w:right w:val="single" w:color="000000" w:sz="4" w:space="0"/>
            </w:tcBorders>
            <w:noWrap w:val="0"/>
            <w:vAlign w:val="center"/>
          </w:tcPr>
          <w:p w14:paraId="660A878D">
            <w:pPr>
              <w:widowControl/>
              <w:adjustRightInd w:val="0"/>
              <w:snapToGrid w:val="0"/>
              <w:spacing w:before="47" w:beforeLines="15" w:after="47" w:afterLines="15"/>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安全工程</w:t>
            </w:r>
          </w:p>
        </w:tc>
        <w:tc>
          <w:tcPr>
            <w:tcW w:w="1934" w:type="dxa"/>
            <w:tcBorders>
              <w:top w:val="single" w:color="000000" w:sz="4" w:space="0"/>
              <w:left w:val="nil"/>
              <w:bottom w:val="single" w:color="000000" w:sz="4" w:space="0"/>
              <w:right w:val="single" w:color="000000" w:sz="4" w:space="0"/>
            </w:tcBorders>
            <w:noWrap w:val="0"/>
            <w:vAlign w:val="center"/>
          </w:tcPr>
          <w:p w14:paraId="3CACAF87">
            <w:pPr>
              <w:widowControl/>
              <w:adjustRightInd w:val="0"/>
              <w:snapToGrid w:val="0"/>
              <w:spacing w:before="47" w:beforeLines="15" w:after="47" w:afterLines="15"/>
              <w:jc w:val="center"/>
              <w:rPr>
                <w:rFonts w:ascii="宋体" w:hAnsi="宋体" w:eastAsia="宋体" w:cs="宋体"/>
                <w:color w:val="000000"/>
                <w:kern w:val="0"/>
                <w:sz w:val="24"/>
              </w:rPr>
            </w:pPr>
          </w:p>
        </w:tc>
      </w:tr>
    </w:tbl>
    <w:p w14:paraId="080DB4D4">
      <w:pPr>
        <w:rPr>
          <w:rFonts w:eastAsia="宋体" w:cs="Times New Roman"/>
        </w:rPr>
      </w:pPr>
    </w:p>
    <w:p w14:paraId="061C4676">
      <w:pPr>
        <w:rPr>
          <w:rFonts w:eastAsia="宋体" w:cs="Times New Roman"/>
        </w:rPr>
      </w:pPr>
    </w:p>
    <w:p w14:paraId="2A97911D">
      <w:pPr>
        <w:rPr>
          <w:rFonts w:eastAsia="宋体" w:cs="Times New Roman"/>
        </w:rPr>
      </w:pPr>
    </w:p>
    <w:p w14:paraId="4DDCF511">
      <w:pPr>
        <w:rPr>
          <w:rFonts w:eastAsia="宋体" w:cs="Times New Roman"/>
        </w:rPr>
      </w:pPr>
    </w:p>
    <w:p w14:paraId="0B0B68C5">
      <w:pPr>
        <w:rPr>
          <w:rFonts w:eastAsia="宋体" w:cs="Times New Roman"/>
        </w:rPr>
      </w:pPr>
    </w:p>
    <w:p w14:paraId="0416A6B1">
      <w:pPr>
        <w:rPr>
          <w:rFonts w:eastAsia="宋体" w:cs="Times New Roman"/>
        </w:rPr>
      </w:pPr>
    </w:p>
    <w:p w14:paraId="112C5804">
      <w:pPr>
        <w:rPr>
          <w:rFonts w:eastAsia="宋体" w:cs="Times New Roman"/>
        </w:rPr>
      </w:pPr>
    </w:p>
    <w:p w14:paraId="5B1A972A">
      <w:pPr>
        <w:rPr>
          <w:rFonts w:eastAsia="宋体" w:cs="Times New Roman"/>
        </w:rPr>
      </w:pPr>
    </w:p>
    <w:p w14:paraId="103ABA73">
      <w:pPr>
        <w:rPr>
          <w:rFonts w:eastAsia="宋体" w:cs="Times New Roman"/>
        </w:rPr>
      </w:pPr>
    </w:p>
    <w:p w14:paraId="626382BB">
      <w:pPr>
        <w:rPr>
          <w:rFonts w:eastAsia="宋体" w:cs="Times New Roman"/>
        </w:rPr>
      </w:pPr>
    </w:p>
    <w:p w14:paraId="42FD4F84">
      <w:pPr>
        <w:rPr>
          <w:rFonts w:eastAsia="宋体" w:cs="Times New Roman"/>
        </w:rPr>
      </w:pPr>
    </w:p>
    <w:p w14:paraId="498CCA2B">
      <w:pPr>
        <w:rPr>
          <w:rFonts w:eastAsia="宋体" w:cs="Times New Roman"/>
        </w:rPr>
      </w:pPr>
    </w:p>
    <w:p w14:paraId="3779CDD7">
      <w:pPr>
        <w:rPr>
          <w:rFonts w:eastAsia="宋体" w:cs="Times New Roman"/>
        </w:rPr>
      </w:pPr>
    </w:p>
    <w:p w14:paraId="254532AA">
      <w:pPr>
        <w:rPr>
          <w:rFonts w:eastAsia="宋体" w:cs="Times New Roman"/>
        </w:rPr>
      </w:pPr>
    </w:p>
    <w:p w14:paraId="0D2A8C9C">
      <w:pPr>
        <w:rPr>
          <w:rFonts w:eastAsia="宋体" w:cs="Times New Roman"/>
        </w:rPr>
      </w:pPr>
    </w:p>
    <w:p w14:paraId="02963129">
      <w:pPr>
        <w:rPr>
          <w:rFonts w:eastAsia="宋体" w:cs="Times New Roman"/>
        </w:rPr>
      </w:pPr>
    </w:p>
    <w:p w14:paraId="725264FF">
      <w:pPr>
        <w:rPr>
          <w:rFonts w:eastAsia="宋体" w:cs="Times New Roman"/>
        </w:rPr>
      </w:pPr>
    </w:p>
    <w:p w14:paraId="50753E09">
      <w:pPr>
        <w:rPr>
          <w:rFonts w:eastAsia="宋体" w:cs="Times New Roman"/>
        </w:rPr>
      </w:pPr>
    </w:p>
    <w:p w14:paraId="336A79BB">
      <w:pPr>
        <w:rPr>
          <w:rFonts w:eastAsia="宋体" w:cs="Times New Roman"/>
        </w:rPr>
      </w:pPr>
    </w:p>
    <w:p w14:paraId="04991997">
      <w:pPr>
        <w:rPr>
          <w:rFonts w:eastAsia="宋体" w:cs="Times New Roman"/>
        </w:rPr>
      </w:pPr>
    </w:p>
    <w:p w14:paraId="49AAA7E6">
      <w:pPr>
        <w:rPr>
          <w:rFonts w:eastAsia="宋体" w:cs="Times New Roman"/>
        </w:rPr>
      </w:pPr>
    </w:p>
    <w:p w14:paraId="72B3783C">
      <w:pPr>
        <w:rPr>
          <w:rFonts w:eastAsia="宋体" w:cs="Times New Roman"/>
        </w:rPr>
      </w:pPr>
    </w:p>
    <w:p w14:paraId="36B1DE2A">
      <w:pPr>
        <w:rPr>
          <w:rFonts w:eastAsia="宋体" w:cs="Times New Roman"/>
        </w:rPr>
      </w:pPr>
    </w:p>
    <w:p w14:paraId="4541040A">
      <w:pPr>
        <w:rPr>
          <w:rFonts w:eastAsia="宋体" w:cs="Times New Roman"/>
        </w:rPr>
      </w:pPr>
    </w:p>
    <w:p w14:paraId="6628FDAA">
      <w:pPr>
        <w:rPr>
          <w:rFonts w:eastAsia="宋体" w:cs="Times New Roman"/>
        </w:rPr>
      </w:pPr>
    </w:p>
    <w:p w14:paraId="736C78FA">
      <w:pPr>
        <w:rPr>
          <w:rFonts w:eastAsia="宋体" w:cs="Times New Roman"/>
        </w:rPr>
      </w:pPr>
    </w:p>
    <w:p w14:paraId="4F57C3AD">
      <w:pPr>
        <w:rPr>
          <w:rFonts w:eastAsia="宋体" w:cs="Times New Roman"/>
        </w:rPr>
      </w:pPr>
    </w:p>
    <w:p w14:paraId="7E374DB0">
      <w:pPr>
        <w:rPr>
          <w:rFonts w:eastAsia="宋体" w:cs="Times New Roman"/>
        </w:rPr>
      </w:pPr>
    </w:p>
    <w:p w14:paraId="6B217B09">
      <w:pPr>
        <w:rPr>
          <w:rFonts w:eastAsia="宋体" w:cs="Times New Roman"/>
        </w:rPr>
      </w:pPr>
    </w:p>
    <w:sdt>
      <w:sdtPr>
        <w:rPr>
          <w:rFonts w:ascii="宋体" w:hAnsi="宋体" w:eastAsia="宋体" w:cstheme="minorBidi"/>
          <w:kern w:val="2"/>
          <w:sz w:val="21"/>
          <w:szCs w:val="24"/>
          <w:lang w:val="en-US" w:eastAsia="zh-CN" w:bidi="ar-SA"/>
        </w:rPr>
        <w:id w:val="147473164"/>
        <w15:color w:val="DBDBDB"/>
        <w:docPartObj>
          <w:docPartGallery w:val="Table of Contents"/>
          <w:docPartUnique/>
        </w:docPartObj>
      </w:sdtPr>
      <w:sdtEndPr>
        <w:rPr>
          <w:rFonts w:ascii="Times New Roman" w:hAnsi="Times New Roman" w:eastAsia="宋体" w:cs="Times New Roman"/>
          <w:b/>
          <w:bCs/>
          <w:kern w:val="2"/>
          <w:sz w:val="44"/>
          <w:szCs w:val="52"/>
          <w:lang w:val="en-US" w:eastAsia="zh-CN" w:bidi="ar-SA"/>
        </w:rPr>
      </w:sdtEndPr>
      <w:sdtContent>
        <w:p w14:paraId="61D2661B">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7BAF33B">
          <w:pPr>
            <w:pStyle w:val="10"/>
            <w:tabs>
              <w:tab w:val="right" w:leader="dot" w:pos="9374"/>
            </w:tabs>
            <w:jc w:val="center"/>
            <w:rPr>
              <w:rFonts w:ascii="Times New Roman" w:hAnsi="Times New Roman" w:eastAsia="宋体" w:cs="Times New Roman"/>
              <w:b/>
              <w:bCs/>
              <w:kern w:val="2"/>
              <w:sz w:val="44"/>
              <w:szCs w:val="52"/>
              <w:lang w:val="en-US" w:eastAsia="zh-CN" w:bidi="ar-SA"/>
            </w:rPr>
          </w:pPr>
        </w:p>
        <w:p w14:paraId="30D9FAF0">
          <w:pPr>
            <w:pStyle w:val="11"/>
            <w:bidi w:val="0"/>
            <w:rPr>
              <w:lang w:val="en-US" w:eastAsia="zh-CN"/>
            </w:rPr>
          </w:pPr>
        </w:p>
        <w:p w14:paraId="6460FF1E">
          <w:pPr>
            <w:pStyle w:val="10"/>
            <w:tabs>
              <w:tab w:val="right" w:leader="dot" w:pos="9374"/>
            </w:tabs>
            <w:jc w:val="center"/>
            <w:rPr>
              <w:rFonts w:ascii="Times New Roman" w:hAnsi="Times New Roman" w:eastAsia="宋体" w:cs="Times New Roman"/>
              <w:b/>
              <w:bCs/>
              <w:kern w:val="2"/>
              <w:sz w:val="44"/>
              <w:szCs w:val="52"/>
              <w:lang w:val="en-US" w:eastAsia="zh-CN" w:bidi="ar-SA"/>
            </w:rPr>
          </w:pPr>
        </w:p>
        <w:p w14:paraId="31D113A1">
          <w:pPr>
            <w:pStyle w:val="10"/>
            <w:tabs>
              <w:tab w:val="right" w:leader="dot" w:pos="9374"/>
            </w:tabs>
            <w:jc w:val="center"/>
            <w:rPr>
              <w:rFonts w:ascii="Times New Roman" w:hAnsi="Times New Roman" w:eastAsia="宋体" w:cs="Times New Roman"/>
              <w:b/>
              <w:bCs/>
              <w:kern w:val="2"/>
              <w:sz w:val="44"/>
              <w:szCs w:val="52"/>
              <w:lang w:val="en-US" w:eastAsia="zh-CN" w:bidi="ar-SA"/>
            </w:rPr>
          </w:pPr>
        </w:p>
        <w:p w14:paraId="0B14DC5E">
          <w:pPr>
            <w:pStyle w:val="10"/>
            <w:tabs>
              <w:tab w:val="right" w:leader="dot" w:pos="9374"/>
            </w:tabs>
            <w:jc w:val="center"/>
            <w:rPr>
              <w:rFonts w:ascii="Times New Roman" w:hAnsi="Times New Roman" w:eastAsia="宋体" w:cs="Times New Roman"/>
              <w:b/>
              <w:bCs/>
              <w:kern w:val="2"/>
              <w:sz w:val="44"/>
              <w:szCs w:val="52"/>
              <w:lang w:val="en-US" w:eastAsia="zh-CN" w:bidi="ar-SA"/>
            </w:rPr>
          </w:pPr>
        </w:p>
        <w:p w14:paraId="173BB6A4">
          <w:pPr>
            <w:pStyle w:val="10"/>
            <w:tabs>
              <w:tab w:val="right" w:leader="dot" w:pos="9374"/>
            </w:tabs>
            <w:jc w:val="center"/>
            <w:rPr>
              <w:rFonts w:ascii="Times New Roman" w:hAnsi="Times New Roman" w:eastAsia="宋体" w:cs="Times New Roman"/>
              <w:b/>
              <w:bCs/>
              <w:kern w:val="2"/>
              <w:sz w:val="44"/>
              <w:szCs w:val="52"/>
              <w:lang w:val="en-US" w:eastAsia="zh-CN" w:bidi="ar-SA"/>
            </w:rPr>
          </w:pPr>
        </w:p>
        <w:p w14:paraId="1E6AE154">
          <w:pPr>
            <w:pStyle w:val="10"/>
            <w:tabs>
              <w:tab w:val="right" w:leader="dot" w:pos="9374"/>
            </w:tabs>
            <w:jc w:val="center"/>
            <w:rPr>
              <w:b/>
              <w:bCs/>
              <w:sz w:val="40"/>
              <w:szCs w:val="48"/>
            </w:rPr>
          </w:pPr>
          <w:r>
            <w:rPr>
              <w:rFonts w:ascii="Times New Roman" w:hAnsi="Times New Roman" w:eastAsia="宋体" w:cs="Times New Roman"/>
              <w:b/>
              <w:bCs/>
              <w:kern w:val="2"/>
              <w:sz w:val="44"/>
              <w:szCs w:val="52"/>
              <w:lang w:val="en-US" w:eastAsia="zh-CN" w:bidi="ar-SA"/>
            </w:rPr>
            <w:fldChar w:fldCharType="begin"/>
          </w:r>
          <w:r>
            <w:rPr>
              <w:rFonts w:ascii="Times New Roman" w:hAnsi="Times New Roman" w:eastAsia="宋体" w:cs="Times New Roman"/>
              <w:b/>
              <w:bCs/>
              <w:kern w:val="2"/>
              <w:sz w:val="44"/>
              <w:szCs w:val="52"/>
              <w:lang w:val="en-US" w:eastAsia="zh-CN" w:bidi="ar-SA"/>
            </w:rPr>
            <w:instrText xml:space="preserve">TOC \o "1-1" \h \u </w:instrText>
          </w:r>
          <w:r>
            <w:rPr>
              <w:rFonts w:ascii="Times New Roman" w:hAnsi="Times New Roman" w:eastAsia="宋体" w:cs="Times New Roman"/>
              <w:b/>
              <w:bCs/>
              <w:kern w:val="2"/>
              <w:sz w:val="44"/>
              <w:szCs w:val="52"/>
              <w:lang w:val="en-US" w:eastAsia="zh-CN" w:bidi="ar-SA"/>
            </w:rPr>
            <w:fldChar w:fldCharType="separate"/>
          </w: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_Toc12166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1. </w:t>
          </w:r>
          <w:r>
            <w:rPr>
              <w:rFonts w:hint="eastAsia" w:ascii="宋体" w:hAnsi="宋体"/>
              <w:b/>
              <w:bCs/>
              <w:kern w:val="0"/>
              <w:sz w:val="40"/>
              <w:szCs w:val="52"/>
            </w:rPr>
            <w:t>概述</w:t>
          </w:r>
          <w:r>
            <w:rPr>
              <w:b/>
              <w:bCs/>
              <w:sz w:val="40"/>
              <w:szCs w:val="48"/>
            </w:rPr>
            <w:tab/>
          </w:r>
          <w:r>
            <w:rPr>
              <w:b/>
              <w:bCs/>
              <w:sz w:val="40"/>
              <w:szCs w:val="48"/>
            </w:rPr>
            <w:fldChar w:fldCharType="begin"/>
          </w:r>
          <w:r>
            <w:rPr>
              <w:b/>
              <w:bCs/>
              <w:sz w:val="40"/>
              <w:szCs w:val="48"/>
            </w:rPr>
            <w:instrText xml:space="preserve"> PAGEREF _Toc12166 \h </w:instrText>
          </w:r>
          <w:r>
            <w:rPr>
              <w:b/>
              <w:bCs/>
              <w:sz w:val="40"/>
              <w:szCs w:val="48"/>
            </w:rPr>
            <w:fldChar w:fldCharType="separate"/>
          </w:r>
          <w:r>
            <w:rPr>
              <w:b/>
              <w:bCs/>
              <w:sz w:val="40"/>
              <w:szCs w:val="48"/>
            </w:rPr>
            <w:t>4</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7A96E209">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_Toc350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eastAsiaTheme="minorEastAsia"/>
              <w:b/>
              <w:bCs/>
              <w:kern w:val="0"/>
              <w:sz w:val="40"/>
              <w:szCs w:val="52"/>
              <w:lang w:val="en-US" w:eastAsia="zh-CN"/>
            </w:rPr>
            <w:t xml:space="preserve">2. </w:t>
          </w:r>
          <w:r>
            <w:rPr>
              <w:rFonts w:hint="eastAsia" w:ascii="宋体" w:hAnsi="宋体"/>
              <w:b/>
              <w:bCs/>
              <w:kern w:val="0"/>
              <w:sz w:val="40"/>
              <w:szCs w:val="52"/>
            </w:rPr>
            <w:t>企业安全生产基本情况。</w:t>
          </w:r>
          <w:r>
            <w:rPr>
              <w:b/>
              <w:bCs/>
              <w:sz w:val="40"/>
              <w:szCs w:val="48"/>
            </w:rPr>
            <w:tab/>
          </w:r>
          <w:r>
            <w:rPr>
              <w:b/>
              <w:bCs/>
              <w:sz w:val="40"/>
              <w:szCs w:val="48"/>
            </w:rPr>
            <w:fldChar w:fldCharType="begin"/>
          </w:r>
          <w:r>
            <w:rPr>
              <w:b/>
              <w:bCs/>
              <w:sz w:val="40"/>
              <w:szCs w:val="48"/>
            </w:rPr>
            <w:instrText xml:space="preserve"> PAGEREF _Toc350 \h </w:instrText>
          </w:r>
          <w:r>
            <w:rPr>
              <w:b/>
              <w:bCs/>
              <w:sz w:val="40"/>
              <w:szCs w:val="48"/>
            </w:rPr>
            <w:fldChar w:fldCharType="separate"/>
          </w:r>
          <w:r>
            <w:rPr>
              <w:b/>
              <w:bCs/>
              <w:sz w:val="40"/>
              <w:szCs w:val="48"/>
            </w:rPr>
            <w:t>25</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27A4643A">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_Toc12957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eastAsia="宋体" w:cs="Times New Roman"/>
              <w:b/>
              <w:bCs/>
              <w:kern w:val="0"/>
              <w:sz w:val="40"/>
              <w:szCs w:val="52"/>
            </w:rPr>
            <w:t xml:space="preserve">3. </w:t>
          </w:r>
          <w:r>
            <w:rPr>
              <w:rFonts w:hint="eastAsia" w:ascii="宋体" w:hAnsi="宋体" w:eastAsia="宋体" w:cs="Times New Roman"/>
              <w:b/>
              <w:bCs/>
              <w:kern w:val="0"/>
              <w:sz w:val="40"/>
              <w:szCs w:val="52"/>
            </w:rPr>
            <w:t>自评标准的适应性分析</w:t>
          </w:r>
          <w:r>
            <w:rPr>
              <w:b/>
              <w:bCs/>
              <w:sz w:val="40"/>
              <w:szCs w:val="48"/>
            </w:rPr>
            <w:tab/>
          </w:r>
          <w:r>
            <w:rPr>
              <w:b/>
              <w:bCs/>
              <w:sz w:val="40"/>
              <w:szCs w:val="48"/>
            </w:rPr>
            <w:fldChar w:fldCharType="begin"/>
          </w:r>
          <w:r>
            <w:rPr>
              <w:b/>
              <w:bCs/>
              <w:sz w:val="40"/>
              <w:szCs w:val="48"/>
            </w:rPr>
            <w:instrText xml:space="preserve"> PAGEREF _Toc12957 \h </w:instrText>
          </w:r>
          <w:r>
            <w:rPr>
              <w:b/>
              <w:bCs/>
              <w:sz w:val="40"/>
              <w:szCs w:val="48"/>
            </w:rPr>
            <w:fldChar w:fldCharType="separate"/>
          </w:r>
          <w:r>
            <w:rPr>
              <w:b/>
              <w:bCs/>
              <w:sz w:val="40"/>
              <w:szCs w:val="48"/>
            </w:rPr>
            <w:t>30</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3E5E1193">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_Toc30400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4. </w:t>
          </w:r>
          <w:r>
            <w:rPr>
              <w:rFonts w:hint="eastAsia" w:ascii="宋体" w:hAnsi="宋体"/>
              <w:b/>
              <w:bCs/>
              <w:kern w:val="0"/>
              <w:sz w:val="40"/>
              <w:szCs w:val="52"/>
            </w:rPr>
            <w:t>自评程序及方法</w:t>
          </w:r>
          <w:r>
            <w:rPr>
              <w:b/>
              <w:bCs/>
              <w:sz w:val="40"/>
              <w:szCs w:val="48"/>
            </w:rPr>
            <w:tab/>
          </w:r>
          <w:r>
            <w:rPr>
              <w:b/>
              <w:bCs/>
              <w:sz w:val="40"/>
              <w:szCs w:val="48"/>
            </w:rPr>
            <w:fldChar w:fldCharType="begin"/>
          </w:r>
          <w:r>
            <w:rPr>
              <w:b/>
              <w:bCs/>
              <w:sz w:val="40"/>
              <w:szCs w:val="48"/>
            </w:rPr>
            <w:instrText xml:space="preserve"> PAGEREF _Toc30400 \h </w:instrText>
          </w:r>
          <w:r>
            <w:rPr>
              <w:b/>
              <w:bCs/>
              <w:sz w:val="40"/>
              <w:szCs w:val="48"/>
            </w:rPr>
            <w:fldChar w:fldCharType="separate"/>
          </w:r>
          <w:r>
            <w:rPr>
              <w:b/>
              <w:bCs/>
              <w:sz w:val="40"/>
              <w:szCs w:val="48"/>
            </w:rPr>
            <w:t>30</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65594D29">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_Toc32293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5. </w:t>
          </w:r>
          <w:r>
            <w:rPr>
              <w:rFonts w:hint="eastAsia" w:ascii="宋体" w:hAnsi="宋体"/>
              <w:b/>
              <w:bCs/>
              <w:kern w:val="0"/>
              <w:sz w:val="40"/>
              <w:szCs w:val="52"/>
            </w:rPr>
            <w:t>要素评审</w:t>
          </w:r>
          <w:r>
            <w:rPr>
              <w:b/>
              <w:bCs/>
              <w:sz w:val="40"/>
              <w:szCs w:val="48"/>
            </w:rPr>
            <w:tab/>
          </w:r>
          <w:r>
            <w:rPr>
              <w:b/>
              <w:bCs/>
              <w:sz w:val="40"/>
              <w:szCs w:val="48"/>
            </w:rPr>
            <w:fldChar w:fldCharType="begin"/>
          </w:r>
          <w:r>
            <w:rPr>
              <w:b/>
              <w:bCs/>
              <w:sz w:val="40"/>
              <w:szCs w:val="48"/>
            </w:rPr>
            <w:instrText xml:space="preserve"> PAGEREF _Toc32293 \h </w:instrText>
          </w:r>
          <w:r>
            <w:rPr>
              <w:b/>
              <w:bCs/>
              <w:sz w:val="40"/>
              <w:szCs w:val="48"/>
            </w:rPr>
            <w:fldChar w:fldCharType="separate"/>
          </w:r>
          <w:r>
            <w:rPr>
              <w:b/>
              <w:bCs/>
              <w:sz w:val="40"/>
              <w:szCs w:val="48"/>
            </w:rPr>
            <w:t>32</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46719CD8">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_Toc6711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6. </w:t>
          </w:r>
          <w:r>
            <w:rPr>
              <w:rFonts w:hint="eastAsia" w:ascii="宋体" w:hAnsi="宋体"/>
              <w:b/>
              <w:bCs/>
              <w:kern w:val="0"/>
              <w:sz w:val="40"/>
              <w:szCs w:val="52"/>
            </w:rPr>
            <w:t>自评综述及评分表</w:t>
          </w:r>
          <w:r>
            <w:rPr>
              <w:b/>
              <w:bCs/>
              <w:sz w:val="40"/>
              <w:szCs w:val="48"/>
            </w:rPr>
            <w:tab/>
          </w:r>
          <w:r>
            <w:rPr>
              <w:b/>
              <w:bCs/>
              <w:sz w:val="40"/>
              <w:szCs w:val="48"/>
            </w:rPr>
            <w:fldChar w:fldCharType="begin"/>
          </w:r>
          <w:r>
            <w:rPr>
              <w:b/>
              <w:bCs/>
              <w:sz w:val="40"/>
              <w:szCs w:val="48"/>
            </w:rPr>
            <w:instrText xml:space="preserve"> PAGEREF _Toc6711 \h </w:instrText>
          </w:r>
          <w:r>
            <w:rPr>
              <w:b/>
              <w:bCs/>
              <w:sz w:val="40"/>
              <w:szCs w:val="48"/>
            </w:rPr>
            <w:fldChar w:fldCharType="separate"/>
          </w:r>
          <w:r>
            <w:rPr>
              <w:b/>
              <w:bCs/>
              <w:sz w:val="40"/>
              <w:szCs w:val="48"/>
            </w:rPr>
            <w:t>37</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73D623F6">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_Toc26160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7. </w:t>
          </w:r>
          <w:r>
            <w:rPr>
              <w:rFonts w:hint="eastAsia" w:ascii="宋体" w:hAnsi="宋体"/>
              <w:b/>
              <w:bCs/>
              <w:kern w:val="0"/>
              <w:sz w:val="40"/>
              <w:szCs w:val="52"/>
            </w:rPr>
            <w:t>自评评分表</w:t>
          </w:r>
          <w:r>
            <w:rPr>
              <w:b/>
              <w:bCs/>
              <w:sz w:val="40"/>
              <w:szCs w:val="48"/>
            </w:rPr>
            <w:tab/>
          </w:r>
          <w:r>
            <w:rPr>
              <w:b/>
              <w:bCs/>
              <w:sz w:val="40"/>
              <w:szCs w:val="48"/>
            </w:rPr>
            <w:fldChar w:fldCharType="begin"/>
          </w:r>
          <w:r>
            <w:rPr>
              <w:b/>
              <w:bCs/>
              <w:sz w:val="40"/>
              <w:szCs w:val="48"/>
            </w:rPr>
            <w:instrText xml:space="preserve"> PAGEREF _Toc26160 \h </w:instrText>
          </w:r>
          <w:r>
            <w:rPr>
              <w:b/>
              <w:bCs/>
              <w:sz w:val="40"/>
              <w:szCs w:val="48"/>
            </w:rPr>
            <w:fldChar w:fldCharType="separate"/>
          </w:r>
          <w:r>
            <w:rPr>
              <w:b/>
              <w:bCs/>
              <w:sz w:val="40"/>
              <w:szCs w:val="48"/>
            </w:rPr>
            <w:t>129</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7C5AA7DA">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_Toc15596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8. </w:t>
          </w:r>
          <w:r>
            <w:rPr>
              <w:rFonts w:hint="eastAsia" w:ascii="宋体" w:hAnsi="宋体"/>
              <w:b/>
              <w:bCs/>
              <w:kern w:val="0"/>
              <w:sz w:val="40"/>
              <w:szCs w:val="52"/>
            </w:rPr>
            <w:t>整改及核查</w:t>
          </w:r>
          <w:r>
            <w:rPr>
              <w:b/>
              <w:bCs/>
              <w:sz w:val="40"/>
              <w:szCs w:val="48"/>
            </w:rPr>
            <w:tab/>
          </w:r>
          <w:r>
            <w:rPr>
              <w:b/>
              <w:bCs/>
              <w:sz w:val="40"/>
              <w:szCs w:val="48"/>
            </w:rPr>
            <w:fldChar w:fldCharType="begin"/>
          </w:r>
          <w:r>
            <w:rPr>
              <w:b/>
              <w:bCs/>
              <w:sz w:val="40"/>
              <w:szCs w:val="48"/>
            </w:rPr>
            <w:instrText xml:space="preserve"> PAGEREF _Toc15596 \h </w:instrText>
          </w:r>
          <w:r>
            <w:rPr>
              <w:b/>
              <w:bCs/>
              <w:sz w:val="40"/>
              <w:szCs w:val="48"/>
            </w:rPr>
            <w:fldChar w:fldCharType="separate"/>
          </w:r>
          <w:r>
            <w:rPr>
              <w:b/>
              <w:bCs/>
              <w:sz w:val="40"/>
              <w:szCs w:val="48"/>
            </w:rPr>
            <w:t>131</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21D921A2">
          <w:pPr>
            <w:pStyle w:val="10"/>
            <w:tabs>
              <w:tab w:val="right" w:leader="dot" w:pos="9374"/>
            </w:tabs>
            <w:jc w:val="center"/>
            <w:rPr>
              <w:b/>
              <w:bCs/>
              <w:sz w:val="40"/>
              <w:szCs w:val="48"/>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_Toc30509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9. </w:t>
          </w:r>
          <w:r>
            <w:rPr>
              <w:rFonts w:hint="eastAsia" w:ascii="宋体" w:hAnsi="宋体"/>
              <w:b/>
              <w:bCs/>
              <w:kern w:val="0"/>
              <w:sz w:val="40"/>
              <w:szCs w:val="52"/>
            </w:rPr>
            <w:t>自评结论</w:t>
          </w:r>
          <w:r>
            <w:rPr>
              <w:b/>
              <w:bCs/>
              <w:sz w:val="40"/>
              <w:szCs w:val="48"/>
            </w:rPr>
            <w:tab/>
          </w:r>
          <w:r>
            <w:rPr>
              <w:b/>
              <w:bCs/>
              <w:sz w:val="40"/>
              <w:szCs w:val="48"/>
            </w:rPr>
            <w:fldChar w:fldCharType="begin"/>
          </w:r>
          <w:r>
            <w:rPr>
              <w:b/>
              <w:bCs/>
              <w:sz w:val="40"/>
              <w:szCs w:val="48"/>
            </w:rPr>
            <w:instrText xml:space="preserve"> PAGEREF _Toc30509 \h </w:instrText>
          </w:r>
          <w:r>
            <w:rPr>
              <w:b/>
              <w:bCs/>
              <w:sz w:val="40"/>
              <w:szCs w:val="48"/>
            </w:rPr>
            <w:fldChar w:fldCharType="separate"/>
          </w:r>
          <w:r>
            <w:rPr>
              <w:b/>
              <w:bCs/>
              <w:sz w:val="40"/>
              <w:szCs w:val="48"/>
            </w:rPr>
            <w:t>133</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22657DA7">
          <w:pPr>
            <w:pStyle w:val="10"/>
            <w:tabs>
              <w:tab w:val="right" w:leader="dot" w:pos="9374"/>
            </w:tabs>
            <w:jc w:val="center"/>
            <w:rPr>
              <w:b/>
              <w:bCs/>
              <w:sz w:val="44"/>
              <w:szCs w:val="52"/>
            </w:rPr>
          </w:pPr>
          <w:r>
            <w:rPr>
              <w:rFonts w:ascii="Times New Roman" w:hAnsi="Times New Roman" w:eastAsia="宋体" w:cs="Times New Roman"/>
              <w:b/>
              <w:bCs/>
              <w:kern w:val="2"/>
              <w:sz w:val="40"/>
              <w:szCs w:val="48"/>
              <w:lang w:val="en-US" w:eastAsia="zh-CN" w:bidi="ar-SA"/>
            </w:rPr>
            <w:fldChar w:fldCharType="begin"/>
          </w:r>
          <w:r>
            <w:rPr>
              <w:rFonts w:ascii="Times New Roman" w:hAnsi="Times New Roman" w:eastAsia="宋体" w:cs="Times New Roman"/>
              <w:b/>
              <w:bCs/>
              <w:kern w:val="2"/>
              <w:sz w:val="40"/>
              <w:szCs w:val="48"/>
              <w:lang w:val="en-US" w:eastAsia="zh-CN" w:bidi="ar-SA"/>
            </w:rPr>
            <w:instrText xml:space="preserve"> HYPERLINK \l _Toc444 </w:instrText>
          </w:r>
          <w:r>
            <w:rPr>
              <w:rFonts w:ascii="Times New Roman" w:hAnsi="Times New Roman" w:eastAsia="宋体" w:cs="Times New Roman"/>
              <w:b/>
              <w:bCs/>
              <w:kern w:val="2"/>
              <w:sz w:val="40"/>
              <w:szCs w:val="48"/>
              <w:lang w:val="en-US" w:eastAsia="zh-CN" w:bidi="ar-SA"/>
            </w:rPr>
            <w:fldChar w:fldCharType="separate"/>
          </w:r>
          <w:r>
            <w:rPr>
              <w:rFonts w:hint="default" w:ascii="宋体" w:hAnsi="宋体"/>
              <w:b/>
              <w:bCs/>
              <w:kern w:val="0"/>
              <w:sz w:val="40"/>
              <w:szCs w:val="52"/>
            </w:rPr>
            <w:t xml:space="preserve">10. </w:t>
          </w:r>
          <w:r>
            <w:rPr>
              <w:rFonts w:hint="eastAsia" w:ascii="宋体" w:hAnsi="宋体"/>
              <w:b/>
              <w:bCs/>
              <w:kern w:val="0"/>
              <w:sz w:val="40"/>
              <w:szCs w:val="52"/>
            </w:rPr>
            <w:t>附录A</w:t>
          </w:r>
          <w:r>
            <w:rPr>
              <w:b/>
              <w:bCs/>
              <w:sz w:val="40"/>
              <w:szCs w:val="48"/>
            </w:rPr>
            <w:tab/>
          </w:r>
          <w:r>
            <w:rPr>
              <w:b/>
              <w:bCs/>
              <w:sz w:val="40"/>
              <w:szCs w:val="48"/>
            </w:rPr>
            <w:fldChar w:fldCharType="begin"/>
          </w:r>
          <w:r>
            <w:rPr>
              <w:b/>
              <w:bCs/>
              <w:sz w:val="40"/>
              <w:szCs w:val="48"/>
            </w:rPr>
            <w:instrText xml:space="preserve"> PAGEREF _Toc444 \h </w:instrText>
          </w:r>
          <w:r>
            <w:rPr>
              <w:b/>
              <w:bCs/>
              <w:sz w:val="40"/>
              <w:szCs w:val="48"/>
            </w:rPr>
            <w:fldChar w:fldCharType="separate"/>
          </w:r>
          <w:r>
            <w:rPr>
              <w:b/>
              <w:bCs/>
              <w:sz w:val="40"/>
              <w:szCs w:val="48"/>
            </w:rPr>
            <w:t>134</w:t>
          </w:r>
          <w:r>
            <w:rPr>
              <w:b/>
              <w:bCs/>
              <w:sz w:val="40"/>
              <w:szCs w:val="48"/>
            </w:rPr>
            <w:fldChar w:fldCharType="end"/>
          </w:r>
          <w:r>
            <w:rPr>
              <w:rFonts w:ascii="Times New Roman" w:hAnsi="Times New Roman" w:eastAsia="宋体" w:cs="Times New Roman"/>
              <w:b/>
              <w:bCs/>
              <w:kern w:val="2"/>
              <w:sz w:val="40"/>
              <w:szCs w:val="48"/>
              <w:lang w:val="en-US" w:eastAsia="zh-CN" w:bidi="ar-SA"/>
            </w:rPr>
            <w:fldChar w:fldCharType="end"/>
          </w:r>
        </w:p>
        <w:p w14:paraId="300E7603">
          <w:pPr>
            <w:outlineLvl w:val="9"/>
            <w:rPr>
              <w:rFonts w:ascii="Times New Roman" w:hAnsi="Times New Roman" w:eastAsia="宋体" w:cs="Times New Roman"/>
              <w:b/>
              <w:bCs/>
              <w:kern w:val="2"/>
              <w:sz w:val="44"/>
              <w:szCs w:val="52"/>
              <w:lang w:val="en-US" w:eastAsia="zh-CN" w:bidi="ar-SA"/>
            </w:rPr>
          </w:pPr>
          <w:r>
            <w:rPr>
              <w:rFonts w:ascii="Times New Roman" w:hAnsi="Times New Roman" w:eastAsia="宋体" w:cs="Times New Roman"/>
              <w:b/>
              <w:bCs/>
              <w:kern w:val="2"/>
              <w:sz w:val="44"/>
              <w:szCs w:val="52"/>
              <w:lang w:val="en-US" w:eastAsia="zh-CN" w:bidi="ar-SA"/>
            </w:rPr>
            <w:fldChar w:fldCharType="end"/>
          </w:r>
        </w:p>
      </w:sdtContent>
    </w:sdt>
    <w:p w14:paraId="227EF090">
      <w:pPr>
        <w:outlineLvl w:val="9"/>
        <w:rPr>
          <w:rFonts w:ascii="Times New Roman" w:hAnsi="Times New Roman" w:eastAsia="宋体" w:cs="Times New Roman"/>
          <w:kern w:val="2"/>
          <w:sz w:val="21"/>
          <w:szCs w:val="24"/>
          <w:lang w:val="en-US" w:eastAsia="zh-CN" w:bidi="ar-SA"/>
        </w:rPr>
      </w:pPr>
    </w:p>
    <w:p w14:paraId="2EE442F3">
      <w:pPr>
        <w:outlineLvl w:val="9"/>
        <w:rPr>
          <w:rFonts w:ascii="Times New Roman" w:hAnsi="Times New Roman" w:eastAsia="宋体" w:cs="Times New Roman"/>
          <w:kern w:val="2"/>
          <w:sz w:val="21"/>
          <w:szCs w:val="24"/>
          <w:lang w:val="en-US" w:eastAsia="zh-CN" w:bidi="ar-SA"/>
        </w:rPr>
      </w:pPr>
    </w:p>
    <w:p w14:paraId="081A676C">
      <w:pPr>
        <w:outlineLvl w:val="9"/>
        <w:rPr>
          <w:rFonts w:ascii="Times New Roman" w:hAnsi="Times New Roman" w:eastAsia="宋体" w:cs="Times New Roman"/>
          <w:kern w:val="2"/>
          <w:sz w:val="21"/>
          <w:szCs w:val="24"/>
          <w:lang w:val="en-US" w:eastAsia="zh-CN" w:bidi="ar-SA"/>
        </w:rPr>
      </w:pPr>
    </w:p>
    <w:p w14:paraId="2899F21B">
      <w:pPr>
        <w:outlineLvl w:val="9"/>
        <w:rPr>
          <w:rFonts w:ascii="Times New Roman" w:hAnsi="Times New Roman" w:eastAsia="宋体" w:cs="Times New Roman"/>
          <w:kern w:val="2"/>
          <w:sz w:val="21"/>
          <w:szCs w:val="24"/>
          <w:lang w:val="en-US" w:eastAsia="zh-CN" w:bidi="ar-SA"/>
        </w:rPr>
      </w:pPr>
    </w:p>
    <w:p w14:paraId="5AD8F102">
      <w:pPr>
        <w:outlineLvl w:val="9"/>
        <w:rPr>
          <w:rFonts w:ascii="Times New Roman" w:hAnsi="Times New Roman" w:eastAsia="宋体" w:cs="Times New Roman"/>
          <w:kern w:val="2"/>
          <w:sz w:val="21"/>
          <w:szCs w:val="24"/>
          <w:lang w:val="en-US" w:eastAsia="zh-CN" w:bidi="ar-SA"/>
        </w:rPr>
      </w:pPr>
    </w:p>
    <w:p w14:paraId="167B86D0">
      <w:pPr>
        <w:outlineLvl w:val="9"/>
        <w:rPr>
          <w:rFonts w:ascii="Times New Roman" w:hAnsi="Times New Roman" w:eastAsia="宋体" w:cs="Times New Roman"/>
          <w:kern w:val="2"/>
          <w:sz w:val="21"/>
          <w:szCs w:val="24"/>
          <w:lang w:val="en-US" w:eastAsia="zh-CN" w:bidi="ar-SA"/>
        </w:rPr>
      </w:pPr>
    </w:p>
    <w:p w14:paraId="5E0454D3">
      <w:pPr>
        <w:outlineLvl w:val="9"/>
        <w:rPr>
          <w:rFonts w:ascii="Times New Roman" w:hAnsi="Times New Roman" w:eastAsia="宋体" w:cs="Times New Roman"/>
          <w:kern w:val="2"/>
          <w:sz w:val="21"/>
          <w:szCs w:val="24"/>
          <w:lang w:val="en-US" w:eastAsia="zh-CN" w:bidi="ar-SA"/>
        </w:rPr>
      </w:pPr>
    </w:p>
    <w:p w14:paraId="72179DC5">
      <w:pPr>
        <w:outlineLvl w:val="9"/>
        <w:rPr>
          <w:rFonts w:ascii="Times New Roman" w:hAnsi="Times New Roman" w:eastAsia="宋体" w:cs="Times New Roman"/>
          <w:kern w:val="2"/>
          <w:sz w:val="21"/>
          <w:szCs w:val="24"/>
          <w:lang w:val="en-US" w:eastAsia="zh-CN" w:bidi="ar-SA"/>
        </w:rPr>
      </w:pPr>
    </w:p>
    <w:p w14:paraId="5B9CBB02">
      <w:pPr>
        <w:outlineLvl w:val="9"/>
        <w:rPr>
          <w:rFonts w:ascii="Times New Roman" w:hAnsi="Times New Roman" w:eastAsia="宋体" w:cs="Times New Roman"/>
          <w:kern w:val="2"/>
          <w:sz w:val="21"/>
          <w:szCs w:val="24"/>
          <w:lang w:val="en-US" w:eastAsia="zh-CN" w:bidi="ar-SA"/>
        </w:rPr>
      </w:pPr>
    </w:p>
    <w:p w14:paraId="150D2D39">
      <w:pPr>
        <w:outlineLvl w:val="9"/>
        <w:rPr>
          <w:rFonts w:ascii="Times New Roman" w:hAnsi="Times New Roman" w:eastAsia="宋体" w:cs="Times New Roman"/>
          <w:kern w:val="2"/>
          <w:sz w:val="21"/>
          <w:szCs w:val="24"/>
          <w:lang w:val="en-US" w:eastAsia="zh-CN" w:bidi="ar-SA"/>
        </w:rPr>
      </w:pPr>
    </w:p>
    <w:p w14:paraId="4234F0F1">
      <w:pPr>
        <w:outlineLvl w:val="9"/>
        <w:rPr>
          <w:rFonts w:ascii="Times New Roman" w:hAnsi="Times New Roman" w:eastAsia="宋体" w:cs="Times New Roman"/>
          <w:kern w:val="2"/>
          <w:sz w:val="21"/>
          <w:szCs w:val="24"/>
          <w:lang w:val="en-US" w:eastAsia="zh-CN" w:bidi="ar-SA"/>
        </w:rPr>
      </w:pPr>
    </w:p>
    <w:p w14:paraId="44AE4DB1">
      <w:pPr>
        <w:outlineLvl w:val="9"/>
        <w:rPr>
          <w:rFonts w:ascii="Times New Roman" w:hAnsi="Times New Roman" w:eastAsia="宋体" w:cs="Times New Roman"/>
          <w:kern w:val="2"/>
          <w:sz w:val="21"/>
          <w:szCs w:val="24"/>
          <w:lang w:val="en-US" w:eastAsia="zh-CN" w:bidi="ar-SA"/>
        </w:rPr>
      </w:pPr>
    </w:p>
    <w:p w14:paraId="36122878">
      <w:pPr>
        <w:outlineLvl w:val="9"/>
        <w:rPr>
          <w:rFonts w:ascii="Times New Roman" w:hAnsi="Times New Roman" w:eastAsia="宋体" w:cs="Times New Roman"/>
          <w:kern w:val="2"/>
          <w:sz w:val="21"/>
          <w:szCs w:val="24"/>
          <w:lang w:val="en-US" w:eastAsia="zh-CN" w:bidi="ar-SA"/>
        </w:rPr>
      </w:pPr>
    </w:p>
    <w:p w14:paraId="19199D61">
      <w:pPr>
        <w:outlineLvl w:val="9"/>
        <w:rPr>
          <w:rFonts w:ascii="Times New Roman" w:hAnsi="Times New Roman" w:eastAsia="宋体" w:cs="Times New Roman"/>
          <w:kern w:val="2"/>
          <w:sz w:val="21"/>
          <w:szCs w:val="24"/>
          <w:lang w:val="en-US" w:eastAsia="zh-CN" w:bidi="ar-SA"/>
        </w:rPr>
      </w:pPr>
    </w:p>
    <w:p w14:paraId="1887B7A7">
      <w:pPr>
        <w:outlineLvl w:val="9"/>
        <w:rPr>
          <w:rFonts w:ascii="Times New Roman" w:hAnsi="Times New Roman" w:eastAsia="宋体" w:cs="Times New Roman"/>
          <w:kern w:val="2"/>
          <w:sz w:val="21"/>
          <w:szCs w:val="24"/>
          <w:lang w:val="en-US" w:eastAsia="zh-CN" w:bidi="ar-SA"/>
        </w:rPr>
      </w:pPr>
    </w:p>
    <w:p w14:paraId="30A858EA">
      <w:pPr>
        <w:outlineLvl w:val="9"/>
        <w:rPr>
          <w:rFonts w:ascii="Times New Roman" w:hAnsi="Times New Roman" w:eastAsia="宋体" w:cs="Times New Roman"/>
          <w:kern w:val="2"/>
          <w:sz w:val="21"/>
          <w:szCs w:val="24"/>
          <w:lang w:val="en-US" w:eastAsia="zh-CN" w:bidi="ar-SA"/>
        </w:rPr>
      </w:pPr>
    </w:p>
    <w:p w14:paraId="0B09958D">
      <w:pPr>
        <w:outlineLvl w:val="9"/>
        <w:rPr>
          <w:rFonts w:ascii="Times New Roman" w:hAnsi="Times New Roman" w:eastAsia="宋体" w:cs="Times New Roman"/>
          <w:kern w:val="2"/>
          <w:sz w:val="21"/>
          <w:szCs w:val="24"/>
          <w:lang w:val="en-US" w:eastAsia="zh-CN" w:bidi="ar-SA"/>
        </w:rPr>
      </w:pPr>
    </w:p>
    <w:p w14:paraId="798A046A">
      <w:pPr>
        <w:outlineLvl w:val="9"/>
        <w:rPr>
          <w:rFonts w:ascii="Times New Roman" w:hAnsi="Times New Roman" w:eastAsia="宋体" w:cs="Times New Roman"/>
          <w:kern w:val="2"/>
          <w:sz w:val="21"/>
          <w:szCs w:val="24"/>
          <w:lang w:val="en-US" w:eastAsia="zh-CN" w:bidi="ar-SA"/>
        </w:rPr>
      </w:pPr>
    </w:p>
    <w:p w14:paraId="1F82A6B3">
      <w:pPr>
        <w:outlineLvl w:val="9"/>
        <w:rPr>
          <w:rFonts w:ascii="Times New Roman" w:hAnsi="Times New Roman" w:eastAsia="宋体" w:cs="Times New Roman"/>
          <w:kern w:val="2"/>
          <w:sz w:val="21"/>
          <w:szCs w:val="24"/>
          <w:lang w:val="en-US" w:eastAsia="zh-CN" w:bidi="ar-SA"/>
        </w:rPr>
      </w:pPr>
    </w:p>
    <w:p w14:paraId="3FE1259B">
      <w:pPr>
        <w:outlineLvl w:val="9"/>
        <w:rPr>
          <w:rFonts w:ascii="Times New Roman" w:hAnsi="Times New Roman" w:eastAsia="宋体" w:cs="Times New Roman"/>
          <w:kern w:val="2"/>
          <w:sz w:val="21"/>
          <w:szCs w:val="24"/>
          <w:lang w:val="en-US" w:eastAsia="zh-CN" w:bidi="ar-SA"/>
        </w:rPr>
      </w:pPr>
    </w:p>
    <w:p w14:paraId="2ECF6C29">
      <w:pPr>
        <w:outlineLvl w:val="9"/>
        <w:rPr>
          <w:rFonts w:ascii="Times New Roman" w:hAnsi="Times New Roman" w:eastAsia="宋体" w:cs="Times New Roman"/>
          <w:kern w:val="2"/>
          <w:sz w:val="21"/>
          <w:szCs w:val="24"/>
          <w:lang w:val="en-US" w:eastAsia="zh-CN" w:bidi="ar-SA"/>
        </w:rPr>
      </w:pPr>
    </w:p>
    <w:p w14:paraId="6722FDB9">
      <w:pPr>
        <w:outlineLvl w:val="9"/>
        <w:rPr>
          <w:rFonts w:ascii="Times New Roman" w:hAnsi="Times New Roman" w:eastAsia="宋体" w:cs="Times New Roman"/>
          <w:kern w:val="2"/>
          <w:sz w:val="21"/>
          <w:szCs w:val="24"/>
          <w:lang w:val="en-US" w:eastAsia="zh-CN" w:bidi="ar-SA"/>
        </w:rPr>
      </w:pPr>
    </w:p>
    <w:p w14:paraId="20E174EA">
      <w:pPr>
        <w:outlineLvl w:val="9"/>
        <w:rPr>
          <w:rFonts w:ascii="Times New Roman" w:hAnsi="Times New Roman" w:eastAsia="宋体" w:cs="Times New Roman"/>
          <w:kern w:val="2"/>
          <w:sz w:val="21"/>
          <w:szCs w:val="24"/>
          <w:lang w:val="en-US" w:eastAsia="zh-CN" w:bidi="ar-SA"/>
        </w:rPr>
      </w:pPr>
    </w:p>
    <w:p w14:paraId="26669FF8">
      <w:pPr>
        <w:outlineLvl w:val="9"/>
        <w:rPr>
          <w:rFonts w:ascii="Times New Roman" w:hAnsi="Times New Roman" w:eastAsia="宋体" w:cs="Times New Roman"/>
          <w:kern w:val="2"/>
          <w:sz w:val="21"/>
          <w:szCs w:val="24"/>
          <w:lang w:val="en-US" w:eastAsia="zh-CN" w:bidi="ar-SA"/>
        </w:rPr>
      </w:pPr>
    </w:p>
    <w:p w14:paraId="4A8D0624">
      <w:pPr>
        <w:widowControl/>
        <w:numPr>
          <w:ilvl w:val="0"/>
          <w:numId w:val="1"/>
        </w:numPr>
        <w:spacing w:line="540" w:lineRule="exact"/>
        <w:ind w:left="425" w:leftChars="0" w:hanging="425" w:firstLineChars="0"/>
        <w:outlineLvl w:val="0"/>
        <w:rPr>
          <w:rFonts w:hint="eastAsia" w:ascii="宋体" w:hAnsi="宋体"/>
          <w:b/>
          <w:bCs/>
          <w:kern w:val="0"/>
          <w:sz w:val="28"/>
          <w:szCs w:val="28"/>
        </w:rPr>
      </w:pPr>
      <w:bookmarkStart w:id="0" w:name="_Toc12166"/>
      <w:r>
        <w:rPr>
          <w:rFonts w:hint="eastAsia" w:ascii="宋体" w:hAnsi="宋体"/>
          <w:b/>
          <w:bCs/>
          <w:kern w:val="0"/>
          <w:sz w:val="28"/>
          <w:szCs w:val="28"/>
        </w:rPr>
        <w:t>概述</w:t>
      </w:r>
      <w:bookmarkEnd w:id="0"/>
    </w:p>
    <w:p w14:paraId="2F1B2E94">
      <w:pPr>
        <w:widowControl/>
        <w:numPr>
          <w:ilvl w:val="1"/>
          <w:numId w:val="1"/>
        </w:numPr>
        <w:spacing w:line="540" w:lineRule="exact"/>
        <w:ind w:left="567" w:leftChars="0" w:hanging="567" w:firstLineChars="0"/>
        <w:outlineLvl w:val="1"/>
        <w:rPr>
          <w:rFonts w:hint="eastAsia" w:ascii="宋体" w:hAnsi="宋体"/>
          <w:b/>
          <w:bCs/>
          <w:kern w:val="0"/>
          <w:sz w:val="28"/>
          <w:szCs w:val="28"/>
        </w:rPr>
      </w:pPr>
      <w:r>
        <w:rPr>
          <w:rFonts w:hint="eastAsia" w:ascii="宋体" w:hAnsi="宋体"/>
          <w:b/>
          <w:bCs/>
          <w:kern w:val="0"/>
          <w:sz w:val="28"/>
          <w:szCs w:val="28"/>
          <w:lang w:val="en-US" w:eastAsia="zh-CN"/>
        </w:rPr>
        <w:t>企业简介</w:t>
      </w:r>
    </w:p>
    <w:p w14:paraId="7A0FD374">
      <w:pPr>
        <w:widowControl/>
        <w:numPr>
          <w:ilvl w:val="0"/>
          <w:numId w:val="0"/>
        </w:numPr>
        <w:spacing w:line="540" w:lineRule="exact"/>
        <w:ind w:leftChars="0"/>
        <w:outlineLvl w:val="1"/>
        <w:rPr>
          <w:rFonts w:hint="eastAsia"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bCs/>
          <w:kern w:val="0"/>
          <w:sz w:val="24"/>
          <w:szCs w:val="24"/>
          <w:lang w:val="en-US" w:eastAsia="zh-CN"/>
        </w:rPr>
        <w:t xml:space="preserve"> </w:t>
      </w:r>
      <w:r>
        <w:rPr>
          <w:rFonts w:hint="eastAsia" w:ascii="宋体" w:hAnsi="宋体"/>
          <w:b w:val="0"/>
          <w:bCs w:val="0"/>
          <w:kern w:val="0"/>
          <w:sz w:val="24"/>
          <w:szCs w:val="24"/>
          <w:lang w:val="en-US" w:eastAsia="zh-CN"/>
        </w:rPr>
        <w:t>达诺尔（湖北）微电子材料有限公司（简称“湖北达诺尔公司）是江苏达诺尔科技股份有限公司（简称“江苏达诺尔公司”）的全资子公司，成立于2020年07月07日，主要经营超纯电子化学品，注册地址位于潜江市经济技术开发区泽口街道金澳大道9号。</w:t>
      </w:r>
    </w:p>
    <w:p w14:paraId="49AD443F">
      <w:pPr>
        <w:widowControl/>
        <w:numPr>
          <w:ilvl w:val="0"/>
          <w:numId w:val="0"/>
        </w:numPr>
        <w:spacing w:line="540" w:lineRule="exact"/>
        <w:ind w:leftChars="0"/>
        <w:outlineLvl w:val="1"/>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本公司选址区域北侧金澳大道，其北侧为架空高压输电线路，东北侧稍远区域为曾家滩、八姓湾等村庄，东侧为天安日化有限公司，东南侧为在建中能高端材料（湖北）有限公司，西南侧为金澳科技公司，西侧为永安药业公司。</w:t>
      </w:r>
    </w:p>
    <w:p w14:paraId="18B5F6A3">
      <w:pPr>
        <w:widowControl/>
        <w:numPr>
          <w:ilvl w:val="0"/>
          <w:numId w:val="0"/>
        </w:numPr>
        <w:spacing w:line="540" w:lineRule="exact"/>
        <w:ind w:leftChars="0" w:firstLine="480" w:firstLineChars="200"/>
        <w:outlineLvl w:val="1"/>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本项目建设内容主要包括年产8万吨超纯电子化学品，以及配套的公用工程、辅助设施，主要包含：研发楼、控制室、总变电所、公用工程站、1#车间、2#车间、1#仓库、2#仓库、3#仓库、成品罐组及其配套、原料罐组及其配套、液氨罐组及其配套、双氧水罐组及其配套、装卸站、消防泵房及水池、初期雨水池及事故池、尾气及废水处理装置等。</w:t>
      </w:r>
    </w:p>
    <w:p w14:paraId="322AFBFC">
      <w:pPr>
        <w:widowControl/>
        <w:numPr>
          <w:ilvl w:val="0"/>
          <w:numId w:val="0"/>
        </w:numPr>
        <w:spacing w:line="540" w:lineRule="exact"/>
        <w:ind w:leftChars="0" w:firstLine="480" w:firstLineChars="200"/>
        <w:outlineLvl w:val="1"/>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达诺尔（湖北）微电子材料有限公司（简称达诺尔）全面致力于半导体湿法工艺超高纯微电子化学品的研发、生产、销售，主要产品有PPT级超纯氨水、超纯异丙醇、超纯双氧水、蚀刻液和剥离液等，工艺技术均达到世界先进水平。达诺尔超纯产品广泛适用于半导体集成电路、面板显示行业、硬盘、硅片抛光清洗、太阳能电池片、光学精密仪器制造和精细化工工艺中。公司生产超纯电子化学品，目前，建成年产8万吨超净高纯电子化学品，其中包括超纯氨水30000吨/年6套生产装置、超纯双氧水15000吨/年2套生产装置、超纯异丙醇15000吨/年4套生产装置、蚀刻液10000吨/年一套生产装置、剥离液10000吨/年一套生产装置；年产值约5000万元。生产工艺均是将相应的工业级原料经过循环过滤、蒸发、吸附过滤、洗涤、超纯水吸收等物理净化，去除其中的少量金属离子、颗粒杂质、有机物等物质后即成为成品或再经超纯水稀释配置后制得。</w:t>
      </w:r>
    </w:p>
    <w:p w14:paraId="6B6ED29D">
      <w:pPr>
        <w:widowControl/>
        <w:numPr>
          <w:ilvl w:val="0"/>
          <w:numId w:val="0"/>
        </w:numPr>
        <w:spacing w:line="540" w:lineRule="exact"/>
        <w:ind w:leftChars="0" w:firstLine="480" w:firstLineChars="200"/>
        <w:outlineLvl w:val="1"/>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本项目与2021年8月开工建设，于2022年9月竣工，试生产时间2023年4月28日至2023年11月14日。公司生产装置为连续操作，生产装置年运行时间为300天，年工作时7200h，现场操作人员采用四班三运转制，每班工作8h，公司现有总人员100人，生产人员64人，管理人员36人。</w:t>
      </w:r>
    </w:p>
    <w:p w14:paraId="4D1AA4B8">
      <w:pPr>
        <w:widowControl/>
        <w:numPr>
          <w:ilvl w:val="0"/>
          <w:numId w:val="0"/>
        </w:numPr>
        <w:spacing w:line="540" w:lineRule="exact"/>
        <w:ind w:leftChars="0" w:firstLine="480" w:firstLineChars="200"/>
        <w:outlineLvl w:val="1"/>
        <w:rPr>
          <w:rFonts w:hint="default" w:ascii="宋体" w:hAnsi="宋体"/>
          <w:b w:val="0"/>
          <w:bCs w:val="0"/>
          <w:kern w:val="0"/>
          <w:sz w:val="24"/>
          <w:szCs w:val="24"/>
          <w:lang w:val="en-US"/>
        </w:rPr>
      </w:pPr>
      <w:r>
        <w:rPr>
          <w:rFonts w:hint="eastAsia" w:ascii="宋体" w:hAnsi="宋体"/>
          <w:b w:val="0"/>
          <w:bCs w:val="0"/>
          <w:kern w:val="0"/>
          <w:sz w:val="24"/>
          <w:szCs w:val="24"/>
          <w:lang w:val="en-US" w:eastAsia="zh-CN"/>
        </w:rPr>
        <w:t>公司设有完善的组织管理机构，设置生产工技术部（下设生产部、设备部）、人事行政部、市场营销部、项目管理部、质量管理部、财务部、采购部、安环部、总经理办公室。</w:t>
      </w:r>
    </w:p>
    <w:p w14:paraId="51039347">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地理位置及周边环境状况</w:t>
      </w:r>
    </w:p>
    <w:p w14:paraId="720A22A4">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本项目拟建在潜江经济开发区新征厂址内，厂区净用地面积 66468.1m2 （围墙内）。潜江市地处东经112。29 ′～113。01 ′，北纬30。04 ′～30。39 ′，属亚热带季风 气候区，具有南北兼优的气候特点。东通武汉， 南连监利，西邻荆州，北接 荆门，隔汉江与天门相望，沪蓉高速公路与318国道横贯全境，沪汉蓉高铁 （汉宜高铁）横贯东西，具有贯通南北、承东启西、得天独厚的区位优势。 境内河渠网络相通，公路四通八达，东距武汉市153km，西距荆州市70km， 属于武汉“8+1”城市圈。</w:t>
      </w:r>
    </w:p>
    <w:p w14:paraId="1B999E15">
      <w:pPr>
        <w:widowControl/>
        <w:numPr>
          <w:ilvl w:val="0"/>
          <w:numId w:val="0"/>
        </w:numPr>
        <w:spacing w:line="540" w:lineRule="exact"/>
        <w:ind w:leftChars="0" w:firstLine="480" w:firstLineChars="200"/>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湖北潜江经济开发区位于湖北省潜江市，是原泽口经济开发区。始建于 1991年，1996年经湖北省人民政府批准为省级经济技术开发区，2005年12月 由国家发改委批准更名为湖北潜江经济开发区，是湖北省17家重点省级开发 区之一。</w:t>
      </w:r>
    </w:p>
    <w:p w14:paraId="75F001CE">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本项目所在地潜江经济开发区经过多年的发展，已形成了一定的规模， 区内交通四通八达，公路交通网络遍及整个开发区，园区内路网系统由主干 道、次干道、支路构筑而成，已形成“五纵五横”道路网络。工业集中区内的水、电、汽、通讯等公用工程设施基本完善，企业可充分利用开发区现有的 公用工程、辅助设施和管理设施，减少建设投资、提高经济效益，以增强公 司的经济实力和产品竞争能力。</w:t>
      </w:r>
    </w:p>
    <w:p w14:paraId="4970DEFB">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建构筑物</w:t>
      </w:r>
    </w:p>
    <w:p w14:paraId="5CC34214">
      <w:pPr>
        <w:spacing w:before="92" w:line="221" w:lineRule="auto"/>
        <w:ind w:left="3226"/>
        <w:rPr>
          <w:rFonts w:ascii="宋体" w:hAnsi="宋体" w:eastAsia="宋体" w:cs="宋体"/>
          <w:sz w:val="28"/>
          <w:szCs w:val="28"/>
        </w:rPr>
      </w:pPr>
      <w:r>
        <w:rPr>
          <w:rFonts w:hint="eastAsia" w:ascii="宋体" w:hAnsi="宋体"/>
          <w:b/>
          <w:bCs/>
          <w:kern w:val="0"/>
          <w:sz w:val="28"/>
          <w:szCs w:val="28"/>
          <w:lang w:val="en-US" w:eastAsia="zh-CN"/>
        </w:rPr>
        <w:t xml:space="preserve">  </w:t>
      </w:r>
      <w:r>
        <w:rPr>
          <w:rFonts w:ascii="宋体" w:hAnsi="宋体" w:eastAsia="宋体" w:cs="宋体"/>
          <w:spacing w:val="-1"/>
          <w:sz w:val="28"/>
          <w:szCs w:val="28"/>
        </w:rPr>
        <w:t>建构筑物一览表</w:t>
      </w:r>
    </w:p>
    <w:p w14:paraId="361B5C68">
      <w:pPr>
        <w:spacing w:line="171" w:lineRule="exact"/>
      </w:pPr>
    </w:p>
    <w:tbl>
      <w:tblPr>
        <w:tblStyle w:val="21"/>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
        <w:gridCol w:w="787"/>
        <w:gridCol w:w="952"/>
        <w:gridCol w:w="924"/>
        <w:gridCol w:w="923"/>
        <w:gridCol w:w="667"/>
        <w:gridCol w:w="672"/>
        <w:gridCol w:w="667"/>
        <w:gridCol w:w="684"/>
        <w:gridCol w:w="1003"/>
        <w:gridCol w:w="854"/>
        <w:gridCol w:w="811"/>
      </w:tblGrid>
      <w:tr w14:paraId="7EC2E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55" w:type="dxa"/>
            <w:textDirection w:val="tbRlV"/>
            <w:vAlign w:val="top"/>
          </w:tcPr>
          <w:p w14:paraId="3AD7CCDD">
            <w:pPr>
              <w:pStyle w:val="22"/>
              <w:keepNext w:val="0"/>
              <w:keepLines w:val="0"/>
              <w:suppressLineNumbers w:val="0"/>
              <w:spacing w:before="71" w:beforeAutospacing="0" w:after="0" w:afterAutospacing="0" w:line="211" w:lineRule="auto"/>
              <w:ind w:left="166" w:right="0"/>
              <w:rPr>
                <w:rFonts w:hint="default"/>
              </w:rPr>
            </w:pPr>
            <w:r>
              <w:rPr>
                <w:rFonts w:hint="default"/>
                <w:spacing w:val="1"/>
              </w:rPr>
              <w:t>序</w:t>
            </w:r>
            <w:r>
              <w:rPr>
                <w:rFonts w:hint="default"/>
                <w:spacing w:val="-43"/>
              </w:rPr>
              <w:t xml:space="preserve"> </w:t>
            </w:r>
            <w:r>
              <w:rPr>
                <w:rFonts w:hint="default"/>
                <w:spacing w:val="1"/>
              </w:rPr>
              <w:t>号</w:t>
            </w:r>
          </w:p>
        </w:tc>
        <w:tc>
          <w:tcPr>
            <w:tcW w:w="787" w:type="dxa"/>
            <w:vAlign w:val="top"/>
          </w:tcPr>
          <w:p w14:paraId="23C14324">
            <w:pPr>
              <w:pStyle w:val="22"/>
              <w:keepNext w:val="0"/>
              <w:keepLines w:val="0"/>
              <w:suppressLineNumbers w:val="0"/>
              <w:spacing w:before="302" w:beforeAutospacing="0" w:after="0" w:afterAutospacing="0" w:line="223" w:lineRule="auto"/>
              <w:ind w:left="191" w:right="0"/>
              <w:rPr>
                <w:rFonts w:hint="default"/>
              </w:rPr>
            </w:pPr>
            <w:r>
              <w:rPr>
                <w:rFonts w:hint="default"/>
                <w:spacing w:val="-3"/>
              </w:rPr>
              <w:t>名称</w:t>
            </w:r>
          </w:p>
        </w:tc>
        <w:tc>
          <w:tcPr>
            <w:tcW w:w="952" w:type="dxa"/>
            <w:vAlign w:val="top"/>
          </w:tcPr>
          <w:p w14:paraId="354F3A68">
            <w:pPr>
              <w:pStyle w:val="22"/>
              <w:keepNext w:val="0"/>
              <w:keepLines w:val="0"/>
              <w:suppressLineNumbers w:val="0"/>
              <w:spacing w:before="166" w:beforeAutospacing="0" w:after="0" w:afterAutospacing="0" w:line="231" w:lineRule="auto"/>
              <w:ind w:left="376" w:right="156" w:hanging="207"/>
              <w:rPr>
                <w:rFonts w:hint="default"/>
              </w:rPr>
            </w:pPr>
            <w:r>
              <w:rPr>
                <w:rFonts w:hint="default"/>
                <w:spacing w:val="-4"/>
              </w:rPr>
              <w:t>结构形</w:t>
            </w:r>
            <w:r>
              <w:rPr>
                <w:rFonts w:hint="default"/>
                <w:spacing w:val="1"/>
              </w:rPr>
              <w:t xml:space="preserve"> </w:t>
            </w:r>
            <w:r>
              <w:rPr>
                <w:rFonts w:hint="default"/>
              </w:rPr>
              <w:t>式</w:t>
            </w:r>
          </w:p>
        </w:tc>
        <w:tc>
          <w:tcPr>
            <w:tcW w:w="924" w:type="dxa"/>
            <w:vAlign w:val="top"/>
          </w:tcPr>
          <w:p w14:paraId="7DBBADF7">
            <w:pPr>
              <w:pStyle w:val="22"/>
              <w:keepNext w:val="0"/>
              <w:keepLines w:val="0"/>
              <w:suppressLineNumbers w:val="0"/>
              <w:spacing w:before="166" w:beforeAutospacing="0" w:after="0" w:afterAutospacing="0" w:line="231" w:lineRule="auto"/>
              <w:ind w:left="72" w:right="77" w:firstLine="113"/>
              <w:rPr>
                <w:rFonts w:hint="default"/>
              </w:rPr>
            </w:pPr>
            <w:r>
              <w:rPr>
                <w:rFonts w:hint="default"/>
                <w:spacing w:val="-14"/>
              </w:rPr>
              <w:t>占地面</w:t>
            </w:r>
            <w:r>
              <w:rPr>
                <w:rFonts w:hint="default"/>
                <w:spacing w:val="1"/>
              </w:rPr>
              <w:t xml:space="preserve"> </w:t>
            </w:r>
            <w:r>
              <w:rPr>
                <w:rFonts w:hint="default"/>
                <w:spacing w:val="-5"/>
              </w:rPr>
              <w:t>积（m</w:t>
            </w:r>
            <w:r>
              <w:rPr>
                <w:rFonts w:hint="default"/>
                <w:spacing w:val="-5"/>
                <w:position w:val="10"/>
                <w:sz w:val="11"/>
                <w:szCs w:val="11"/>
              </w:rPr>
              <w:t>2</w:t>
            </w:r>
            <w:r>
              <w:rPr>
                <w:rFonts w:hint="default"/>
                <w:spacing w:val="-5"/>
              </w:rPr>
              <w:t>）</w:t>
            </w:r>
          </w:p>
        </w:tc>
        <w:tc>
          <w:tcPr>
            <w:tcW w:w="923" w:type="dxa"/>
            <w:vAlign w:val="top"/>
          </w:tcPr>
          <w:p w14:paraId="765D42F1">
            <w:pPr>
              <w:pStyle w:val="22"/>
              <w:keepNext w:val="0"/>
              <w:keepLines w:val="0"/>
              <w:suppressLineNumbers w:val="0"/>
              <w:spacing w:before="30" w:beforeAutospacing="0" w:after="0" w:afterAutospacing="0" w:line="228" w:lineRule="auto"/>
              <w:ind w:left="184" w:right="179" w:firstLine="75"/>
              <w:jc w:val="both"/>
              <w:rPr>
                <w:rFonts w:hint="default"/>
              </w:rPr>
            </w:pPr>
            <w:r>
              <w:rPr>
                <w:rFonts w:hint="default"/>
                <w:spacing w:val="-5"/>
              </w:rPr>
              <w:t>建筑</w:t>
            </w:r>
            <w:r>
              <w:rPr>
                <w:rFonts w:hint="default"/>
              </w:rPr>
              <w:t xml:space="preserve"> </w:t>
            </w:r>
            <w:r>
              <w:rPr>
                <w:rFonts w:hint="default"/>
                <w:spacing w:val="33"/>
              </w:rPr>
              <w:t>面积</w:t>
            </w:r>
            <w:r>
              <w:rPr>
                <w:rFonts w:hint="default"/>
              </w:rPr>
              <w:t xml:space="preserve"> </w:t>
            </w:r>
            <w:r>
              <w:rPr>
                <w:rFonts w:hint="default"/>
                <w:spacing w:val="-7"/>
              </w:rPr>
              <w:t>（m</w:t>
            </w:r>
            <w:r>
              <w:rPr>
                <w:rFonts w:hint="default"/>
                <w:spacing w:val="-7"/>
                <w:position w:val="10"/>
                <w:sz w:val="11"/>
                <w:szCs w:val="11"/>
              </w:rPr>
              <w:t>2</w:t>
            </w:r>
            <w:r>
              <w:rPr>
                <w:rFonts w:hint="default"/>
                <w:spacing w:val="-7"/>
              </w:rPr>
              <w:t>）</w:t>
            </w:r>
          </w:p>
        </w:tc>
        <w:tc>
          <w:tcPr>
            <w:tcW w:w="667" w:type="dxa"/>
            <w:vAlign w:val="top"/>
          </w:tcPr>
          <w:p w14:paraId="4CB73D4E">
            <w:pPr>
              <w:pStyle w:val="22"/>
              <w:keepNext w:val="0"/>
              <w:keepLines w:val="0"/>
              <w:suppressLineNumbers w:val="0"/>
              <w:spacing w:before="302" w:beforeAutospacing="0" w:after="0" w:afterAutospacing="0" w:line="221" w:lineRule="auto"/>
              <w:ind w:left="131" w:right="0"/>
              <w:rPr>
                <w:rFonts w:hint="default"/>
              </w:rPr>
            </w:pPr>
            <w:r>
              <w:rPr>
                <w:rFonts w:hint="default"/>
                <w:spacing w:val="-2"/>
              </w:rPr>
              <w:t>层数</w:t>
            </w:r>
          </w:p>
        </w:tc>
        <w:tc>
          <w:tcPr>
            <w:tcW w:w="672" w:type="dxa"/>
            <w:vAlign w:val="top"/>
          </w:tcPr>
          <w:p w14:paraId="3550ABFD">
            <w:pPr>
              <w:pStyle w:val="22"/>
              <w:keepNext w:val="0"/>
              <w:keepLines w:val="0"/>
              <w:suppressLineNumbers w:val="0"/>
              <w:spacing w:before="31" w:beforeAutospacing="0" w:after="0" w:afterAutospacing="0" w:line="221" w:lineRule="auto"/>
              <w:ind w:left="135" w:right="0"/>
              <w:rPr>
                <w:rFonts w:hint="default"/>
              </w:rPr>
            </w:pPr>
            <w:r>
              <w:rPr>
                <w:rFonts w:hint="default"/>
                <w:spacing w:val="-2"/>
              </w:rPr>
              <w:t>火灾</w:t>
            </w:r>
          </w:p>
          <w:p w14:paraId="2CB084BC">
            <w:pPr>
              <w:pStyle w:val="22"/>
              <w:keepNext w:val="0"/>
              <w:keepLines w:val="0"/>
              <w:suppressLineNumbers w:val="0"/>
              <w:spacing w:before="20" w:beforeAutospacing="0" w:after="0" w:afterAutospacing="0" w:line="221" w:lineRule="auto"/>
              <w:ind w:left="136" w:right="0"/>
              <w:rPr>
                <w:rFonts w:hint="default"/>
              </w:rPr>
            </w:pPr>
            <w:r>
              <w:rPr>
                <w:rFonts w:hint="default"/>
                <w:spacing w:val="-3"/>
              </w:rPr>
              <w:t>危险</w:t>
            </w:r>
          </w:p>
          <w:p w14:paraId="51A1E121">
            <w:pPr>
              <w:pStyle w:val="22"/>
              <w:keepNext w:val="0"/>
              <w:keepLines w:val="0"/>
              <w:suppressLineNumbers w:val="0"/>
              <w:spacing w:before="19" w:beforeAutospacing="0" w:after="0" w:afterAutospacing="0" w:line="206" w:lineRule="auto"/>
              <w:ind w:left="241" w:right="0"/>
              <w:rPr>
                <w:rFonts w:hint="default"/>
              </w:rPr>
            </w:pPr>
            <w:r>
              <w:rPr>
                <w:rFonts w:hint="default"/>
              </w:rPr>
              <w:t>性</w:t>
            </w:r>
          </w:p>
        </w:tc>
        <w:tc>
          <w:tcPr>
            <w:tcW w:w="667" w:type="dxa"/>
            <w:vAlign w:val="top"/>
          </w:tcPr>
          <w:p w14:paraId="621E050D">
            <w:pPr>
              <w:pStyle w:val="22"/>
              <w:keepNext w:val="0"/>
              <w:keepLines w:val="0"/>
              <w:suppressLineNumbers w:val="0"/>
              <w:spacing w:before="30" w:beforeAutospacing="0" w:after="0" w:afterAutospacing="0" w:line="228" w:lineRule="auto"/>
              <w:ind w:left="133" w:right="116"/>
              <w:jc w:val="both"/>
              <w:rPr>
                <w:rFonts w:hint="default"/>
              </w:rPr>
            </w:pPr>
            <w:r>
              <w:rPr>
                <w:rFonts w:hint="default"/>
                <w:spacing w:val="-5"/>
              </w:rPr>
              <w:t>建筑</w:t>
            </w:r>
            <w:r>
              <w:rPr>
                <w:rFonts w:hint="default"/>
              </w:rPr>
              <w:t xml:space="preserve"> </w:t>
            </w:r>
            <w:r>
              <w:rPr>
                <w:rFonts w:hint="default"/>
                <w:spacing w:val="-4"/>
              </w:rPr>
              <w:t>耐火</w:t>
            </w:r>
            <w:r>
              <w:rPr>
                <w:rFonts w:hint="default"/>
              </w:rPr>
              <w:t xml:space="preserve"> </w:t>
            </w:r>
            <w:r>
              <w:rPr>
                <w:rFonts w:hint="default"/>
                <w:spacing w:val="-4"/>
              </w:rPr>
              <w:t>等级</w:t>
            </w:r>
          </w:p>
        </w:tc>
        <w:tc>
          <w:tcPr>
            <w:tcW w:w="684" w:type="dxa"/>
            <w:vAlign w:val="top"/>
          </w:tcPr>
          <w:p w14:paraId="270B37BA">
            <w:pPr>
              <w:pStyle w:val="22"/>
              <w:keepNext w:val="0"/>
              <w:keepLines w:val="0"/>
              <w:suppressLineNumbers w:val="0"/>
              <w:spacing w:before="30" w:beforeAutospacing="0" w:after="0" w:afterAutospacing="0" w:line="228" w:lineRule="auto"/>
              <w:ind w:left="142" w:right="125" w:hanging="3"/>
              <w:jc w:val="both"/>
              <w:rPr>
                <w:rFonts w:hint="default"/>
              </w:rPr>
            </w:pPr>
            <w:r>
              <w:rPr>
                <w:rFonts w:hint="default"/>
                <w:spacing w:val="-3"/>
              </w:rPr>
              <w:t>抗震</w:t>
            </w:r>
            <w:r>
              <w:rPr>
                <w:rFonts w:hint="default"/>
              </w:rPr>
              <w:t xml:space="preserve"> </w:t>
            </w:r>
            <w:r>
              <w:rPr>
                <w:rFonts w:hint="default"/>
                <w:spacing w:val="-5"/>
              </w:rPr>
              <w:t>设防</w:t>
            </w:r>
            <w:r>
              <w:rPr>
                <w:rFonts w:hint="default"/>
              </w:rPr>
              <w:t xml:space="preserve"> </w:t>
            </w:r>
            <w:r>
              <w:rPr>
                <w:rFonts w:hint="default"/>
                <w:spacing w:val="-5"/>
              </w:rPr>
              <w:t>烈度</w:t>
            </w:r>
          </w:p>
        </w:tc>
        <w:tc>
          <w:tcPr>
            <w:tcW w:w="1003" w:type="dxa"/>
            <w:vAlign w:val="top"/>
          </w:tcPr>
          <w:p w14:paraId="3789D603">
            <w:pPr>
              <w:pStyle w:val="22"/>
              <w:keepNext w:val="0"/>
              <w:keepLines w:val="0"/>
              <w:suppressLineNumbers w:val="0"/>
              <w:spacing w:before="31" w:beforeAutospacing="0" w:after="0" w:afterAutospacing="0" w:line="230" w:lineRule="auto"/>
              <w:ind w:left="192" w:right="83" w:hanging="104"/>
              <w:rPr>
                <w:rFonts w:hint="default"/>
              </w:rPr>
            </w:pPr>
            <w:r>
              <w:rPr>
                <w:rFonts w:hint="default"/>
                <w:spacing w:val="-4"/>
              </w:rPr>
              <w:t>通风、泄</w:t>
            </w:r>
            <w:r>
              <w:rPr>
                <w:rFonts w:hint="default"/>
              </w:rPr>
              <w:t xml:space="preserve"> </w:t>
            </w:r>
            <w:r>
              <w:rPr>
                <w:rFonts w:hint="default"/>
                <w:spacing w:val="-2"/>
              </w:rPr>
              <w:t>压面积</w:t>
            </w:r>
          </w:p>
        </w:tc>
        <w:tc>
          <w:tcPr>
            <w:tcW w:w="854" w:type="dxa"/>
            <w:vAlign w:val="top"/>
          </w:tcPr>
          <w:p w14:paraId="2F8E7FCC">
            <w:pPr>
              <w:pStyle w:val="22"/>
              <w:keepNext w:val="0"/>
              <w:keepLines w:val="0"/>
              <w:suppressLineNumbers w:val="0"/>
              <w:spacing w:before="30" w:beforeAutospacing="0" w:after="0" w:afterAutospacing="0" w:line="228" w:lineRule="auto"/>
              <w:ind w:left="116" w:right="105" w:firstLine="1"/>
              <w:jc w:val="both"/>
              <w:rPr>
                <w:rFonts w:hint="default"/>
              </w:rPr>
            </w:pPr>
            <w:r>
              <w:rPr>
                <w:rFonts w:hint="default"/>
                <w:spacing w:val="-2"/>
              </w:rPr>
              <w:t>疏散通</w:t>
            </w:r>
            <w:r>
              <w:rPr>
                <w:rFonts w:hint="default"/>
              </w:rPr>
              <w:t xml:space="preserve"> </w:t>
            </w:r>
            <w:r>
              <w:rPr>
                <w:rFonts w:hint="default"/>
                <w:spacing w:val="-2"/>
              </w:rPr>
              <w:t>道与安</w:t>
            </w:r>
            <w:r>
              <w:rPr>
                <w:rFonts w:hint="default"/>
                <w:spacing w:val="1"/>
              </w:rPr>
              <w:t xml:space="preserve"> </w:t>
            </w:r>
            <w:r>
              <w:rPr>
                <w:rFonts w:hint="default"/>
                <w:spacing w:val="-2"/>
              </w:rPr>
              <w:t>全出口</w:t>
            </w:r>
          </w:p>
        </w:tc>
        <w:tc>
          <w:tcPr>
            <w:tcW w:w="811" w:type="dxa"/>
            <w:vAlign w:val="top"/>
          </w:tcPr>
          <w:p w14:paraId="27614B18">
            <w:pPr>
              <w:pStyle w:val="22"/>
              <w:keepNext w:val="0"/>
              <w:keepLines w:val="0"/>
              <w:suppressLineNumbers w:val="0"/>
              <w:spacing w:before="166" w:beforeAutospacing="0" w:after="0" w:afterAutospacing="0" w:line="233" w:lineRule="auto"/>
              <w:ind w:left="323" w:right="83" w:hanging="213"/>
              <w:rPr>
                <w:rFonts w:hint="default"/>
              </w:rPr>
            </w:pPr>
            <w:r>
              <w:rPr>
                <w:rFonts w:hint="default"/>
                <w:spacing w:val="-6"/>
              </w:rPr>
              <w:t>防火分</w:t>
            </w:r>
            <w:r>
              <w:rPr>
                <w:rFonts w:hint="default"/>
              </w:rPr>
              <w:t xml:space="preserve"> 区</w:t>
            </w:r>
          </w:p>
        </w:tc>
      </w:tr>
      <w:tr w14:paraId="6F361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0E8FB2C1">
            <w:pPr>
              <w:pStyle w:val="22"/>
              <w:keepNext w:val="0"/>
              <w:keepLines w:val="0"/>
              <w:suppressLineNumbers w:val="0"/>
              <w:spacing w:before="199" w:beforeAutospacing="0" w:after="0" w:afterAutospacing="0" w:line="183" w:lineRule="auto"/>
              <w:ind w:left="78" w:right="0"/>
              <w:rPr>
                <w:rFonts w:hint="default"/>
              </w:rPr>
            </w:pPr>
            <w:r>
              <w:rPr>
                <w:rFonts w:hint="default"/>
              </w:rPr>
              <w:t>1</w:t>
            </w:r>
          </w:p>
        </w:tc>
        <w:tc>
          <w:tcPr>
            <w:tcW w:w="787" w:type="dxa"/>
            <w:vAlign w:val="top"/>
          </w:tcPr>
          <w:p w14:paraId="5414CC79">
            <w:pPr>
              <w:pStyle w:val="22"/>
              <w:keepNext w:val="0"/>
              <w:keepLines w:val="0"/>
              <w:suppressLineNumbers w:val="0"/>
              <w:spacing w:before="165" w:beforeAutospacing="0" w:after="0" w:afterAutospacing="0" w:line="221" w:lineRule="auto"/>
              <w:ind w:left="98" w:right="0"/>
              <w:rPr>
                <w:rFonts w:hint="default"/>
              </w:rPr>
            </w:pPr>
            <w:r>
              <w:rPr>
                <w:rFonts w:hint="default"/>
                <w:spacing w:val="-6"/>
              </w:rPr>
              <w:t>1#仓库</w:t>
            </w:r>
          </w:p>
        </w:tc>
        <w:tc>
          <w:tcPr>
            <w:tcW w:w="952" w:type="dxa"/>
            <w:vAlign w:val="top"/>
          </w:tcPr>
          <w:p w14:paraId="22D39ACF">
            <w:pPr>
              <w:pStyle w:val="22"/>
              <w:keepNext w:val="0"/>
              <w:keepLines w:val="0"/>
              <w:suppressLineNumbers w:val="0"/>
              <w:spacing w:before="28" w:beforeAutospacing="0" w:after="0" w:afterAutospacing="0" w:line="222" w:lineRule="auto"/>
              <w:ind w:left="270" w:right="156" w:hanging="103"/>
              <w:rPr>
                <w:rFonts w:hint="default"/>
              </w:rPr>
            </w:pPr>
            <w:r>
              <w:rPr>
                <w:rFonts w:hint="default"/>
                <w:spacing w:val="-3"/>
              </w:rPr>
              <w:t>混凝土</w:t>
            </w:r>
            <w:r>
              <w:rPr>
                <w:rFonts w:hint="default"/>
              </w:rPr>
              <w:t xml:space="preserve"> </w:t>
            </w:r>
            <w:r>
              <w:rPr>
                <w:rFonts w:hint="default"/>
                <w:spacing w:val="-2"/>
              </w:rPr>
              <w:t>排架</w:t>
            </w:r>
          </w:p>
        </w:tc>
        <w:tc>
          <w:tcPr>
            <w:tcW w:w="924" w:type="dxa"/>
            <w:vAlign w:val="top"/>
          </w:tcPr>
          <w:p w14:paraId="027C6DE6">
            <w:pPr>
              <w:pStyle w:val="22"/>
              <w:keepNext w:val="0"/>
              <w:keepLines w:val="0"/>
              <w:suppressLineNumbers w:val="0"/>
              <w:spacing w:before="200" w:beforeAutospacing="0" w:after="0" w:afterAutospacing="0" w:line="182" w:lineRule="auto"/>
              <w:ind w:left="156" w:right="0"/>
              <w:rPr>
                <w:rFonts w:hint="default"/>
              </w:rPr>
            </w:pPr>
            <w:r>
              <w:rPr>
                <w:rFonts w:hint="default"/>
                <w:spacing w:val="-2"/>
              </w:rPr>
              <w:t>745.36</w:t>
            </w:r>
          </w:p>
        </w:tc>
        <w:tc>
          <w:tcPr>
            <w:tcW w:w="923" w:type="dxa"/>
            <w:vAlign w:val="top"/>
          </w:tcPr>
          <w:p w14:paraId="33DB327D">
            <w:pPr>
              <w:pStyle w:val="22"/>
              <w:keepNext w:val="0"/>
              <w:keepLines w:val="0"/>
              <w:suppressLineNumbers w:val="0"/>
              <w:spacing w:before="200" w:beforeAutospacing="0" w:after="0" w:afterAutospacing="0" w:line="182" w:lineRule="auto"/>
              <w:ind w:left="156" w:right="0"/>
              <w:rPr>
                <w:rFonts w:hint="default"/>
              </w:rPr>
            </w:pPr>
            <w:r>
              <w:rPr>
                <w:rFonts w:hint="default"/>
                <w:spacing w:val="-2"/>
              </w:rPr>
              <w:t>745.36</w:t>
            </w:r>
          </w:p>
        </w:tc>
        <w:tc>
          <w:tcPr>
            <w:tcW w:w="667" w:type="dxa"/>
            <w:vAlign w:val="top"/>
          </w:tcPr>
          <w:p w14:paraId="6207A9C5">
            <w:pPr>
              <w:pStyle w:val="22"/>
              <w:keepNext w:val="0"/>
              <w:keepLines w:val="0"/>
              <w:suppressLineNumbers w:val="0"/>
              <w:spacing w:before="199" w:beforeAutospacing="0" w:after="0" w:afterAutospacing="0" w:line="183" w:lineRule="auto"/>
              <w:ind w:left="302" w:right="0"/>
              <w:rPr>
                <w:rFonts w:hint="default"/>
              </w:rPr>
            </w:pPr>
            <w:r>
              <w:rPr>
                <w:rFonts w:hint="default"/>
              </w:rPr>
              <w:t>1</w:t>
            </w:r>
          </w:p>
        </w:tc>
        <w:tc>
          <w:tcPr>
            <w:tcW w:w="672" w:type="dxa"/>
            <w:vAlign w:val="top"/>
          </w:tcPr>
          <w:p w14:paraId="294C537B">
            <w:pPr>
              <w:pStyle w:val="22"/>
              <w:keepNext w:val="0"/>
              <w:keepLines w:val="0"/>
              <w:suppressLineNumbers w:val="0"/>
              <w:spacing w:before="165" w:beforeAutospacing="0" w:after="0" w:afterAutospacing="0" w:line="221" w:lineRule="auto"/>
              <w:ind w:left="161" w:right="0"/>
              <w:rPr>
                <w:rFonts w:hint="default"/>
              </w:rPr>
            </w:pPr>
            <w:r>
              <w:rPr>
                <w:rFonts w:hint="default"/>
                <w:spacing w:val="-9"/>
              </w:rPr>
              <w:t>甲类</w:t>
            </w:r>
          </w:p>
        </w:tc>
        <w:tc>
          <w:tcPr>
            <w:tcW w:w="667" w:type="dxa"/>
            <w:vAlign w:val="top"/>
          </w:tcPr>
          <w:p w14:paraId="648045F5">
            <w:pPr>
              <w:pStyle w:val="22"/>
              <w:keepNext w:val="0"/>
              <w:keepLines w:val="0"/>
              <w:suppressLineNumbers w:val="0"/>
              <w:spacing w:before="165" w:beforeAutospacing="0" w:after="0" w:afterAutospacing="0" w:line="223" w:lineRule="auto"/>
              <w:ind w:left="135" w:right="0"/>
              <w:rPr>
                <w:rFonts w:hint="default"/>
              </w:rPr>
            </w:pPr>
            <w:r>
              <w:rPr>
                <w:rFonts w:hint="default"/>
                <w:spacing w:val="-3"/>
              </w:rPr>
              <w:t>二级</w:t>
            </w:r>
          </w:p>
        </w:tc>
        <w:tc>
          <w:tcPr>
            <w:tcW w:w="684" w:type="dxa"/>
            <w:vAlign w:val="top"/>
          </w:tcPr>
          <w:p w14:paraId="1826C8D7">
            <w:pPr>
              <w:pStyle w:val="22"/>
              <w:keepNext w:val="0"/>
              <w:keepLines w:val="0"/>
              <w:suppressLineNumbers w:val="0"/>
              <w:spacing w:before="165" w:beforeAutospacing="0" w:after="0" w:afterAutospacing="0" w:line="221" w:lineRule="auto"/>
              <w:ind w:left="167"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045151C5">
            <w:pPr>
              <w:pStyle w:val="22"/>
              <w:keepNext w:val="0"/>
              <w:keepLines w:val="0"/>
              <w:suppressLineNumbers w:val="0"/>
              <w:spacing w:before="200" w:beforeAutospacing="0" w:after="0" w:afterAutospacing="0" w:line="182" w:lineRule="auto"/>
              <w:ind w:left="197" w:right="0"/>
              <w:rPr>
                <w:rFonts w:hint="default"/>
              </w:rPr>
            </w:pPr>
            <w:r>
              <w:rPr>
                <w:rFonts w:hint="default"/>
                <w:spacing w:val="-2"/>
              </w:rPr>
              <w:t>720.00</w:t>
            </w:r>
          </w:p>
        </w:tc>
        <w:tc>
          <w:tcPr>
            <w:tcW w:w="854" w:type="dxa"/>
            <w:vAlign w:val="top"/>
          </w:tcPr>
          <w:p w14:paraId="69711C65">
            <w:pPr>
              <w:pStyle w:val="22"/>
              <w:keepNext w:val="0"/>
              <w:keepLines w:val="0"/>
              <w:suppressLineNumbers w:val="0"/>
              <w:spacing w:before="200" w:beforeAutospacing="0" w:after="0" w:afterAutospacing="0" w:line="182" w:lineRule="auto"/>
              <w:ind w:left="383" w:right="0"/>
              <w:rPr>
                <w:rFonts w:hint="default"/>
              </w:rPr>
            </w:pPr>
            <w:r>
              <w:rPr>
                <w:rFonts w:hint="default"/>
              </w:rPr>
              <w:t>8</w:t>
            </w:r>
          </w:p>
        </w:tc>
        <w:tc>
          <w:tcPr>
            <w:tcW w:w="811" w:type="dxa"/>
            <w:vAlign w:val="top"/>
          </w:tcPr>
          <w:p w14:paraId="708DC062">
            <w:pPr>
              <w:pStyle w:val="22"/>
              <w:keepNext w:val="0"/>
              <w:keepLines w:val="0"/>
              <w:suppressLineNumbers w:val="0"/>
              <w:spacing w:before="200" w:beforeAutospacing="0" w:after="0" w:afterAutospacing="0" w:line="182" w:lineRule="auto"/>
              <w:ind w:left="360" w:right="0"/>
              <w:rPr>
                <w:rFonts w:hint="default"/>
              </w:rPr>
            </w:pPr>
            <w:r>
              <w:rPr>
                <w:rFonts w:hint="default"/>
              </w:rPr>
              <w:t>4</w:t>
            </w:r>
          </w:p>
        </w:tc>
      </w:tr>
      <w:tr w14:paraId="4A4A6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4FD8A3F8">
            <w:pPr>
              <w:pStyle w:val="22"/>
              <w:keepNext w:val="0"/>
              <w:keepLines w:val="0"/>
              <w:suppressLineNumbers w:val="0"/>
              <w:spacing w:before="202" w:beforeAutospacing="0" w:after="0" w:afterAutospacing="0" w:line="182" w:lineRule="auto"/>
              <w:ind w:left="65" w:right="0"/>
              <w:rPr>
                <w:rFonts w:hint="default"/>
              </w:rPr>
            </w:pPr>
            <w:r>
              <w:rPr>
                <w:rFonts w:hint="default"/>
              </w:rPr>
              <w:t>2</w:t>
            </w:r>
          </w:p>
        </w:tc>
        <w:tc>
          <w:tcPr>
            <w:tcW w:w="787" w:type="dxa"/>
            <w:vAlign w:val="top"/>
          </w:tcPr>
          <w:p w14:paraId="3B05E3BB">
            <w:pPr>
              <w:pStyle w:val="22"/>
              <w:keepNext w:val="0"/>
              <w:keepLines w:val="0"/>
              <w:suppressLineNumbers w:val="0"/>
              <w:spacing w:before="166" w:beforeAutospacing="0" w:after="0" w:afterAutospacing="0" w:line="221" w:lineRule="auto"/>
              <w:ind w:left="85" w:right="0"/>
              <w:rPr>
                <w:rFonts w:hint="default"/>
              </w:rPr>
            </w:pPr>
            <w:r>
              <w:rPr>
                <w:rFonts w:hint="default"/>
                <w:spacing w:val="-2"/>
              </w:rPr>
              <w:t>2#仓库</w:t>
            </w:r>
          </w:p>
        </w:tc>
        <w:tc>
          <w:tcPr>
            <w:tcW w:w="952" w:type="dxa"/>
            <w:vAlign w:val="top"/>
          </w:tcPr>
          <w:p w14:paraId="26458D75">
            <w:pPr>
              <w:pStyle w:val="22"/>
              <w:keepNext w:val="0"/>
              <w:keepLines w:val="0"/>
              <w:suppressLineNumbers w:val="0"/>
              <w:spacing w:before="28" w:beforeAutospacing="0" w:after="0" w:afterAutospacing="0" w:line="222" w:lineRule="auto"/>
              <w:ind w:left="270" w:right="156" w:hanging="103"/>
              <w:rPr>
                <w:rFonts w:hint="default"/>
              </w:rPr>
            </w:pPr>
            <w:r>
              <w:rPr>
                <w:rFonts w:hint="default"/>
                <w:spacing w:val="-3"/>
              </w:rPr>
              <w:t>混凝土</w:t>
            </w:r>
            <w:r>
              <w:rPr>
                <w:rFonts w:hint="default"/>
              </w:rPr>
              <w:t xml:space="preserve"> </w:t>
            </w:r>
            <w:r>
              <w:rPr>
                <w:rFonts w:hint="default"/>
                <w:spacing w:val="-2"/>
              </w:rPr>
              <w:t>排架</w:t>
            </w:r>
          </w:p>
        </w:tc>
        <w:tc>
          <w:tcPr>
            <w:tcW w:w="924" w:type="dxa"/>
            <w:vAlign w:val="top"/>
          </w:tcPr>
          <w:p w14:paraId="402FE98D">
            <w:pPr>
              <w:pStyle w:val="22"/>
              <w:keepNext w:val="0"/>
              <w:keepLines w:val="0"/>
              <w:suppressLineNumbers w:val="0"/>
              <w:spacing w:before="202" w:beforeAutospacing="0" w:after="0" w:afterAutospacing="0" w:line="182" w:lineRule="auto"/>
              <w:ind w:left="152" w:right="0"/>
              <w:rPr>
                <w:rFonts w:hint="default"/>
              </w:rPr>
            </w:pPr>
            <w:r>
              <w:rPr>
                <w:rFonts w:hint="default"/>
                <w:spacing w:val="-1"/>
              </w:rPr>
              <w:t>890.56</w:t>
            </w:r>
          </w:p>
        </w:tc>
        <w:tc>
          <w:tcPr>
            <w:tcW w:w="923" w:type="dxa"/>
            <w:vAlign w:val="top"/>
          </w:tcPr>
          <w:p w14:paraId="707A8376">
            <w:pPr>
              <w:pStyle w:val="22"/>
              <w:keepNext w:val="0"/>
              <w:keepLines w:val="0"/>
              <w:suppressLineNumbers w:val="0"/>
              <w:spacing w:before="202" w:beforeAutospacing="0" w:after="0" w:afterAutospacing="0" w:line="182" w:lineRule="auto"/>
              <w:ind w:left="152" w:right="0"/>
              <w:rPr>
                <w:rFonts w:hint="default"/>
              </w:rPr>
            </w:pPr>
            <w:r>
              <w:rPr>
                <w:rFonts w:hint="default"/>
                <w:spacing w:val="-1"/>
              </w:rPr>
              <w:t>890.56</w:t>
            </w:r>
          </w:p>
        </w:tc>
        <w:tc>
          <w:tcPr>
            <w:tcW w:w="667" w:type="dxa"/>
            <w:vAlign w:val="top"/>
          </w:tcPr>
          <w:p w14:paraId="5563E131">
            <w:pPr>
              <w:pStyle w:val="22"/>
              <w:keepNext w:val="0"/>
              <w:keepLines w:val="0"/>
              <w:suppressLineNumbers w:val="0"/>
              <w:spacing w:before="200" w:beforeAutospacing="0" w:after="0" w:afterAutospacing="0" w:line="183" w:lineRule="auto"/>
              <w:ind w:left="302" w:right="0"/>
              <w:rPr>
                <w:rFonts w:hint="default"/>
              </w:rPr>
            </w:pPr>
            <w:r>
              <w:rPr>
                <w:rFonts w:hint="default"/>
              </w:rPr>
              <w:t>1</w:t>
            </w:r>
          </w:p>
        </w:tc>
        <w:tc>
          <w:tcPr>
            <w:tcW w:w="672" w:type="dxa"/>
            <w:vAlign w:val="top"/>
          </w:tcPr>
          <w:p w14:paraId="2905CC97">
            <w:pPr>
              <w:pStyle w:val="22"/>
              <w:keepNext w:val="0"/>
              <w:keepLines w:val="0"/>
              <w:suppressLineNumbers w:val="0"/>
              <w:spacing w:before="166" w:beforeAutospacing="0" w:after="0" w:afterAutospacing="0" w:line="221" w:lineRule="auto"/>
              <w:ind w:left="138" w:right="0"/>
              <w:rPr>
                <w:rFonts w:hint="default"/>
              </w:rPr>
            </w:pPr>
            <w:r>
              <w:rPr>
                <w:rFonts w:hint="default"/>
                <w:spacing w:val="-3"/>
              </w:rPr>
              <w:t>丙类</w:t>
            </w:r>
          </w:p>
        </w:tc>
        <w:tc>
          <w:tcPr>
            <w:tcW w:w="667" w:type="dxa"/>
            <w:vAlign w:val="top"/>
          </w:tcPr>
          <w:p w14:paraId="285A8E04">
            <w:pPr>
              <w:pStyle w:val="22"/>
              <w:keepNext w:val="0"/>
              <w:keepLines w:val="0"/>
              <w:suppressLineNumbers w:val="0"/>
              <w:spacing w:before="166" w:beforeAutospacing="0" w:after="0" w:afterAutospacing="0" w:line="223" w:lineRule="auto"/>
              <w:ind w:left="135" w:right="0"/>
              <w:rPr>
                <w:rFonts w:hint="default"/>
              </w:rPr>
            </w:pPr>
            <w:r>
              <w:rPr>
                <w:rFonts w:hint="default"/>
                <w:spacing w:val="-3"/>
              </w:rPr>
              <w:t>二级</w:t>
            </w:r>
          </w:p>
        </w:tc>
        <w:tc>
          <w:tcPr>
            <w:tcW w:w="684" w:type="dxa"/>
            <w:vAlign w:val="top"/>
          </w:tcPr>
          <w:p w14:paraId="765B1959">
            <w:pPr>
              <w:pStyle w:val="22"/>
              <w:keepNext w:val="0"/>
              <w:keepLines w:val="0"/>
              <w:suppressLineNumbers w:val="0"/>
              <w:spacing w:before="167" w:beforeAutospacing="0" w:after="0" w:afterAutospacing="0" w:line="221" w:lineRule="auto"/>
              <w:ind w:left="167"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61DA936F">
            <w:pPr>
              <w:pStyle w:val="22"/>
              <w:keepNext w:val="0"/>
              <w:keepLines w:val="0"/>
              <w:suppressLineNumbers w:val="0"/>
              <w:spacing w:before="166" w:beforeAutospacing="0" w:after="0" w:afterAutospacing="0" w:line="226" w:lineRule="auto"/>
              <w:ind w:left="455" w:right="0"/>
              <w:rPr>
                <w:rFonts w:hint="default"/>
              </w:rPr>
            </w:pPr>
            <w:r>
              <w:rPr>
                <w:rFonts w:hint="default"/>
              </w:rPr>
              <w:t>/</w:t>
            </w:r>
          </w:p>
        </w:tc>
        <w:tc>
          <w:tcPr>
            <w:tcW w:w="854" w:type="dxa"/>
            <w:vAlign w:val="top"/>
          </w:tcPr>
          <w:p w14:paraId="033BBFF0">
            <w:pPr>
              <w:pStyle w:val="22"/>
              <w:keepNext w:val="0"/>
              <w:keepLines w:val="0"/>
              <w:suppressLineNumbers w:val="0"/>
              <w:spacing w:before="202" w:beforeAutospacing="0" w:after="0" w:afterAutospacing="0" w:line="182" w:lineRule="auto"/>
              <w:ind w:left="381" w:right="0"/>
              <w:rPr>
                <w:rFonts w:hint="default"/>
              </w:rPr>
            </w:pPr>
            <w:r>
              <w:rPr>
                <w:rFonts w:hint="default"/>
              </w:rPr>
              <w:t>4</w:t>
            </w:r>
          </w:p>
        </w:tc>
        <w:tc>
          <w:tcPr>
            <w:tcW w:w="811" w:type="dxa"/>
            <w:vAlign w:val="top"/>
          </w:tcPr>
          <w:p w14:paraId="75F02DFB">
            <w:pPr>
              <w:pStyle w:val="22"/>
              <w:keepNext w:val="0"/>
              <w:keepLines w:val="0"/>
              <w:suppressLineNumbers w:val="0"/>
              <w:spacing w:before="200" w:beforeAutospacing="0" w:after="0" w:afterAutospacing="0" w:line="183" w:lineRule="auto"/>
              <w:ind w:left="376" w:right="0"/>
              <w:rPr>
                <w:rFonts w:hint="default"/>
              </w:rPr>
            </w:pPr>
            <w:r>
              <w:rPr>
                <w:rFonts w:hint="default"/>
              </w:rPr>
              <w:t>1</w:t>
            </w:r>
          </w:p>
        </w:tc>
      </w:tr>
      <w:tr w14:paraId="7BD69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184BB6DA">
            <w:pPr>
              <w:pStyle w:val="22"/>
              <w:keepNext w:val="0"/>
              <w:keepLines w:val="0"/>
              <w:suppressLineNumbers w:val="0"/>
              <w:spacing w:before="202" w:beforeAutospacing="0" w:after="0" w:afterAutospacing="0" w:line="182" w:lineRule="auto"/>
              <w:ind w:left="67" w:right="0"/>
              <w:rPr>
                <w:rFonts w:hint="default"/>
              </w:rPr>
            </w:pPr>
            <w:r>
              <w:rPr>
                <w:rFonts w:hint="default"/>
              </w:rPr>
              <w:t>3</w:t>
            </w:r>
          </w:p>
        </w:tc>
        <w:tc>
          <w:tcPr>
            <w:tcW w:w="787" w:type="dxa"/>
            <w:vAlign w:val="top"/>
          </w:tcPr>
          <w:p w14:paraId="12462ABF">
            <w:pPr>
              <w:pStyle w:val="22"/>
              <w:keepNext w:val="0"/>
              <w:keepLines w:val="0"/>
              <w:suppressLineNumbers w:val="0"/>
              <w:spacing w:before="166" w:beforeAutospacing="0" w:after="0" w:afterAutospacing="0" w:line="221" w:lineRule="auto"/>
              <w:ind w:left="87" w:right="0"/>
              <w:rPr>
                <w:rFonts w:hint="default"/>
              </w:rPr>
            </w:pPr>
            <w:r>
              <w:rPr>
                <w:rFonts w:hint="default"/>
                <w:spacing w:val="-3"/>
              </w:rPr>
              <w:t>3#仓库</w:t>
            </w:r>
          </w:p>
        </w:tc>
        <w:tc>
          <w:tcPr>
            <w:tcW w:w="952" w:type="dxa"/>
            <w:vAlign w:val="top"/>
          </w:tcPr>
          <w:p w14:paraId="6C423D9F">
            <w:pPr>
              <w:pStyle w:val="22"/>
              <w:keepNext w:val="0"/>
              <w:keepLines w:val="0"/>
              <w:suppressLineNumbers w:val="0"/>
              <w:spacing w:before="31" w:beforeAutospacing="0" w:after="0" w:afterAutospacing="0" w:line="221" w:lineRule="auto"/>
              <w:ind w:left="270" w:right="156" w:hanging="103"/>
              <w:rPr>
                <w:rFonts w:hint="default"/>
              </w:rPr>
            </w:pPr>
            <w:r>
              <w:rPr>
                <w:rFonts w:hint="default"/>
                <w:spacing w:val="-3"/>
              </w:rPr>
              <w:t>混凝土</w:t>
            </w:r>
            <w:r>
              <w:rPr>
                <w:rFonts w:hint="default"/>
              </w:rPr>
              <w:t xml:space="preserve"> </w:t>
            </w:r>
            <w:r>
              <w:rPr>
                <w:rFonts w:hint="default"/>
                <w:spacing w:val="-2"/>
              </w:rPr>
              <w:t>排架</w:t>
            </w:r>
          </w:p>
        </w:tc>
        <w:tc>
          <w:tcPr>
            <w:tcW w:w="924" w:type="dxa"/>
            <w:vAlign w:val="top"/>
          </w:tcPr>
          <w:p w14:paraId="450186D2">
            <w:pPr>
              <w:pStyle w:val="22"/>
              <w:keepNext w:val="0"/>
              <w:keepLines w:val="0"/>
              <w:suppressLineNumbers w:val="0"/>
              <w:spacing w:before="202" w:beforeAutospacing="0" w:after="0" w:afterAutospacing="0" w:line="182" w:lineRule="auto"/>
              <w:ind w:left="156" w:right="0"/>
              <w:rPr>
                <w:rFonts w:hint="default"/>
              </w:rPr>
            </w:pPr>
            <w:r>
              <w:rPr>
                <w:rFonts w:hint="default"/>
                <w:spacing w:val="-2"/>
              </w:rPr>
              <w:t>745.36</w:t>
            </w:r>
          </w:p>
        </w:tc>
        <w:tc>
          <w:tcPr>
            <w:tcW w:w="923" w:type="dxa"/>
            <w:vAlign w:val="top"/>
          </w:tcPr>
          <w:p w14:paraId="000D76AB">
            <w:pPr>
              <w:pStyle w:val="22"/>
              <w:keepNext w:val="0"/>
              <w:keepLines w:val="0"/>
              <w:suppressLineNumbers w:val="0"/>
              <w:spacing w:before="202" w:beforeAutospacing="0" w:after="0" w:afterAutospacing="0" w:line="182" w:lineRule="auto"/>
              <w:ind w:left="156" w:right="0"/>
              <w:rPr>
                <w:rFonts w:hint="default"/>
              </w:rPr>
            </w:pPr>
            <w:r>
              <w:rPr>
                <w:rFonts w:hint="default"/>
                <w:spacing w:val="-2"/>
              </w:rPr>
              <w:t>745.36</w:t>
            </w:r>
          </w:p>
        </w:tc>
        <w:tc>
          <w:tcPr>
            <w:tcW w:w="667" w:type="dxa"/>
            <w:vAlign w:val="top"/>
          </w:tcPr>
          <w:p w14:paraId="7BB1E667">
            <w:pPr>
              <w:pStyle w:val="22"/>
              <w:keepNext w:val="0"/>
              <w:keepLines w:val="0"/>
              <w:suppressLineNumbers w:val="0"/>
              <w:spacing w:before="201" w:beforeAutospacing="0" w:after="0" w:afterAutospacing="0" w:line="183" w:lineRule="auto"/>
              <w:ind w:left="302" w:right="0"/>
              <w:rPr>
                <w:rFonts w:hint="default"/>
              </w:rPr>
            </w:pPr>
            <w:r>
              <w:rPr>
                <w:rFonts w:hint="default"/>
              </w:rPr>
              <w:t>1</w:t>
            </w:r>
          </w:p>
        </w:tc>
        <w:tc>
          <w:tcPr>
            <w:tcW w:w="672" w:type="dxa"/>
            <w:vAlign w:val="top"/>
          </w:tcPr>
          <w:p w14:paraId="2592FCDA">
            <w:pPr>
              <w:pStyle w:val="22"/>
              <w:keepNext w:val="0"/>
              <w:keepLines w:val="0"/>
              <w:suppressLineNumbers w:val="0"/>
              <w:spacing w:before="166" w:beforeAutospacing="0" w:after="0" w:afterAutospacing="0" w:line="221" w:lineRule="auto"/>
              <w:ind w:left="161" w:right="0"/>
              <w:rPr>
                <w:rFonts w:hint="default"/>
              </w:rPr>
            </w:pPr>
            <w:r>
              <w:rPr>
                <w:rFonts w:hint="default"/>
                <w:spacing w:val="-9"/>
              </w:rPr>
              <w:t>甲类</w:t>
            </w:r>
          </w:p>
        </w:tc>
        <w:tc>
          <w:tcPr>
            <w:tcW w:w="667" w:type="dxa"/>
            <w:vAlign w:val="top"/>
          </w:tcPr>
          <w:p w14:paraId="4954B7DE">
            <w:pPr>
              <w:pStyle w:val="22"/>
              <w:keepNext w:val="0"/>
              <w:keepLines w:val="0"/>
              <w:suppressLineNumbers w:val="0"/>
              <w:spacing w:before="167" w:beforeAutospacing="0" w:after="0" w:afterAutospacing="0" w:line="223" w:lineRule="auto"/>
              <w:ind w:left="135" w:right="0"/>
              <w:rPr>
                <w:rFonts w:hint="default"/>
              </w:rPr>
            </w:pPr>
            <w:r>
              <w:rPr>
                <w:rFonts w:hint="default"/>
                <w:spacing w:val="-3"/>
              </w:rPr>
              <w:t>二级</w:t>
            </w:r>
          </w:p>
        </w:tc>
        <w:tc>
          <w:tcPr>
            <w:tcW w:w="684" w:type="dxa"/>
            <w:vAlign w:val="top"/>
          </w:tcPr>
          <w:p w14:paraId="6137C353">
            <w:pPr>
              <w:pStyle w:val="22"/>
              <w:keepNext w:val="0"/>
              <w:keepLines w:val="0"/>
              <w:suppressLineNumbers w:val="0"/>
              <w:spacing w:before="167" w:beforeAutospacing="0" w:after="0" w:afterAutospacing="0" w:line="221" w:lineRule="auto"/>
              <w:ind w:left="167"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1863C88A">
            <w:pPr>
              <w:pStyle w:val="22"/>
              <w:keepNext w:val="0"/>
              <w:keepLines w:val="0"/>
              <w:suppressLineNumbers w:val="0"/>
              <w:spacing w:before="202" w:beforeAutospacing="0" w:after="0" w:afterAutospacing="0" w:line="182" w:lineRule="auto"/>
              <w:ind w:left="197" w:right="0"/>
              <w:rPr>
                <w:rFonts w:hint="default"/>
              </w:rPr>
            </w:pPr>
            <w:r>
              <w:rPr>
                <w:rFonts w:hint="default"/>
                <w:spacing w:val="-2"/>
              </w:rPr>
              <w:t>720.00</w:t>
            </w:r>
          </w:p>
        </w:tc>
        <w:tc>
          <w:tcPr>
            <w:tcW w:w="854" w:type="dxa"/>
            <w:vAlign w:val="top"/>
          </w:tcPr>
          <w:p w14:paraId="38C10ACA">
            <w:pPr>
              <w:pStyle w:val="22"/>
              <w:keepNext w:val="0"/>
              <w:keepLines w:val="0"/>
              <w:suppressLineNumbers w:val="0"/>
              <w:spacing w:before="202" w:beforeAutospacing="0" w:after="0" w:afterAutospacing="0" w:line="182" w:lineRule="auto"/>
              <w:ind w:left="383" w:right="0"/>
              <w:rPr>
                <w:rFonts w:hint="default"/>
              </w:rPr>
            </w:pPr>
            <w:r>
              <w:rPr>
                <w:rFonts w:hint="default"/>
              </w:rPr>
              <w:t>8</w:t>
            </w:r>
          </w:p>
        </w:tc>
        <w:tc>
          <w:tcPr>
            <w:tcW w:w="811" w:type="dxa"/>
            <w:vAlign w:val="top"/>
          </w:tcPr>
          <w:p w14:paraId="38DE8E98">
            <w:pPr>
              <w:pStyle w:val="22"/>
              <w:keepNext w:val="0"/>
              <w:keepLines w:val="0"/>
              <w:suppressLineNumbers w:val="0"/>
              <w:spacing w:before="202" w:beforeAutospacing="0" w:after="0" w:afterAutospacing="0" w:line="182" w:lineRule="auto"/>
              <w:ind w:left="360" w:right="0"/>
              <w:rPr>
                <w:rFonts w:hint="default"/>
              </w:rPr>
            </w:pPr>
            <w:r>
              <w:rPr>
                <w:rFonts w:hint="default"/>
              </w:rPr>
              <w:t>4</w:t>
            </w:r>
          </w:p>
        </w:tc>
      </w:tr>
      <w:tr w14:paraId="72C67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7516B9B8">
            <w:pPr>
              <w:pStyle w:val="22"/>
              <w:keepNext w:val="0"/>
              <w:keepLines w:val="0"/>
              <w:suppressLineNumbers w:val="0"/>
              <w:spacing w:before="203" w:beforeAutospacing="0" w:after="0" w:afterAutospacing="0" w:line="182" w:lineRule="auto"/>
              <w:ind w:left="62" w:right="0"/>
              <w:rPr>
                <w:rFonts w:hint="default"/>
              </w:rPr>
            </w:pPr>
            <w:r>
              <w:rPr>
                <w:rFonts w:hint="default"/>
              </w:rPr>
              <w:t>4</w:t>
            </w:r>
          </w:p>
        </w:tc>
        <w:tc>
          <w:tcPr>
            <w:tcW w:w="787" w:type="dxa"/>
            <w:vAlign w:val="top"/>
          </w:tcPr>
          <w:p w14:paraId="17F1608D">
            <w:pPr>
              <w:pStyle w:val="22"/>
              <w:keepNext w:val="0"/>
              <w:keepLines w:val="0"/>
              <w:suppressLineNumbers w:val="0"/>
              <w:spacing w:before="168" w:beforeAutospacing="0" w:after="0" w:afterAutospacing="0" w:line="221" w:lineRule="auto"/>
              <w:ind w:left="82" w:right="0"/>
              <w:rPr>
                <w:rFonts w:hint="default"/>
              </w:rPr>
            </w:pPr>
            <w:r>
              <w:rPr>
                <w:rFonts w:hint="default"/>
                <w:spacing w:val="-1"/>
              </w:rPr>
              <w:t>控制室</w:t>
            </w:r>
          </w:p>
        </w:tc>
        <w:tc>
          <w:tcPr>
            <w:tcW w:w="952" w:type="dxa"/>
            <w:vAlign w:val="top"/>
          </w:tcPr>
          <w:p w14:paraId="141273EC">
            <w:pPr>
              <w:pStyle w:val="22"/>
              <w:keepNext w:val="0"/>
              <w:keepLines w:val="0"/>
              <w:suppressLineNumbers w:val="0"/>
              <w:spacing w:before="31" w:beforeAutospacing="0" w:after="0" w:afterAutospacing="0" w:line="221" w:lineRule="auto"/>
              <w:ind w:left="270" w:right="106" w:hanging="159"/>
              <w:rPr>
                <w:rFonts w:hint="default"/>
              </w:rPr>
            </w:pPr>
            <w:r>
              <w:rPr>
                <w:rFonts w:hint="default"/>
                <w:spacing w:val="-2"/>
              </w:rPr>
              <w:t>框架+抗</w:t>
            </w:r>
            <w:r>
              <w:rPr>
                <w:rFonts w:hint="default"/>
                <w:spacing w:val="1"/>
              </w:rPr>
              <w:t xml:space="preserve"> </w:t>
            </w:r>
            <w:r>
              <w:rPr>
                <w:rFonts w:hint="default"/>
                <w:spacing w:val="-2"/>
              </w:rPr>
              <w:t>爆墙</w:t>
            </w:r>
          </w:p>
        </w:tc>
        <w:tc>
          <w:tcPr>
            <w:tcW w:w="924" w:type="dxa"/>
            <w:vAlign w:val="top"/>
          </w:tcPr>
          <w:p w14:paraId="0840B2C3">
            <w:pPr>
              <w:pStyle w:val="22"/>
              <w:keepNext w:val="0"/>
              <w:keepLines w:val="0"/>
              <w:suppressLineNumbers w:val="0"/>
              <w:spacing w:before="203" w:beforeAutospacing="0" w:after="0" w:afterAutospacing="0" w:line="182" w:lineRule="auto"/>
              <w:ind w:left="155" w:right="0"/>
              <w:rPr>
                <w:rFonts w:hint="default"/>
              </w:rPr>
            </w:pPr>
            <w:r>
              <w:rPr>
                <w:rFonts w:hint="default"/>
                <w:spacing w:val="-2"/>
              </w:rPr>
              <w:t>309.27</w:t>
            </w:r>
          </w:p>
        </w:tc>
        <w:tc>
          <w:tcPr>
            <w:tcW w:w="923" w:type="dxa"/>
            <w:vAlign w:val="top"/>
          </w:tcPr>
          <w:p w14:paraId="53813127">
            <w:pPr>
              <w:pStyle w:val="22"/>
              <w:keepNext w:val="0"/>
              <w:keepLines w:val="0"/>
              <w:suppressLineNumbers w:val="0"/>
              <w:spacing w:before="203" w:beforeAutospacing="0" w:after="0" w:afterAutospacing="0" w:line="182" w:lineRule="auto"/>
              <w:ind w:left="156" w:right="0"/>
              <w:rPr>
                <w:rFonts w:hint="default"/>
              </w:rPr>
            </w:pPr>
            <w:r>
              <w:rPr>
                <w:rFonts w:hint="default"/>
                <w:spacing w:val="-2"/>
              </w:rPr>
              <w:t>309.27</w:t>
            </w:r>
          </w:p>
        </w:tc>
        <w:tc>
          <w:tcPr>
            <w:tcW w:w="667" w:type="dxa"/>
            <w:vAlign w:val="top"/>
          </w:tcPr>
          <w:p w14:paraId="72126218">
            <w:pPr>
              <w:pStyle w:val="22"/>
              <w:keepNext w:val="0"/>
              <w:keepLines w:val="0"/>
              <w:suppressLineNumbers w:val="0"/>
              <w:spacing w:before="202" w:beforeAutospacing="0" w:after="0" w:afterAutospacing="0" w:line="183" w:lineRule="auto"/>
              <w:ind w:left="302" w:right="0"/>
              <w:rPr>
                <w:rFonts w:hint="default"/>
              </w:rPr>
            </w:pPr>
            <w:r>
              <w:rPr>
                <w:rFonts w:hint="default"/>
              </w:rPr>
              <w:t>1</w:t>
            </w:r>
          </w:p>
        </w:tc>
        <w:tc>
          <w:tcPr>
            <w:tcW w:w="672" w:type="dxa"/>
            <w:vAlign w:val="top"/>
          </w:tcPr>
          <w:p w14:paraId="4ECFA1E7">
            <w:pPr>
              <w:pStyle w:val="22"/>
              <w:keepNext w:val="0"/>
              <w:keepLines w:val="0"/>
              <w:suppressLineNumbers w:val="0"/>
              <w:spacing w:before="167" w:beforeAutospacing="0" w:after="0" w:afterAutospacing="0" w:line="221" w:lineRule="auto"/>
              <w:ind w:left="137" w:right="0"/>
              <w:rPr>
                <w:rFonts w:hint="default"/>
              </w:rPr>
            </w:pPr>
            <w:r>
              <w:rPr>
                <w:rFonts w:hint="default"/>
                <w:spacing w:val="-3"/>
              </w:rPr>
              <w:t>丁类</w:t>
            </w:r>
          </w:p>
        </w:tc>
        <w:tc>
          <w:tcPr>
            <w:tcW w:w="667" w:type="dxa"/>
            <w:vAlign w:val="top"/>
          </w:tcPr>
          <w:p w14:paraId="696202F2">
            <w:pPr>
              <w:pStyle w:val="22"/>
              <w:keepNext w:val="0"/>
              <w:keepLines w:val="0"/>
              <w:suppressLineNumbers w:val="0"/>
              <w:spacing w:before="167" w:beforeAutospacing="0" w:after="0" w:afterAutospacing="0" w:line="223" w:lineRule="auto"/>
              <w:ind w:left="135" w:right="0"/>
              <w:rPr>
                <w:rFonts w:hint="default"/>
              </w:rPr>
            </w:pPr>
            <w:r>
              <w:rPr>
                <w:rFonts w:hint="default"/>
                <w:spacing w:val="-5"/>
              </w:rPr>
              <w:t>一级</w:t>
            </w:r>
          </w:p>
        </w:tc>
        <w:tc>
          <w:tcPr>
            <w:tcW w:w="684" w:type="dxa"/>
            <w:vAlign w:val="top"/>
          </w:tcPr>
          <w:p w14:paraId="0842719A">
            <w:pPr>
              <w:pStyle w:val="22"/>
              <w:keepNext w:val="0"/>
              <w:keepLines w:val="0"/>
              <w:suppressLineNumbers w:val="0"/>
              <w:spacing w:before="168" w:beforeAutospacing="0" w:after="0" w:afterAutospacing="0" w:line="221" w:lineRule="auto"/>
              <w:ind w:left="167"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16A9FE96">
            <w:pPr>
              <w:pStyle w:val="22"/>
              <w:keepNext w:val="0"/>
              <w:keepLines w:val="0"/>
              <w:suppressLineNumbers w:val="0"/>
              <w:spacing w:before="167" w:beforeAutospacing="0" w:after="0" w:afterAutospacing="0" w:line="226" w:lineRule="auto"/>
              <w:ind w:left="455" w:right="0"/>
              <w:rPr>
                <w:rFonts w:hint="default"/>
              </w:rPr>
            </w:pPr>
            <w:r>
              <w:rPr>
                <w:rFonts w:hint="default"/>
              </w:rPr>
              <w:t>/</w:t>
            </w:r>
          </w:p>
        </w:tc>
        <w:tc>
          <w:tcPr>
            <w:tcW w:w="854" w:type="dxa"/>
            <w:vAlign w:val="top"/>
          </w:tcPr>
          <w:p w14:paraId="47FC7AC3">
            <w:pPr>
              <w:pStyle w:val="22"/>
              <w:keepNext w:val="0"/>
              <w:keepLines w:val="0"/>
              <w:suppressLineNumbers w:val="0"/>
              <w:spacing w:before="203" w:beforeAutospacing="0" w:after="0" w:afterAutospacing="0" w:line="182" w:lineRule="auto"/>
              <w:ind w:left="381" w:right="0"/>
              <w:rPr>
                <w:rFonts w:hint="default"/>
              </w:rPr>
            </w:pPr>
            <w:r>
              <w:rPr>
                <w:rFonts w:hint="default"/>
              </w:rPr>
              <w:t>4</w:t>
            </w:r>
          </w:p>
        </w:tc>
        <w:tc>
          <w:tcPr>
            <w:tcW w:w="811" w:type="dxa"/>
            <w:vAlign w:val="top"/>
          </w:tcPr>
          <w:p w14:paraId="0276D362">
            <w:pPr>
              <w:pStyle w:val="22"/>
              <w:keepNext w:val="0"/>
              <w:keepLines w:val="0"/>
              <w:suppressLineNumbers w:val="0"/>
              <w:spacing w:before="202" w:beforeAutospacing="0" w:after="0" w:afterAutospacing="0" w:line="183" w:lineRule="auto"/>
              <w:ind w:left="376" w:right="0"/>
              <w:rPr>
                <w:rFonts w:hint="default"/>
              </w:rPr>
            </w:pPr>
            <w:r>
              <w:rPr>
                <w:rFonts w:hint="default"/>
              </w:rPr>
              <w:t>1</w:t>
            </w:r>
          </w:p>
        </w:tc>
      </w:tr>
      <w:tr w14:paraId="300A3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355" w:type="dxa"/>
            <w:vAlign w:val="top"/>
          </w:tcPr>
          <w:p w14:paraId="3F44FADF">
            <w:pPr>
              <w:pStyle w:val="22"/>
              <w:keepNext w:val="0"/>
              <w:keepLines w:val="0"/>
              <w:suppressLineNumbers w:val="0"/>
              <w:spacing w:before="205" w:beforeAutospacing="0" w:after="0" w:afterAutospacing="0" w:line="181" w:lineRule="auto"/>
              <w:ind w:left="67" w:right="0"/>
              <w:rPr>
                <w:rFonts w:hint="default"/>
              </w:rPr>
            </w:pPr>
            <w:r>
              <w:rPr>
                <w:rFonts w:hint="default"/>
              </w:rPr>
              <w:t>5</w:t>
            </w:r>
          </w:p>
        </w:tc>
        <w:tc>
          <w:tcPr>
            <w:tcW w:w="787" w:type="dxa"/>
            <w:vAlign w:val="top"/>
          </w:tcPr>
          <w:p w14:paraId="1722111E">
            <w:pPr>
              <w:pStyle w:val="22"/>
              <w:keepNext w:val="0"/>
              <w:keepLines w:val="0"/>
              <w:suppressLineNumbers w:val="0"/>
              <w:spacing w:before="30" w:beforeAutospacing="0" w:after="0" w:afterAutospacing="0" w:line="222" w:lineRule="auto"/>
              <w:ind w:left="291" w:right="73" w:hanging="203"/>
              <w:rPr>
                <w:rFonts w:hint="default"/>
              </w:rPr>
            </w:pPr>
            <w:r>
              <w:rPr>
                <w:rFonts w:hint="default"/>
                <w:spacing w:val="-4"/>
              </w:rPr>
              <w:t>总变电</w:t>
            </w:r>
            <w:r>
              <w:rPr>
                <w:rFonts w:hint="default"/>
              </w:rPr>
              <w:t xml:space="preserve"> 所</w:t>
            </w:r>
          </w:p>
        </w:tc>
        <w:tc>
          <w:tcPr>
            <w:tcW w:w="952" w:type="dxa"/>
            <w:vAlign w:val="top"/>
          </w:tcPr>
          <w:p w14:paraId="283A0B47">
            <w:pPr>
              <w:pStyle w:val="22"/>
              <w:keepNext w:val="0"/>
              <w:keepLines w:val="0"/>
              <w:suppressLineNumbers w:val="0"/>
              <w:spacing w:before="168" w:beforeAutospacing="0" w:after="0" w:afterAutospacing="0" w:line="221" w:lineRule="auto"/>
              <w:ind w:left="269" w:right="0"/>
              <w:rPr>
                <w:rFonts w:hint="default"/>
              </w:rPr>
            </w:pPr>
            <w:r>
              <w:rPr>
                <w:rFonts w:hint="default"/>
                <w:spacing w:val="-2"/>
              </w:rPr>
              <w:t>框架</w:t>
            </w:r>
          </w:p>
        </w:tc>
        <w:tc>
          <w:tcPr>
            <w:tcW w:w="924" w:type="dxa"/>
            <w:vAlign w:val="top"/>
          </w:tcPr>
          <w:p w14:paraId="12C280B7">
            <w:pPr>
              <w:pStyle w:val="22"/>
              <w:keepNext w:val="0"/>
              <w:keepLines w:val="0"/>
              <w:suppressLineNumbers w:val="0"/>
              <w:spacing w:before="203" w:beforeAutospacing="0" w:after="0" w:afterAutospacing="0" w:line="182" w:lineRule="auto"/>
              <w:ind w:left="150" w:right="0"/>
              <w:rPr>
                <w:rFonts w:hint="default"/>
              </w:rPr>
            </w:pPr>
            <w:r>
              <w:rPr>
                <w:rFonts w:hint="default"/>
                <w:spacing w:val="-1"/>
              </w:rPr>
              <w:t>440.44</w:t>
            </w:r>
          </w:p>
        </w:tc>
        <w:tc>
          <w:tcPr>
            <w:tcW w:w="923" w:type="dxa"/>
            <w:vAlign w:val="top"/>
          </w:tcPr>
          <w:p w14:paraId="58FDA322">
            <w:pPr>
              <w:pStyle w:val="22"/>
              <w:keepNext w:val="0"/>
              <w:keepLines w:val="0"/>
              <w:suppressLineNumbers w:val="0"/>
              <w:spacing w:before="203" w:beforeAutospacing="0" w:after="0" w:afterAutospacing="0" w:line="182" w:lineRule="auto"/>
              <w:ind w:left="150" w:right="0"/>
              <w:rPr>
                <w:rFonts w:hint="default"/>
              </w:rPr>
            </w:pPr>
            <w:r>
              <w:rPr>
                <w:rFonts w:hint="default"/>
                <w:spacing w:val="-1"/>
              </w:rPr>
              <w:t>440.44</w:t>
            </w:r>
          </w:p>
        </w:tc>
        <w:tc>
          <w:tcPr>
            <w:tcW w:w="667" w:type="dxa"/>
            <w:vAlign w:val="top"/>
          </w:tcPr>
          <w:p w14:paraId="60DE4CB9">
            <w:pPr>
              <w:pStyle w:val="22"/>
              <w:keepNext w:val="0"/>
              <w:keepLines w:val="0"/>
              <w:suppressLineNumbers w:val="0"/>
              <w:spacing w:before="202" w:beforeAutospacing="0" w:after="0" w:afterAutospacing="0" w:line="183" w:lineRule="auto"/>
              <w:ind w:left="302" w:right="0"/>
              <w:rPr>
                <w:rFonts w:hint="default"/>
              </w:rPr>
            </w:pPr>
            <w:r>
              <w:rPr>
                <w:rFonts w:hint="default"/>
              </w:rPr>
              <w:t>1</w:t>
            </w:r>
          </w:p>
        </w:tc>
        <w:tc>
          <w:tcPr>
            <w:tcW w:w="672" w:type="dxa"/>
            <w:vAlign w:val="top"/>
          </w:tcPr>
          <w:p w14:paraId="637F5072">
            <w:pPr>
              <w:pStyle w:val="22"/>
              <w:keepNext w:val="0"/>
              <w:keepLines w:val="0"/>
              <w:suppressLineNumbers w:val="0"/>
              <w:spacing w:before="168" w:beforeAutospacing="0" w:after="0" w:afterAutospacing="0" w:line="221" w:lineRule="auto"/>
              <w:ind w:left="138" w:right="0"/>
              <w:rPr>
                <w:rFonts w:hint="default"/>
              </w:rPr>
            </w:pPr>
            <w:r>
              <w:rPr>
                <w:rFonts w:hint="default"/>
                <w:spacing w:val="-3"/>
              </w:rPr>
              <w:t>丙类</w:t>
            </w:r>
          </w:p>
        </w:tc>
        <w:tc>
          <w:tcPr>
            <w:tcW w:w="667" w:type="dxa"/>
            <w:vAlign w:val="top"/>
          </w:tcPr>
          <w:p w14:paraId="064C4D05">
            <w:pPr>
              <w:pStyle w:val="22"/>
              <w:keepNext w:val="0"/>
              <w:keepLines w:val="0"/>
              <w:suppressLineNumbers w:val="0"/>
              <w:spacing w:before="168" w:beforeAutospacing="0" w:after="0" w:afterAutospacing="0" w:line="223" w:lineRule="auto"/>
              <w:ind w:left="135" w:right="0"/>
              <w:rPr>
                <w:rFonts w:hint="default"/>
              </w:rPr>
            </w:pPr>
            <w:r>
              <w:rPr>
                <w:rFonts w:hint="default"/>
                <w:spacing w:val="-5"/>
              </w:rPr>
              <w:t>一级</w:t>
            </w:r>
          </w:p>
        </w:tc>
        <w:tc>
          <w:tcPr>
            <w:tcW w:w="684" w:type="dxa"/>
            <w:vAlign w:val="top"/>
          </w:tcPr>
          <w:p w14:paraId="2B02FC7A">
            <w:pPr>
              <w:pStyle w:val="22"/>
              <w:keepNext w:val="0"/>
              <w:keepLines w:val="0"/>
              <w:suppressLineNumbers w:val="0"/>
              <w:spacing w:before="168" w:beforeAutospacing="0" w:after="0" w:afterAutospacing="0" w:line="221" w:lineRule="auto"/>
              <w:ind w:left="167"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09D11513">
            <w:pPr>
              <w:pStyle w:val="22"/>
              <w:keepNext w:val="0"/>
              <w:keepLines w:val="0"/>
              <w:suppressLineNumbers w:val="0"/>
              <w:spacing w:before="168" w:beforeAutospacing="0" w:after="0" w:afterAutospacing="0" w:line="226" w:lineRule="auto"/>
              <w:ind w:left="455" w:right="0"/>
              <w:rPr>
                <w:rFonts w:hint="default"/>
              </w:rPr>
            </w:pPr>
            <w:r>
              <w:rPr>
                <w:rFonts w:hint="default"/>
              </w:rPr>
              <w:t>/</w:t>
            </w:r>
          </w:p>
        </w:tc>
        <w:tc>
          <w:tcPr>
            <w:tcW w:w="854" w:type="dxa"/>
            <w:vAlign w:val="top"/>
          </w:tcPr>
          <w:p w14:paraId="02532834">
            <w:pPr>
              <w:pStyle w:val="22"/>
              <w:keepNext w:val="0"/>
              <w:keepLines w:val="0"/>
              <w:suppressLineNumbers w:val="0"/>
              <w:spacing w:before="203" w:beforeAutospacing="0" w:after="0" w:afterAutospacing="0" w:line="182" w:lineRule="auto"/>
              <w:ind w:left="383" w:right="0"/>
              <w:rPr>
                <w:rFonts w:hint="default"/>
              </w:rPr>
            </w:pPr>
            <w:r>
              <w:rPr>
                <w:rFonts w:hint="default"/>
              </w:rPr>
              <w:t>9</w:t>
            </w:r>
          </w:p>
        </w:tc>
        <w:tc>
          <w:tcPr>
            <w:tcW w:w="811" w:type="dxa"/>
            <w:vAlign w:val="top"/>
          </w:tcPr>
          <w:p w14:paraId="4D2D217D">
            <w:pPr>
              <w:pStyle w:val="22"/>
              <w:keepNext w:val="0"/>
              <w:keepLines w:val="0"/>
              <w:suppressLineNumbers w:val="0"/>
              <w:spacing w:before="202" w:beforeAutospacing="0" w:after="0" w:afterAutospacing="0" w:line="183" w:lineRule="auto"/>
              <w:ind w:left="376" w:right="0"/>
              <w:rPr>
                <w:rFonts w:hint="default"/>
              </w:rPr>
            </w:pPr>
            <w:r>
              <w:rPr>
                <w:rFonts w:hint="default"/>
              </w:rPr>
              <w:t>1</w:t>
            </w:r>
          </w:p>
        </w:tc>
      </w:tr>
    </w:tbl>
    <w:p w14:paraId="38FBD169">
      <w:pPr>
        <w:pStyle w:val="6"/>
      </w:pPr>
    </w:p>
    <w:p w14:paraId="4F94DCBA">
      <w:pPr>
        <w:sectPr>
          <w:headerReference r:id="rId3" w:type="default"/>
          <w:footerReference r:id="rId4" w:type="default"/>
          <w:pgSz w:w="11907" w:h="16839"/>
          <w:pgMar w:top="1298" w:right="1461" w:bottom="946" w:left="1072" w:header="985" w:footer="685" w:gutter="0"/>
          <w:cols w:space="720" w:num="1"/>
        </w:sectPr>
      </w:pPr>
    </w:p>
    <w:p w14:paraId="4E1F652C">
      <w:pPr>
        <w:spacing w:line="120" w:lineRule="exact"/>
      </w:pPr>
    </w:p>
    <w:tbl>
      <w:tblPr>
        <w:tblStyle w:val="21"/>
        <w:tblW w:w="92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
        <w:gridCol w:w="787"/>
        <w:gridCol w:w="952"/>
        <w:gridCol w:w="924"/>
        <w:gridCol w:w="923"/>
        <w:gridCol w:w="667"/>
        <w:gridCol w:w="672"/>
        <w:gridCol w:w="667"/>
        <w:gridCol w:w="683"/>
        <w:gridCol w:w="1003"/>
        <w:gridCol w:w="854"/>
        <w:gridCol w:w="811"/>
      </w:tblGrid>
      <w:tr w14:paraId="29031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355" w:type="dxa"/>
            <w:vAlign w:val="top"/>
          </w:tcPr>
          <w:p w14:paraId="730417EE">
            <w:pPr>
              <w:pStyle w:val="22"/>
              <w:keepNext w:val="0"/>
              <w:keepLines w:val="0"/>
              <w:suppressLineNumbers w:val="0"/>
              <w:spacing w:before="201" w:beforeAutospacing="0" w:after="0" w:afterAutospacing="0" w:line="182" w:lineRule="auto"/>
              <w:ind w:left="64" w:right="0"/>
              <w:rPr>
                <w:rFonts w:hint="default"/>
              </w:rPr>
            </w:pPr>
            <w:r>
              <w:rPr>
                <w:rFonts w:hint="default"/>
              </w:rPr>
              <w:t>6</w:t>
            </w:r>
          </w:p>
        </w:tc>
        <w:tc>
          <w:tcPr>
            <w:tcW w:w="787" w:type="dxa"/>
            <w:vAlign w:val="top"/>
          </w:tcPr>
          <w:p w14:paraId="2A377898">
            <w:pPr>
              <w:pStyle w:val="22"/>
              <w:keepNext w:val="0"/>
              <w:keepLines w:val="0"/>
              <w:suppressLineNumbers w:val="0"/>
              <w:spacing w:before="28" w:beforeAutospacing="0" w:after="0" w:afterAutospacing="0" w:line="223" w:lineRule="auto"/>
              <w:ind w:left="184" w:right="76" w:hanging="98"/>
              <w:rPr>
                <w:rFonts w:hint="default"/>
              </w:rPr>
            </w:pPr>
            <w:r>
              <w:rPr>
                <w:rFonts w:hint="default"/>
                <w:spacing w:val="-4"/>
              </w:rPr>
              <w:t>公用工</w:t>
            </w:r>
            <w:r>
              <w:rPr>
                <w:rFonts w:hint="default"/>
              </w:rPr>
              <w:t xml:space="preserve"> </w:t>
            </w:r>
            <w:r>
              <w:rPr>
                <w:rFonts w:hint="default"/>
                <w:spacing w:val="-2"/>
              </w:rPr>
              <w:t>程站</w:t>
            </w:r>
          </w:p>
        </w:tc>
        <w:tc>
          <w:tcPr>
            <w:tcW w:w="952" w:type="dxa"/>
            <w:vAlign w:val="top"/>
          </w:tcPr>
          <w:p w14:paraId="218D0CD1">
            <w:pPr>
              <w:pStyle w:val="22"/>
              <w:keepNext w:val="0"/>
              <w:keepLines w:val="0"/>
              <w:suppressLineNumbers w:val="0"/>
              <w:spacing w:before="165" w:beforeAutospacing="0" w:after="0" w:afterAutospacing="0" w:line="221" w:lineRule="auto"/>
              <w:ind w:left="269" w:right="0"/>
              <w:rPr>
                <w:rFonts w:hint="default"/>
              </w:rPr>
            </w:pPr>
            <w:r>
              <w:rPr>
                <w:rFonts w:hint="default"/>
                <w:spacing w:val="-2"/>
              </w:rPr>
              <w:t>框架</w:t>
            </w:r>
          </w:p>
        </w:tc>
        <w:tc>
          <w:tcPr>
            <w:tcW w:w="924" w:type="dxa"/>
            <w:vAlign w:val="top"/>
          </w:tcPr>
          <w:p w14:paraId="2B664871">
            <w:pPr>
              <w:pStyle w:val="22"/>
              <w:keepNext w:val="0"/>
              <w:keepLines w:val="0"/>
              <w:suppressLineNumbers w:val="0"/>
              <w:spacing w:before="201" w:beforeAutospacing="0" w:after="0" w:afterAutospacing="0" w:line="182" w:lineRule="auto"/>
              <w:ind w:left="153" w:right="0"/>
              <w:rPr>
                <w:rFonts w:hint="default"/>
              </w:rPr>
            </w:pPr>
            <w:r>
              <w:rPr>
                <w:rFonts w:hint="default"/>
                <w:spacing w:val="-2"/>
              </w:rPr>
              <w:t>730.84</w:t>
            </w:r>
          </w:p>
        </w:tc>
        <w:tc>
          <w:tcPr>
            <w:tcW w:w="923" w:type="dxa"/>
            <w:vAlign w:val="top"/>
          </w:tcPr>
          <w:p w14:paraId="2AE3D91D">
            <w:pPr>
              <w:pStyle w:val="22"/>
              <w:keepNext w:val="0"/>
              <w:keepLines w:val="0"/>
              <w:suppressLineNumbers w:val="0"/>
              <w:spacing w:before="200" w:beforeAutospacing="0" w:after="0" w:afterAutospacing="0" w:line="183" w:lineRule="auto"/>
              <w:ind w:left="114" w:right="0"/>
              <w:rPr>
                <w:rFonts w:hint="default"/>
              </w:rPr>
            </w:pPr>
            <w:r>
              <w:rPr>
                <w:rFonts w:hint="default"/>
                <w:spacing w:val="-3"/>
              </w:rPr>
              <w:t>1461.68</w:t>
            </w:r>
          </w:p>
        </w:tc>
        <w:tc>
          <w:tcPr>
            <w:tcW w:w="667" w:type="dxa"/>
            <w:vAlign w:val="top"/>
          </w:tcPr>
          <w:p w14:paraId="1B034FC7">
            <w:pPr>
              <w:pStyle w:val="22"/>
              <w:keepNext w:val="0"/>
              <w:keepLines w:val="0"/>
              <w:suppressLineNumbers w:val="0"/>
              <w:spacing w:before="201" w:beforeAutospacing="0" w:after="0" w:afterAutospacing="0" w:line="182" w:lineRule="auto"/>
              <w:ind w:left="286" w:right="0"/>
              <w:rPr>
                <w:rFonts w:hint="default"/>
              </w:rPr>
            </w:pPr>
            <w:r>
              <w:rPr>
                <w:rFonts w:hint="default"/>
              </w:rPr>
              <w:t>2</w:t>
            </w:r>
          </w:p>
        </w:tc>
        <w:tc>
          <w:tcPr>
            <w:tcW w:w="672" w:type="dxa"/>
            <w:vAlign w:val="top"/>
          </w:tcPr>
          <w:p w14:paraId="7BA9A085">
            <w:pPr>
              <w:pStyle w:val="22"/>
              <w:keepNext w:val="0"/>
              <w:keepLines w:val="0"/>
              <w:suppressLineNumbers w:val="0"/>
              <w:spacing w:before="165" w:beforeAutospacing="0" w:after="0" w:afterAutospacing="0" w:line="221" w:lineRule="auto"/>
              <w:ind w:left="134" w:right="0"/>
              <w:rPr>
                <w:rFonts w:hint="default"/>
              </w:rPr>
            </w:pPr>
            <w:r>
              <w:rPr>
                <w:rFonts w:hint="default"/>
                <w:spacing w:val="-3"/>
              </w:rPr>
              <w:t>丁类</w:t>
            </w:r>
          </w:p>
        </w:tc>
        <w:tc>
          <w:tcPr>
            <w:tcW w:w="667" w:type="dxa"/>
            <w:vAlign w:val="top"/>
          </w:tcPr>
          <w:p w14:paraId="62E9C675">
            <w:pPr>
              <w:pStyle w:val="22"/>
              <w:keepNext w:val="0"/>
              <w:keepLines w:val="0"/>
              <w:suppressLineNumbers w:val="0"/>
              <w:spacing w:before="166" w:beforeAutospacing="0" w:after="0" w:afterAutospacing="0" w:line="223" w:lineRule="auto"/>
              <w:ind w:left="132" w:right="0"/>
              <w:rPr>
                <w:rFonts w:hint="default"/>
              </w:rPr>
            </w:pPr>
            <w:r>
              <w:rPr>
                <w:rFonts w:hint="default"/>
                <w:spacing w:val="-3"/>
              </w:rPr>
              <w:t>二级</w:t>
            </w:r>
          </w:p>
        </w:tc>
        <w:tc>
          <w:tcPr>
            <w:tcW w:w="683" w:type="dxa"/>
            <w:vAlign w:val="top"/>
          </w:tcPr>
          <w:p w14:paraId="39E3920C">
            <w:pPr>
              <w:pStyle w:val="22"/>
              <w:keepNext w:val="0"/>
              <w:keepLines w:val="0"/>
              <w:suppressLineNumbers w:val="0"/>
              <w:spacing w:before="166"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0FFAEBF0">
            <w:pPr>
              <w:pStyle w:val="22"/>
              <w:keepNext w:val="0"/>
              <w:keepLines w:val="0"/>
              <w:suppressLineNumbers w:val="0"/>
              <w:spacing w:before="165" w:beforeAutospacing="0" w:after="0" w:afterAutospacing="0" w:line="226" w:lineRule="auto"/>
              <w:ind w:left="455" w:right="0"/>
              <w:rPr>
                <w:rFonts w:hint="default"/>
              </w:rPr>
            </w:pPr>
            <w:r>
              <w:rPr>
                <w:rFonts w:hint="default"/>
              </w:rPr>
              <w:t>/</w:t>
            </w:r>
          </w:p>
        </w:tc>
        <w:tc>
          <w:tcPr>
            <w:tcW w:w="854" w:type="dxa"/>
            <w:vAlign w:val="top"/>
          </w:tcPr>
          <w:p w14:paraId="6C4B55BB">
            <w:pPr>
              <w:pStyle w:val="22"/>
              <w:keepNext w:val="0"/>
              <w:keepLines w:val="0"/>
              <w:suppressLineNumbers w:val="0"/>
              <w:spacing w:before="201" w:beforeAutospacing="0" w:after="0" w:afterAutospacing="0" w:line="182" w:lineRule="auto"/>
              <w:ind w:left="382" w:right="0"/>
              <w:rPr>
                <w:rFonts w:hint="default"/>
              </w:rPr>
            </w:pPr>
            <w:r>
              <w:rPr>
                <w:rFonts w:hint="default"/>
              </w:rPr>
              <w:t>6</w:t>
            </w:r>
          </w:p>
        </w:tc>
        <w:tc>
          <w:tcPr>
            <w:tcW w:w="811" w:type="dxa"/>
            <w:vAlign w:val="top"/>
          </w:tcPr>
          <w:p w14:paraId="5BC74EB3">
            <w:pPr>
              <w:pStyle w:val="22"/>
              <w:keepNext w:val="0"/>
              <w:keepLines w:val="0"/>
              <w:suppressLineNumbers w:val="0"/>
              <w:spacing w:before="200" w:beforeAutospacing="0" w:after="0" w:afterAutospacing="0" w:line="183" w:lineRule="auto"/>
              <w:ind w:left="374" w:right="0"/>
              <w:rPr>
                <w:rFonts w:hint="default"/>
              </w:rPr>
            </w:pPr>
            <w:r>
              <w:rPr>
                <w:rFonts w:hint="default"/>
              </w:rPr>
              <w:t>1</w:t>
            </w:r>
          </w:p>
        </w:tc>
      </w:tr>
      <w:tr w14:paraId="4C71F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7EAEE084">
            <w:pPr>
              <w:pStyle w:val="22"/>
              <w:keepNext w:val="0"/>
              <w:keepLines w:val="0"/>
              <w:suppressLineNumbers w:val="0"/>
              <w:spacing w:before="201" w:beforeAutospacing="0" w:after="0" w:afterAutospacing="0" w:line="181" w:lineRule="auto"/>
              <w:ind w:left="68" w:right="0"/>
              <w:rPr>
                <w:rFonts w:hint="default"/>
              </w:rPr>
            </w:pPr>
            <w:r>
              <w:rPr>
                <w:rFonts w:hint="default"/>
              </w:rPr>
              <w:t>7</w:t>
            </w:r>
          </w:p>
        </w:tc>
        <w:tc>
          <w:tcPr>
            <w:tcW w:w="787" w:type="dxa"/>
            <w:vAlign w:val="top"/>
          </w:tcPr>
          <w:p w14:paraId="59AC23BA">
            <w:pPr>
              <w:pStyle w:val="22"/>
              <w:keepNext w:val="0"/>
              <w:keepLines w:val="0"/>
              <w:suppressLineNumbers w:val="0"/>
              <w:spacing w:before="28" w:beforeAutospacing="0" w:after="0" w:afterAutospacing="0" w:line="222" w:lineRule="auto"/>
              <w:ind w:left="289" w:right="76" w:hanging="205"/>
              <w:rPr>
                <w:rFonts w:hint="default"/>
              </w:rPr>
            </w:pPr>
            <w:r>
              <w:rPr>
                <w:rFonts w:hint="default"/>
                <w:spacing w:val="-3"/>
              </w:rPr>
              <w:t>消防泵</w:t>
            </w:r>
            <w:r>
              <w:rPr>
                <w:rFonts w:hint="default"/>
              </w:rPr>
              <w:t xml:space="preserve"> 房</w:t>
            </w:r>
          </w:p>
        </w:tc>
        <w:tc>
          <w:tcPr>
            <w:tcW w:w="952" w:type="dxa"/>
            <w:vAlign w:val="top"/>
          </w:tcPr>
          <w:p w14:paraId="1C8534FA">
            <w:pPr>
              <w:pStyle w:val="22"/>
              <w:keepNext w:val="0"/>
              <w:keepLines w:val="0"/>
              <w:suppressLineNumbers w:val="0"/>
              <w:spacing w:before="164" w:beforeAutospacing="0" w:after="0" w:afterAutospacing="0" w:line="221" w:lineRule="auto"/>
              <w:ind w:left="269" w:right="0"/>
              <w:rPr>
                <w:rFonts w:hint="default"/>
              </w:rPr>
            </w:pPr>
            <w:r>
              <w:rPr>
                <w:rFonts w:hint="default"/>
                <w:spacing w:val="-2"/>
              </w:rPr>
              <w:t>框架</w:t>
            </w:r>
          </w:p>
        </w:tc>
        <w:tc>
          <w:tcPr>
            <w:tcW w:w="924" w:type="dxa"/>
            <w:vAlign w:val="top"/>
          </w:tcPr>
          <w:p w14:paraId="0AADBBF8">
            <w:pPr>
              <w:pStyle w:val="22"/>
              <w:keepNext w:val="0"/>
              <w:keepLines w:val="0"/>
              <w:suppressLineNumbers w:val="0"/>
              <w:spacing w:before="200" w:beforeAutospacing="0" w:after="0" w:afterAutospacing="0" w:line="182" w:lineRule="auto"/>
              <w:ind w:left="206" w:right="0"/>
              <w:rPr>
                <w:rFonts w:hint="default"/>
              </w:rPr>
            </w:pPr>
            <w:r>
              <w:rPr>
                <w:rFonts w:hint="default"/>
                <w:spacing w:val="-2"/>
              </w:rPr>
              <w:t>70.84</w:t>
            </w:r>
          </w:p>
        </w:tc>
        <w:tc>
          <w:tcPr>
            <w:tcW w:w="923" w:type="dxa"/>
            <w:vAlign w:val="top"/>
          </w:tcPr>
          <w:p w14:paraId="75B35C3F">
            <w:pPr>
              <w:pStyle w:val="22"/>
              <w:keepNext w:val="0"/>
              <w:keepLines w:val="0"/>
              <w:suppressLineNumbers w:val="0"/>
              <w:spacing w:before="200" w:beforeAutospacing="0" w:after="0" w:afterAutospacing="0" w:line="182" w:lineRule="auto"/>
              <w:ind w:left="202" w:right="0"/>
              <w:rPr>
                <w:rFonts w:hint="default"/>
              </w:rPr>
            </w:pPr>
            <w:r>
              <w:rPr>
                <w:rFonts w:hint="default"/>
                <w:spacing w:val="-1"/>
              </w:rPr>
              <w:t>89.32</w:t>
            </w:r>
          </w:p>
        </w:tc>
        <w:tc>
          <w:tcPr>
            <w:tcW w:w="667" w:type="dxa"/>
            <w:vAlign w:val="top"/>
          </w:tcPr>
          <w:p w14:paraId="1083C427">
            <w:pPr>
              <w:pStyle w:val="22"/>
              <w:keepNext w:val="0"/>
              <w:keepLines w:val="0"/>
              <w:suppressLineNumbers w:val="0"/>
              <w:spacing w:before="199" w:beforeAutospacing="0" w:after="0" w:afterAutospacing="0" w:line="183" w:lineRule="auto"/>
              <w:ind w:left="299" w:right="0"/>
              <w:rPr>
                <w:rFonts w:hint="default"/>
              </w:rPr>
            </w:pPr>
            <w:r>
              <w:rPr>
                <w:rFonts w:hint="default"/>
              </w:rPr>
              <w:t>1</w:t>
            </w:r>
          </w:p>
        </w:tc>
        <w:tc>
          <w:tcPr>
            <w:tcW w:w="672" w:type="dxa"/>
            <w:vAlign w:val="top"/>
          </w:tcPr>
          <w:p w14:paraId="715C98DF">
            <w:pPr>
              <w:pStyle w:val="22"/>
              <w:keepNext w:val="0"/>
              <w:keepLines w:val="0"/>
              <w:suppressLineNumbers w:val="0"/>
              <w:spacing w:before="165" w:beforeAutospacing="0" w:after="0" w:afterAutospacing="0" w:line="222" w:lineRule="auto"/>
              <w:ind w:left="131" w:right="0"/>
              <w:rPr>
                <w:rFonts w:hint="default"/>
              </w:rPr>
            </w:pPr>
            <w:r>
              <w:rPr>
                <w:rFonts w:hint="default"/>
                <w:spacing w:val="-2"/>
              </w:rPr>
              <w:t>戊用</w:t>
            </w:r>
          </w:p>
        </w:tc>
        <w:tc>
          <w:tcPr>
            <w:tcW w:w="667" w:type="dxa"/>
            <w:vAlign w:val="top"/>
          </w:tcPr>
          <w:p w14:paraId="0416AE47">
            <w:pPr>
              <w:pStyle w:val="22"/>
              <w:keepNext w:val="0"/>
              <w:keepLines w:val="0"/>
              <w:suppressLineNumbers w:val="0"/>
              <w:spacing w:before="165" w:beforeAutospacing="0" w:after="0" w:afterAutospacing="0" w:line="223" w:lineRule="auto"/>
              <w:ind w:left="132" w:right="0"/>
              <w:rPr>
                <w:rFonts w:hint="default"/>
              </w:rPr>
            </w:pPr>
            <w:r>
              <w:rPr>
                <w:rFonts w:hint="default"/>
                <w:spacing w:val="-5"/>
              </w:rPr>
              <w:t>一级</w:t>
            </w:r>
          </w:p>
        </w:tc>
        <w:tc>
          <w:tcPr>
            <w:tcW w:w="683" w:type="dxa"/>
            <w:vAlign w:val="top"/>
          </w:tcPr>
          <w:p w14:paraId="33AD5D1A">
            <w:pPr>
              <w:pStyle w:val="22"/>
              <w:keepNext w:val="0"/>
              <w:keepLines w:val="0"/>
              <w:suppressLineNumbers w:val="0"/>
              <w:spacing w:before="165"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494ED15E">
            <w:pPr>
              <w:pStyle w:val="22"/>
              <w:keepNext w:val="0"/>
              <w:keepLines w:val="0"/>
              <w:suppressLineNumbers w:val="0"/>
              <w:spacing w:before="164" w:beforeAutospacing="0" w:after="0" w:afterAutospacing="0" w:line="226" w:lineRule="auto"/>
              <w:ind w:left="455" w:right="0"/>
              <w:rPr>
                <w:rFonts w:hint="default"/>
              </w:rPr>
            </w:pPr>
            <w:r>
              <w:rPr>
                <w:rFonts w:hint="default"/>
              </w:rPr>
              <w:t>/</w:t>
            </w:r>
          </w:p>
        </w:tc>
        <w:tc>
          <w:tcPr>
            <w:tcW w:w="854" w:type="dxa"/>
            <w:vAlign w:val="top"/>
          </w:tcPr>
          <w:p w14:paraId="36DAE861">
            <w:pPr>
              <w:pStyle w:val="22"/>
              <w:keepNext w:val="0"/>
              <w:keepLines w:val="0"/>
              <w:suppressLineNumbers w:val="0"/>
              <w:spacing w:before="199" w:beforeAutospacing="0" w:after="0" w:afterAutospacing="0" w:line="183" w:lineRule="auto"/>
              <w:ind w:left="396" w:right="0"/>
              <w:rPr>
                <w:rFonts w:hint="default"/>
              </w:rPr>
            </w:pPr>
            <w:r>
              <w:rPr>
                <w:rFonts w:hint="default"/>
              </w:rPr>
              <w:t>1</w:t>
            </w:r>
          </w:p>
        </w:tc>
        <w:tc>
          <w:tcPr>
            <w:tcW w:w="811" w:type="dxa"/>
            <w:vAlign w:val="top"/>
          </w:tcPr>
          <w:p w14:paraId="0AE585C5">
            <w:pPr>
              <w:pStyle w:val="22"/>
              <w:keepNext w:val="0"/>
              <w:keepLines w:val="0"/>
              <w:suppressLineNumbers w:val="0"/>
              <w:spacing w:before="199" w:beforeAutospacing="0" w:after="0" w:afterAutospacing="0" w:line="183" w:lineRule="auto"/>
              <w:ind w:left="374" w:right="0"/>
              <w:rPr>
                <w:rFonts w:hint="default"/>
              </w:rPr>
            </w:pPr>
            <w:r>
              <w:rPr>
                <w:rFonts w:hint="default"/>
              </w:rPr>
              <w:t>1</w:t>
            </w:r>
          </w:p>
        </w:tc>
      </w:tr>
      <w:tr w14:paraId="67DF7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55" w:type="dxa"/>
            <w:vAlign w:val="top"/>
          </w:tcPr>
          <w:p w14:paraId="524BC6BF">
            <w:pPr>
              <w:pStyle w:val="22"/>
              <w:keepNext w:val="0"/>
              <w:keepLines w:val="0"/>
              <w:suppressLineNumbers w:val="0"/>
              <w:spacing w:before="98" w:beforeAutospacing="0" w:after="0" w:afterAutospacing="0" w:line="182" w:lineRule="auto"/>
              <w:ind w:left="64" w:right="0"/>
              <w:rPr>
                <w:rFonts w:hint="default"/>
              </w:rPr>
            </w:pPr>
            <w:r>
              <w:rPr>
                <w:rFonts w:hint="default"/>
              </w:rPr>
              <w:t>8</w:t>
            </w:r>
          </w:p>
        </w:tc>
        <w:tc>
          <w:tcPr>
            <w:tcW w:w="787" w:type="dxa"/>
            <w:vAlign w:val="top"/>
          </w:tcPr>
          <w:p w14:paraId="1F7EE045">
            <w:pPr>
              <w:pStyle w:val="22"/>
              <w:keepNext w:val="0"/>
              <w:keepLines w:val="0"/>
              <w:suppressLineNumbers w:val="0"/>
              <w:spacing w:before="63" w:beforeAutospacing="0" w:after="0" w:afterAutospacing="0" w:line="221" w:lineRule="auto"/>
              <w:ind w:left="95" w:right="0"/>
              <w:rPr>
                <w:rFonts w:hint="default"/>
              </w:rPr>
            </w:pPr>
            <w:r>
              <w:rPr>
                <w:rFonts w:hint="default"/>
                <w:spacing w:val="-6"/>
              </w:rPr>
              <w:t>1#厂房</w:t>
            </w:r>
          </w:p>
        </w:tc>
        <w:tc>
          <w:tcPr>
            <w:tcW w:w="952" w:type="dxa"/>
            <w:vAlign w:val="top"/>
          </w:tcPr>
          <w:p w14:paraId="7A614782">
            <w:pPr>
              <w:pStyle w:val="22"/>
              <w:keepNext w:val="0"/>
              <w:keepLines w:val="0"/>
              <w:suppressLineNumbers w:val="0"/>
              <w:spacing w:before="62" w:beforeAutospacing="0" w:after="0" w:afterAutospacing="0" w:line="221" w:lineRule="auto"/>
              <w:ind w:left="269" w:right="0"/>
              <w:rPr>
                <w:rFonts w:hint="default"/>
              </w:rPr>
            </w:pPr>
            <w:r>
              <w:rPr>
                <w:rFonts w:hint="default"/>
                <w:spacing w:val="-2"/>
              </w:rPr>
              <w:t>框架</w:t>
            </w:r>
          </w:p>
        </w:tc>
        <w:tc>
          <w:tcPr>
            <w:tcW w:w="924" w:type="dxa"/>
            <w:vAlign w:val="top"/>
          </w:tcPr>
          <w:p w14:paraId="2A1C4DD2">
            <w:pPr>
              <w:pStyle w:val="22"/>
              <w:keepNext w:val="0"/>
              <w:keepLines w:val="0"/>
              <w:suppressLineNumbers w:val="0"/>
              <w:spacing w:before="97" w:beforeAutospacing="0" w:after="0" w:afterAutospacing="0" w:line="183" w:lineRule="auto"/>
              <w:ind w:left="113" w:right="0"/>
              <w:rPr>
                <w:rFonts w:hint="default"/>
              </w:rPr>
            </w:pPr>
            <w:r>
              <w:rPr>
                <w:rFonts w:hint="default"/>
                <w:spacing w:val="-3"/>
              </w:rPr>
              <w:t>1360.04</w:t>
            </w:r>
          </w:p>
        </w:tc>
        <w:tc>
          <w:tcPr>
            <w:tcW w:w="923" w:type="dxa"/>
            <w:vAlign w:val="top"/>
          </w:tcPr>
          <w:p w14:paraId="2BACE38C">
            <w:pPr>
              <w:pStyle w:val="22"/>
              <w:keepNext w:val="0"/>
              <w:keepLines w:val="0"/>
              <w:suppressLineNumbers w:val="0"/>
              <w:spacing w:before="97" w:beforeAutospacing="0" w:after="0" w:afterAutospacing="0" w:line="183" w:lineRule="auto"/>
              <w:ind w:left="114" w:right="0"/>
              <w:rPr>
                <w:rFonts w:hint="default"/>
              </w:rPr>
            </w:pPr>
            <w:r>
              <w:rPr>
                <w:rFonts w:hint="default"/>
                <w:spacing w:val="-3"/>
              </w:rPr>
              <w:t>1360.04</w:t>
            </w:r>
          </w:p>
        </w:tc>
        <w:tc>
          <w:tcPr>
            <w:tcW w:w="667" w:type="dxa"/>
            <w:vAlign w:val="top"/>
          </w:tcPr>
          <w:p w14:paraId="58CE78C3">
            <w:pPr>
              <w:pStyle w:val="22"/>
              <w:keepNext w:val="0"/>
              <w:keepLines w:val="0"/>
              <w:suppressLineNumbers w:val="0"/>
              <w:spacing w:before="96" w:beforeAutospacing="0" w:after="0" w:afterAutospacing="0" w:line="183" w:lineRule="auto"/>
              <w:ind w:left="299" w:right="0"/>
              <w:rPr>
                <w:rFonts w:hint="default"/>
              </w:rPr>
            </w:pPr>
            <w:r>
              <w:rPr>
                <w:rFonts w:hint="default"/>
              </w:rPr>
              <w:t>1</w:t>
            </w:r>
          </w:p>
        </w:tc>
        <w:tc>
          <w:tcPr>
            <w:tcW w:w="672" w:type="dxa"/>
            <w:vAlign w:val="top"/>
          </w:tcPr>
          <w:p w14:paraId="04A14E5F">
            <w:pPr>
              <w:pStyle w:val="22"/>
              <w:keepNext w:val="0"/>
              <w:keepLines w:val="0"/>
              <w:suppressLineNumbers w:val="0"/>
              <w:spacing w:before="62" w:beforeAutospacing="0" w:after="0" w:afterAutospacing="0" w:line="221" w:lineRule="auto"/>
              <w:ind w:left="158" w:right="0"/>
              <w:rPr>
                <w:rFonts w:hint="default"/>
              </w:rPr>
            </w:pPr>
            <w:r>
              <w:rPr>
                <w:rFonts w:hint="default"/>
                <w:spacing w:val="-9"/>
              </w:rPr>
              <w:t>甲类</w:t>
            </w:r>
          </w:p>
        </w:tc>
        <w:tc>
          <w:tcPr>
            <w:tcW w:w="667" w:type="dxa"/>
            <w:vAlign w:val="top"/>
          </w:tcPr>
          <w:p w14:paraId="25B416D7">
            <w:pPr>
              <w:pStyle w:val="22"/>
              <w:keepNext w:val="0"/>
              <w:keepLines w:val="0"/>
              <w:suppressLineNumbers w:val="0"/>
              <w:spacing w:before="62" w:beforeAutospacing="0" w:after="0" w:afterAutospacing="0" w:line="223" w:lineRule="auto"/>
              <w:ind w:left="132" w:right="0"/>
              <w:rPr>
                <w:rFonts w:hint="default"/>
              </w:rPr>
            </w:pPr>
            <w:r>
              <w:rPr>
                <w:rFonts w:hint="default"/>
                <w:spacing w:val="-3"/>
              </w:rPr>
              <w:t>二级</w:t>
            </w:r>
          </w:p>
        </w:tc>
        <w:tc>
          <w:tcPr>
            <w:tcW w:w="683" w:type="dxa"/>
            <w:vAlign w:val="top"/>
          </w:tcPr>
          <w:p w14:paraId="61C662FB">
            <w:pPr>
              <w:pStyle w:val="22"/>
              <w:keepNext w:val="0"/>
              <w:keepLines w:val="0"/>
              <w:suppressLineNumbers w:val="0"/>
              <w:spacing w:before="63"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7FDEA806">
            <w:pPr>
              <w:pStyle w:val="22"/>
              <w:keepNext w:val="0"/>
              <w:keepLines w:val="0"/>
              <w:suppressLineNumbers w:val="0"/>
              <w:spacing w:before="62" w:beforeAutospacing="0" w:after="0" w:afterAutospacing="0" w:line="226" w:lineRule="auto"/>
              <w:ind w:left="455" w:right="0"/>
              <w:rPr>
                <w:rFonts w:hint="default"/>
              </w:rPr>
            </w:pPr>
            <w:r>
              <w:rPr>
                <w:rFonts w:hint="default"/>
              </w:rPr>
              <w:t>/</w:t>
            </w:r>
          </w:p>
        </w:tc>
        <w:tc>
          <w:tcPr>
            <w:tcW w:w="854" w:type="dxa"/>
            <w:vAlign w:val="top"/>
          </w:tcPr>
          <w:p w14:paraId="359D4B10">
            <w:pPr>
              <w:pStyle w:val="22"/>
              <w:keepNext w:val="0"/>
              <w:keepLines w:val="0"/>
              <w:suppressLineNumbers w:val="0"/>
              <w:spacing w:before="96" w:beforeAutospacing="0" w:after="0" w:afterAutospacing="0" w:line="183" w:lineRule="auto"/>
              <w:ind w:left="343" w:right="0"/>
              <w:rPr>
                <w:rFonts w:hint="default"/>
              </w:rPr>
            </w:pPr>
            <w:r>
              <w:rPr>
                <w:rFonts w:hint="default"/>
                <w:spacing w:val="-6"/>
              </w:rPr>
              <w:t>11</w:t>
            </w:r>
          </w:p>
        </w:tc>
        <w:tc>
          <w:tcPr>
            <w:tcW w:w="811" w:type="dxa"/>
            <w:vAlign w:val="top"/>
          </w:tcPr>
          <w:p w14:paraId="078A91C7">
            <w:pPr>
              <w:pStyle w:val="22"/>
              <w:keepNext w:val="0"/>
              <w:keepLines w:val="0"/>
              <w:suppressLineNumbers w:val="0"/>
              <w:spacing w:before="98" w:beforeAutospacing="0" w:after="0" w:afterAutospacing="0" w:line="182" w:lineRule="auto"/>
              <w:ind w:left="361" w:right="0"/>
              <w:rPr>
                <w:rFonts w:hint="default"/>
              </w:rPr>
            </w:pPr>
            <w:r>
              <w:rPr>
                <w:rFonts w:hint="default"/>
              </w:rPr>
              <w:t>2</w:t>
            </w:r>
          </w:p>
        </w:tc>
      </w:tr>
      <w:tr w14:paraId="36225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55" w:type="dxa"/>
            <w:vAlign w:val="top"/>
          </w:tcPr>
          <w:p w14:paraId="14CBA11B">
            <w:pPr>
              <w:pStyle w:val="22"/>
              <w:keepNext w:val="0"/>
              <w:keepLines w:val="0"/>
              <w:suppressLineNumbers w:val="0"/>
              <w:spacing w:before="98" w:beforeAutospacing="0" w:after="0" w:afterAutospacing="0" w:line="182" w:lineRule="auto"/>
              <w:ind w:left="64" w:right="0"/>
              <w:rPr>
                <w:rFonts w:hint="default"/>
              </w:rPr>
            </w:pPr>
            <w:r>
              <w:rPr>
                <w:rFonts w:hint="default"/>
              </w:rPr>
              <w:t>9</w:t>
            </w:r>
          </w:p>
        </w:tc>
        <w:tc>
          <w:tcPr>
            <w:tcW w:w="787" w:type="dxa"/>
            <w:vAlign w:val="top"/>
          </w:tcPr>
          <w:p w14:paraId="45A76730">
            <w:pPr>
              <w:pStyle w:val="22"/>
              <w:keepNext w:val="0"/>
              <w:keepLines w:val="0"/>
              <w:suppressLineNumbers w:val="0"/>
              <w:spacing w:before="63" w:beforeAutospacing="0" w:after="0" w:afterAutospacing="0" w:line="221" w:lineRule="auto"/>
              <w:ind w:left="82" w:right="0"/>
              <w:rPr>
                <w:rFonts w:hint="default"/>
              </w:rPr>
            </w:pPr>
            <w:r>
              <w:rPr>
                <w:rFonts w:hint="default"/>
                <w:spacing w:val="-2"/>
              </w:rPr>
              <w:t>2#厂房</w:t>
            </w:r>
          </w:p>
        </w:tc>
        <w:tc>
          <w:tcPr>
            <w:tcW w:w="952" w:type="dxa"/>
            <w:vAlign w:val="top"/>
          </w:tcPr>
          <w:p w14:paraId="41C9192A">
            <w:pPr>
              <w:pStyle w:val="22"/>
              <w:keepNext w:val="0"/>
              <w:keepLines w:val="0"/>
              <w:suppressLineNumbers w:val="0"/>
              <w:spacing w:before="62" w:beforeAutospacing="0" w:after="0" w:afterAutospacing="0" w:line="221" w:lineRule="auto"/>
              <w:ind w:left="269" w:right="0"/>
              <w:rPr>
                <w:rFonts w:hint="default"/>
              </w:rPr>
            </w:pPr>
            <w:r>
              <w:rPr>
                <w:rFonts w:hint="default"/>
                <w:spacing w:val="-2"/>
              </w:rPr>
              <w:t>框架</w:t>
            </w:r>
          </w:p>
        </w:tc>
        <w:tc>
          <w:tcPr>
            <w:tcW w:w="924" w:type="dxa"/>
            <w:vAlign w:val="top"/>
          </w:tcPr>
          <w:p w14:paraId="6D2C0E90">
            <w:pPr>
              <w:pStyle w:val="22"/>
              <w:keepNext w:val="0"/>
              <w:keepLines w:val="0"/>
              <w:suppressLineNumbers w:val="0"/>
              <w:spacing w:before="98" w:beforeAutospacing="0" w:after="0" w:afterAutospacing="0" w:line="182" w:lineRule="auto"/>
              <w:ind w:left="100" w:right="0"/>
              <w:rPr>
                <w:rFonts w:hint="default"/>
              </w:rPr>
            </w:pPr>
            <w:r>
              <w:rPr>
                <w:rFonts w:hint="default"/>
                <w:spacing w:val="-2"/>
              </w:rPr>
              <w:t>2259.24</w:t>
            </w:r>
          </w:p>
        </w:tc>
        <w:tc>
          <w:tcPr>
            <w:tcW w:w="923" w:type="dxa"/>
            <w:vAlign w:val="top"/>
          </w:tcPr>
          <w:p w14:paraId="571EB43B">
            <w:pPr>
              <w:pStyle w:val="22"/>
              <w:keepNext w:val="0"/>
              <w:keepLines w:val="0"/>
              <w:suppressLineNumbers w:val="0"/>
              <w:spacing w:before="98" w:beforeAutospacing="0" w:after="0" w:afterAutospacing="0" w:line="182" w:lineRule="auto"/>
              <w:ind w:left="102" w:right="0"/>
              <w:rPr>
                <w:rFonts w:hint="default"/>
              </w:rPr>
            </w:pPr>
            <w:r>
              <w:rPr>
                <w:rFonts w:hint="default"/>
                <w:spacing w:val="-2"/>
              </w:rPr>
              <w:t>3223.77</w:t>
            </w:r>
          </w:p>
        </w:tc>
        <w:tc>
          <w:tcPr>
            <w:tcW w:w="667" w:type="dxa"/>
            <w:vAlign w:val="top"/>
          </w:tcPr>
          <w:p w14:paraId="275166CF">
            <w:pPr>
              <w:pStyle w:val="22"/>
              <w:keepNext w:val="0"/>
              <w:keepLines w:val="0"/>
              <w:suppressLineNumbers w:val="0"/>
              <w:spacing w:before="98" w:beforeAutospacing="0" w:after="0" w:afterAutospacing="0" w:line="182" w:lineRule="auto"/>
              <w:ind w:left="288" w:right="0"/>
              <w:rPr>
                <w:rFonts w:hint="default"/>
              </w:rPr>
            </w:pPr>
            <w:r>
              <w:rPr>
                <w:rFonts w:hint="default"/>
              </w:rPr>
              <w:t>3</w:t>
            </w:r>
          </w:p>
        </w:tc>
        <w:tc>
          <w:tcPr>
            <w:tcW w:w="672" w:type="dxa"/>
            <w:vAlign w:val="top"/>
          </w:tcPr>
          <w:p w14:paraId="1939A9EC">
            <w:pPr>
              <w:pStyle w:val="22"/>
              <w:keepNext w:val="0"/>
              <w:keepLines w:val="0"/>
              <w:suppressLineNumbers w:val="0"/>
              <w:spacing w:before="62" w:beforeAutospacing="0" w:after="0" w:afterAutospacing="0" w:line="221" w:lineRule="auto"/>
              <w:ind w:left="158" w:right="0"/>
              <w:rPr>
                <w:rFonts w:hint="default"/>
              </w:rPr>
            </w:pPr>
            <w:r>
              <w:rPr>
                <w:rFonts w:hint="default"/>
                <w:spacing w:val="-9"/>
              </w:rPr>
              <w:t>甲类</w:t>
            </w:r>
          </w:p>
        </w:tc>
        <w:tc>
          <w:tcPr>
            <w:tcW w:w="667" w:type="dxa"/>
            <w:vAlign w:val="top"/>
          </w:tcPr>
          <w:p w14:paraId="58F25A0A">
            <w:pPr>
              <w:pStyle w:val="22"/>
              <w:keepNext w:val="0"/>
              <w:keepLines w:val="0"/>
              <w:suppressLineNumbers w:val="0"/>
              <w:spacing w:before="63" w:beforeAutospacing="0" w:after="0" w:afterAutospacing="0" w:line="223" w:lineRule="auto"/>
              <w:ind w:left="132" w:right="0"/>
              <w:rPr>
                <w:rFonts w:hint="default"/>
              </w:rPr>
            </w:pPr>
            <w:r>
              <w:rPr>
                <w:rFonts w:hint="default"/>
                <w:spacing w:val="-5"/>
              </w:rPr>
              <w:t>一级</w:t>
            </w:r>
          </w:p>
        </w:tc>
        <w:tc>
          <w:tcPr>
            <w:tcW w:w="683" w:type="dxa"/>
            <w:vAlign w:val="top"/>
          </w:tcPr>
          <w:p w14:paraId="1C2BD7EF">
            <w:pPr>
              <w:pStyle w:val="22"/>
              <w:keepNext w:val="0"/>
              <w:keepLines w:val="0"/>
              <w:suppressLineNumbers w:val="0"/>
              <w:spacing w:before="63"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2022F6DB">
            <w:pPr>
              <w:pStyle w:val="22"/>
              <w:keepNext w:val="0"/>
              <w:keepLines w:val="0"/>
              <w:suppressLineNumbers w:val="0"/>
              <w:spacing w:before="97" w:beforeAutospacing="0" w:after="0" w:afterAutospacing="0" w:line="183" w:lineRule="auto"/>
              <w:ind w:left="157" w:right="0"/>
              <w:rPr>
                <w:rFonts w:hint="default"/>
              </w:rPr>
            </w:pPr>
            <w:r>
              <w:rPr>
                <w:rFonts w:hint="default"/>
                <w:spacing w:val="-3"/>
              </w:rPr>
              <w:t>1332.42</w:t>
            </w:r>
          </w:p>
        </w:tc>
        <w:tc>
          <w:tcPr>
            <w:tcW w:w="854" w:type="dxa"/>
            <w:vAlign w:val="top"/>
          </w:tcPr>
          <w:p w14:paraId="203B2F07">
            <w:pPr>
              <w:pStyle w:val="22"/>
              <w:keepNext w:val="0"/>
              <w:keepLines w:val="0"/>
              <w:suppressLineNumbers w:val="0"/>
              <w:spacing w:before="97" w:beforeAutospacing="0" w:after="0" w:afterAutospacing="0" w:line="183" w:lineRule="auto"/>
              <w:ind w:left="343" w:right="0"/>
              <w:rPr>
                <w:rFonts w:hint="default"/>
              </w:rPr>
            </w:pPr>
            <w:r>
              <w:rPr>
                <w:rFonts w:hint="default"/>
                <w:spacing w:val="-6"/>
              </w:rPr>
              <w:t>13</w:t>
            </w:r>
          </w:p>
        </w:tc>
        <w:tc>
          <w:tcPr>
            <w:tcW w:w="811" w:type="dxa"/>
            <w:vAlign w:val="top"/>
          </w:tcPr>
          <w:p w14:paraId="46E42036">
            <w:pPr>
              <w:pStyle w:val="22"/>
              <w:keepNext w:val="0"/>
              <w:keepLines w:val="0"/>
              <w:suppressLineNumbers w:val="0"/>
              <w:spacing w:before="98" w:beforeAutospacing="0" w:after="0" w:afterAutospacing="0" w:line="182" w:lineRule="auto"/>
              <w:ind w:left="361" w:right="0"/>
              <w:rPr>
                <w:rFonts w:hint="default"/>
              </w:rPr>
            </w:pPr>
            <w:r>
              <w:rPr>
                <w:rFonts w:hint="default"/>
              </w:rPr>
              <w:t>2</w:t>
            </w:r>
          </w:p>
        </w:tc>
      </w:tr>
      <w:tr w14:paraId="363EF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7FFCEB37">
            <w:pPr>
              <w:pStyle w:val="22"/>
              <w:keepNext w:val="0"/>
              <w:keepLines w:val="0"/>
              <w:suppressLineNumbers w:val="0"/>
              <w:spacing w:before="201" w:beforeAutospacing="0" w:after="0" w:afterAutospacing="0" w:line="183" w:lineRule="auto"/>
              <w:ind w:left="78" w:right="0"/>
              <w:rPr>
                <w:rFonts w:hint="default"/>
              </w:rPr>
            </w:pPr>
            <w:r>
              <w:rPr>
                <w:rFonts w:hint="default"/>
                <w:spacing w:val="-6"/>
              </w:rPr>
              <w:t>10</w:t>
            </w:r>
          </w:p>
        </w:tc>
        <w:tc>
          <w:tcPr>
            <w:tcW w:w="787" w:type="dxa"/>
            <w:vAlign w:val="top"/>
          </w:tcPr>
          <w:p w14:paraId="54F24652">
            <w:pPr>
              <w:pStyle w:val="22"/>
              <w:keepNext w:val="0"/>
              <w:keepLines w:val="0"/>
              <w:suppressLineNumbers w:val="0"/>
              <w:spacing w:before="166" w:beforeAutospacing="0" w:after="0" w:afterAutospacing="0" w:line="221" w:lineRule="auto"/>
              <w:ind w:left="80" w:right="0"/>
              <w:rPr>
                <w:rFonts w:hint="default"/>
              </w:rPr>
            </w:pPr>
            <w:r>
              <w:rPr>
                <w:rFonts w:hint="default"/>
                <w:spacing w:val="-2"/>
              </w:rPr>
              <w:t>研发楼</w:t>
            </w:r>
          </w:p>
        </w:tc>
        <w:tc>
          <w:tcPr>
            <w:tcW w:w="952" w:type="dxa"/>
            <w:vAlign w:val="top"/>
          </w:tcPr>
          <w:p w14:paraId="2092D940">
            <w:pPr>
              <w:pStyle w:val="22"/>
              <w:keepNext w:val="0"/>
              <w:keepLines w:val="0"/>
              <w:suppressLineNumbers w:val="0"/>
              <w:spacing w:before="166" w:beforeAutospacing="0" w:after="0" w:afterAutospacing="0" w:line="221" w:lineRule="auto"/>
              <w:ind w:left="269" w:right="0"/>
              <w:rPr>
                <w:rFonts w:hint="default"/>
              </w:rPr>
            </w:pPr>
            <w:r>
              <w:rPr>
                <w:rFonts w:hint="default"/>
                <w:spacing w:val="-2"/>
              </w:rPr>
              <w:t>框架</w:t>
            </w:r>
          </w:p>
        </w:tc>
        <w:tc>
          <w:tcPr>
            <w:tcW w:w="924" w:type="dxa"/>
            <w:vAlign w:val="top"/>
          </w:tcPr>
          <w:p w14:paraId="627C2817">
            <w:pPr>
              <w:pStyle w:val="22"/>
              <w:keepNext w:val="0"/>
              <w:keepLines w:val="0"/>
              <w:suppressLineNumbers w:val="0"/>
              <w:spacing w:before="202" w:beforeAutospacing="0" w:after="0" w:afterAutospacing="0" w:line="182" w:lineRule="auto"/>
              <w:ind w:left="147" w:right="0"/>
              <w:rPr>
                <w:rFonts w:hint="default"/>
              </w:rPr>
            </w:pPr>
            <w:r>
              <w:rPr>
                <w:rFonts w:hint="default"/>
                <w:spacing w:val="-1"/>
              </w:rPr>
              <w:t>464.85</w:t>
            </w:r>
          </w:p>
        </w:tc>
        <w:tc>
          <w:tcPr>
            <w:tcW w:w="923" w:type="dxa"/>
            <w:vAlign w:val="top"/>
          </w:tcPr>
          <w:p w14:paraId="263B72D1">
            <w:pPr>
              <w:pStyle w:val="22"/>
              <w:keepNext w:val="0"/>
              <w:keepLines w:val="0"/>
              <w:suppressLineNumbers w:val="0"/>
              <w:spacing w:before="201" w:beforeAutospacing="0" w:after="0" w:afterAutospacing="0" w:line="183" w:lineRule="auto"/>
              <w:ind w:left="114" w:right="0"/>
              <w:rPr>
                <w:rFonts w:hint="default"/>
              </w:rPr>
            </w:pPr>
            <w:r>
              <w:rPr>
                <w:rFonts w:hint="default"/>
                <w:spacing w:val="-3"/>
              </w:rPr>
              <w:t>1405.01</w:t>
            </w:r>
          </w:p>
        </w:tc>
        <w:tc>
          <w:tcPr>
            <w:tcW w:w="667" w:type="dxa"/>
            <w:vAlign w:val="top"/>
          </w:tcPr>
          <w:p w14:paraId="499096AF">
            <w:pPr>
              <w:pStyle w:val="22"/>
              <w:keepNext w:val="0"/>
              <w:keepLines w:val="0"/>
              <w:suppressLineNumbers w:val="0"/>
              <w:spacing w:before="202" w:beforeAutospacing="0" w:after="0" w:afterAutospacing="0" w:line="182" w:lineRule="auto"/>
              <w:ind w:left="288" w:right="0"/>
              <w:rPr>
                <w:rFonts w:hint="default"/>
              </w:rPr>
            </w:pPr>
            <w:r>
              <w:rPr>
                <w:rFonts w:hint="default"/>
              </w:rPr>
              <w:t>3</w:t>
            </w:r>
          </w:p>
        </w:tc>
        <w:tc>
          <w:tcPr>
            <w:tcW w:w="672" w:type="dxa"/>
            <w:vAlign w:val="top"/>
          </w:tcPr>
          <w:p w14:paraId="05755AB0">
            <w:pPr>
              <w:pStyle w:val="22"/>
              <w:keepNext w:val="0"/>
              <w:keepLines w:val="0"/>
              <w:suppressLineNumbers w:val="0"/>
              <w:spacing w:before="28" w:beforeAutospacing="0" w:after="0" w:afterAutospacing="0" w:line="222" w:lineRule="auto"/>
              <w:ind w:left="133" w:right="121" w:firstLine="4"/>
              <w:rPr>
                <w:rFonts w:hint="default"/>
              </w:rPr>
            </w:pPr>
            <w:r>
              <w:rPr>
                <w:rFonts w:hint="default"/>
                <w:spacing w:val="-7"/>
              </w:rPr>
              <w:t>公共</w:t>
            </w:r>
            <w:r>
              <w:rPr>
                <w:rFonts w:hint="default"/>
              </w:rPr>
              <w:t xml:space="preserve"> </w:t>
            </w:r>
            <w:r>
              <w:rPr>
                <w:rFonts w:hint="default"/>
                <w:spacing w:val="-5"/>
              </w:rPr>
              <w:t>建筑</w:t>
            </w:r>
          </w:p>
        </w:tc>
        <w:tc>
          <w:tcPr>
            <w:tcW w:w="667" w:type="dxa"/>
            <w:vAlign w:val="top"/>
          </w:tcPr>
          <w:p w14:paraId="0C277A76">
            <w:pPr>
              <w:pStyle w:val="22"/>
              <w:keepNext w:val="0"/>
              <w:keepLines w:val="0"/>
              <w:suppressLineNumbers w:val="0"/>
              <w:spacing w:before="166" w:beforeAutospacing="0" w:after="0" w:afterAutospacing="0" w:line="223" w:lineRule="auto"/>
              <w:ind w:left="132" w:right="0"/>
              <w:rPr>
                <w:rFonts w:hint="default"/>
              </w:rPr>
            </w:pPr>
            <w:r>
              <w:rPr>
                <w:rFonts w:hint="default"/>
                <w:spacing w:val="-3"/>
              </w:rPr>
              <w:t>二级</w:t>
            </w:r>
          </w:p>
        </w:tc>
        <w:tc>
          <w:tcPr>
            <w:tcW w:w="683" w:type="dxa"/>
            <w:vAlign w:val="top"/>
          </w:tcPr>
          <w:p w14:paraId="06029D2A">
            <w:pPr>
              <w:pStyle w:val="22"/>
              <w:keepNext w:val="0"/>
              <w:keepLines w:val="0"/>
              <w:suppressLineNumbers w:val="0"/>
              <w:spacing w:before="167"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752E6534">
            <w:pPr>
              <w:pStyle w:val="22"/>
              <w:keepNext w:val="0"/>
              <w:keepLines w:val="0"/>
              <w:suppressLineNumbers w:val="0"/>
              <w:spacing w:before="166" w:beforeAutospacing="0" w:after="0" w:afterAutospacing="0" w:line="226" w:lineRule="auto"/>
              <w:ind w:left="455" w:right="0"/>
              <w:rPr>
                <w:rFonts w:hint="default"/>
              </w:rPr>
            </w:pPr>
            <w:r>
              <w:rPr>
                <w:rFonts w:hint="default"/>
              </w:rPr>
              <w:t>/</w:t>
            </w:r>
          </w:p>
        </w:tc>
        <w:tc>
          <w:tcPr>
            <w:tcW w:w="854" w:type="dxa"/>
            <w:vAlign w:val="top"/>
          </w:tcPr>
          <w:p w14:paraId="22DECBED">
            <w:pPr>
              <w:pStyle w:val="22"/>
              <w:keepNext w:val="0"/>
              <w:keepLines w:val="0"/>
              <w:suppressLineNumbers w:val="0"/>
              <w:spacing w:before="202" w:beforeAutospacing="0" w:after="0" w:afterAutospacing="0" w:line="182" w:lineRule="auto"/>
              <w:ind w:left="383" w:right="0"/>
              <w:rPr>
                <w:rFonts w:hint="default"/>
              </w:rPr>
            </w:pPr>
            <w:r>
              <w:rPr>
                <w:rFonts w:hint="default"/>
              </w:rPr>
              <w:t>2</w:t>
            </w:r>
          </w:p>
        </w:tc>
        <w:tc>
          <w:tcPr>
            <w:tcW w:w="811" w:type="dxa"/>
            <w:vAlign w:val="top"/>
          </w:tcPr>
          <w:p w14:paraId="098BE0D6">
            <w:pPr>
              <w:pStyle w:val="22"/>
              <w:keepNext w:val="0"/>
              <w:keepLines w:val="0"/>
              <w:suppressLineNumbers w:val="0"/>
              <w:spacing w:before="202" w:beforeAutospacing="0" w:after="0" w:afterAutospacing="0" w:line="182" w:lineRule="auto"/>
              <w:ind w:left="363" w:right="0"/>
              <w:rPr>
                <w:rFonts w:hint="default"/>
              </w:rPr>
            </w:pPr>
            <w:r>
              <w:rPr>
                <w:rFonts w:hint="default"/>
              </w:rPr>
              <w:t>3</w:t>
            </w:r>
          </w:p>
        </w:tc>
      </w:tr>
      <w:tr w14:paraId="35F71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Align w:val="top"/>
          </w:tcPr>
          <w:p w14:paraId="6346C13A">
            <w:pPr>
              <w:pStyle w:val="22"/>
              <w:keepNext w:val="0"/>
              <w:keepLines w:val="0"/>
              <w:suppressLineNumbers w:val="0"/>
              <w:spacing w:before="201" w:beforeAutospacing="0" w:after="0" w:afterAutospacing="0" w:line="183" w:lineRule="auto"/>
              <w:ind w:left="78" w:right="0"/>
              <w:rPr>
                <w:rFonts w:hint="default"/>
              </w:rPr>
            </w:pPr>
            <w:r>
              <w:rPr>
                <w:rFonts w:hint="default"/>
                <w:spacing w:val="-6"/>
              </w:rPr>
              <w:t>11</w:t>
            </w:r>
          </w:p>
        </w:tc>
        <w:tc>
          <w:tcPr>
            <w:tcW w:w="787" w:type="dxa"/>
            <w:vAlign w:val="top"/>
          </w:tcPr>
          <w:p w14:paraId="19D3767A">
            <w:pPr>
              <w:pStyle w:val="22"/>
              <w:keepNext w:val="0"/>
              <w:keepLines w:val="0"/>
              <w:suppressLineNumbers w:val="0"/>
              <w:spacing w:before="167" w:beforeAutospacing="0" w:after="0" w:afterAutospacing="0" w:line="224" w:lineRule="auto"/>
              <w:ind w:left="95" w:right="0"/>
              <w:rPr>
                <w:rFonts w:hint="default"/>
              </w:rPr>
            </w:pPr>
            <w:r>
              <w:rPr>
                <w:rFonts w:hint="default"/>
                <w:spacing w:val="-6"/>
              </w:rPr>
              <w:t>1#门卫</w:t>
            </w:r>
          </w:p>
        </w:tc>
        <w:tc>
          <w:tcPr>
            <w:tcW w:w="952" w:type="dxa"/>
            <w:vAlign w:val="top"/>
          </w:tcPr>
          <w:p w14:paraId="07DC06A8">
            <w:pPr>
              <w:pStyle w:val="22"/>
              <w:keepNext w:val="0"/>
              <w:keepLines w:val="0"/>
              <w:suppressLineNumbers w:val="0"/>
              <w:spacing w:before="166" w:beforeAutospacing="0" w:after="0" w:afterAutospacing="0" w:line="221" w:lineRule="auto"/>
              <w:ind w:left="269" w:right="0"/>
              <w:rPr>
                <w:rFonts w:hint="default"/>
              </w:rPr>
            </w:pPr>
            <w:r>
              <w:rPr>
                <w:rFonts w:hint="default"/>
                <w:spacing w:val="-2"/>
              </w:rPr>
              <w:t>框架</w:t>
            </w:r>
          </w:p>
        </w:tc>
        <w:tc>
          <w:tcPr>
            <w:tcW w:w="924" w:type="dxa"/>
            <w:vAlign w:val="top"/>
          </w:tcPr>
          <w:p w14:paraId="1DCD6A3E">
            <w:pPr>
              <w:pStyle w:val="22"/>
              <w:keepNext w:val="0"/>
              <w:keepLines w:val="0"/>
              <w:suppressLineNumbers w:val="0"/>
              <w:spacing w:before="202" w:beforeAutospacing="0" w:after="0" w:afterAutospacing="0" w:line="182" w:lineRule="auto"/>
              <w:ind w:left="202" w:right="0"/>
              <w:rPr>
                <w:rFonts w:hint="default"/>
              </w:rPr>
            </w:pPr>
            <w:r>
              <w:rPr>
                <w:rFonts w:hint="default"/>
                <w:spacing w:val="-1"/>
              </w:rPr>
              <w:t>92.55</w:t>
            </w:r>
          </w:p>
        </w:tc>
        <w:tc>
          <w:tcPr>
            <w:tcW w:w="923" w:type="dxa"/>
            <w:vAlign w:val="top"/>
          </w:tcPr>
          <w:p w14:paraId="64BFBC2B">
            <w:pPr>
              <w:pStyle w:val="22"/>
              <w:keepNext w:val="0"/>
              <w:keepLines w:val="0"/>
              <w:suppressLineNumbers w:val="0"/>
              <w:spacing w:before="202" w:beforeAutospacing="0" w:after="0" w:afterAutospacing="0" w:line="182" w:lineRule="auto"/>
              <w:ind w:left="202" w:right="0"/>
              <w:rPr>
                <w:rFonts w:hint="default"/>
              </w:rPr>
            </w:pPr>
            <w:r>
              <w:rPr>
                <w:rFonts w:hint="default"/>
                <w:spacing w:val="-1"/>
              </w:rPr>
              <w:t>92.55</w:t>
            </w:r>
          </w:p>
        </w:tc>
        <w:tc>
          <w:tcPr>
            <w:tcW w:w="667" w:type="dxa"/>
            <w:vAlign w:val="top"/>
          </w:tcPr>
          <w:p w14:paraId="42C77FDA">
            <w:pPr>
              <w:pStyle w:val="22"/>
              <w:keepNext w:val="0"/>
              <w:keepLines w:val="0"/>
              <w:suppressLineNumbers w:val="0"/>
              <w:spacing w:before="201" w:beforeAutospacing="0" w:after="0" w:afterAutospacing="0" w:line="183" w:lineRule="auto"/>
              <w:ind w:left="299" w:right="0"/>
              <w:rPr>
                <w:rFonts w:hint="default"/>
              </w:rPr>
            </w:pPr>
            <w:r>
              <w:rPr>
                <w:rFonts w:hint="default"/>
              </w:rPr>
              <w:t>1</w:t>
            </w:r>
          </w:p>
        </w:tc>
        <w:tc>
          <w:tcPr>
            <w:tcW w:w="672" w:type="dxa"/>
            <w:vAlign w:val="top"/>
          </w:tcPr>
          <w:p w14:paraId="005D3F68">
            <w:pPr>
              <w:pStyle w:val="22"/>
              <w:keepNext w:val="0"/>
              <w:keepLines w:val="0"/>
              <w:suppressLineNumbers w:val="0"/>
              <w:spacing w:before="33" w:beforeAutospacing="0" w:after="0" w:afterAutospacing="0" w:line="220" w:lineRule="auto"/>
              <w:ind w:left="133" w:right="121" w:firstLine="4"/>
              <w:rPr>
                <w:rFonts w:hint="default"/>
              </w:rPr>
            </w:pPr>
            <w:r>
              <w:rPr>
                <w:rFonts w:hint="default"/>
                <w:spacing w:val="-7"/>
              </w:rPr>
              <w:t>公共</w:t>
            </w:r>
            <w:r>
              <w:rPr>
                <w:rFonts w:hint="default"/>
              </w:rPr>
              <w:t xml:space="preserve"> </w:t>
            </w:r>
            <w:r>
              <w:rPr>
                <w:rFonts w:hint="default"/>
                <w:spacing w:val="-5"/>
              </w:rPr>
              <w:t>建筑</w:t>
            </w:r>
          </w:p>
        </w:tc>
        <w:tc>
          <w:tcPr>
            <w:tcW w:w="667" w:type="dxa"/>
            <w:vAlign w:val="top"/>
          </w:tcPr>
          <w:p w14:paraId="3AD2A51A">
            <w:pPr>
              <w:pStyle w:val="22"/>
              <w:keepNext w:val="0"/>
              <w:keepLines w:val="0"/>
              <w:suppressLineNumbers w:val="0"/>
              <w:spacing w:before="167" w:beforeAutospacing="0" w:after="0" w:afterAutospacing="0" w:line="223" w:lineRule="auto"/>
              <w:ind w:left="132" w:right="0"/>
              <w:rPr>
                <w:rFonts w:hint="default"/>
              </w:rPr>
            </w:pPr>
            <w:r>
              <w:rPr>
                <w:rFonts w:hint="default"/>
                <w:spacing w:val="-3"/>
              </w:rPr>
              <w:t>二级</w:t>
            </w:r>
          </w:p>
        </w:tc>
        <w:tc>
          <w:tcPr>
            <w:tcW w:w="683" w:type="dxa"/>
            <w:vAlign w:val="top"/>
          </w:tcPr>
          <w:p w14:paraId="46E73D98">
            <w:pPr>
              <w:pStyle w:val="22"/>
              <w:keepNext w:val="0"/>
              <w:keepLines w:val="0"/>
              <w:suppressLineNumbers w:val="0"/>
              <w:spacing w:before="167"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6F1CDF77">
            <w:pPr>
              <w:pStyle w:val="22"/>
              <w:keepNext w:val="0"/>
              <w:keepLines w:val="0"/>
              <w:suppressLineNumbers w:val="0"/>
              <w:spacing w:before="166" w:beforeAutospacing="0" w:after="0" w:afterAutospacing="0" w:line="226" w:lineRule="auto"/>
              <w:ind w:left="455" w:right="0"/>
              <w:rPr>
                <w:rFonts w:hint="default"/>
              </w:rPr>
            </w:pPr>
            <w:r>
              <w:rPr>
                <w:rFonts w:hint="default"/>
              </w:rPr>
              <w:t>/</w:t>
            </w:r>
          </w:p>
        </w:tc>
        <w:tc>
          <w:tcPr>
            <w:tcW w:w="854" w:type="dxa"/>
            <w:vAlign w:val="top"/>
          </w:tcPr>
          <w:p w14:paraId="12B70B0D">
            <w:pPr>
              <w:pStyle w:val="22"/>
              <w:keepNext w:val="0"/>
              <w:keepLines w:val="0"/>
              <w:suppressLineNumbers w:val="0"/>
              <w:spacing w:before="202" w:beforeAutospacing="0" w:after="0" w:afterAutospacing="0" w:line="182" w:lineRule="auto"/>
              <w:ind w:left="384" w:right="0"/>
              <w:rPr>
                <w:rFonts w:hint="default"/>
              </w:rPr>
            </w:pPr>
            <w:r>
              <w:rPr>
                <w:rFonts w:hint="default"/>
              </w:rPr>
              <w:t>3</w:t>
            </w:r>
          </w:p>
        </w:tc>
        <w:tc>
          <w:tcPr>
            <w:tcW w:w="811" w:type="dxa"/>
            <w:vAlign w:val="top"/>
          </w:tcPr>
          <w:p w14:paraId="7A8E259C">
            <w:pPr>
              <w:pStyle w:val="22"/>
              <w:keepNext w:val="0"/>
              <w:keepLines w:val="0"/>
              <w:suppressLineNumbers w:val="0"/>
              <w:spacing w:before="201" w:beforeAutospacing="0" w:after="0" w:afterAutospacing="0" w:line="183" w:lineRule="auto"/>
              <w:ind w:left="374" w:right="0"/>
              <w:rPr>
                <w:rFonts w:hint="default"/>
              </w:rPr>
            </w:pPr>
            <w:r>
              <w:rPr>
                <w:rFonts w:hint="default"/>
              </w:rPr>
              <w:t>1</w:t>
            </w:r>
          </w:p>
        </w:tc>
      </w:tr>
      <w:tr w14:paraId="7EA81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55" w:type="dxa"/>
            <w:vAlign w:val="top"/>
          </w:tcPr>
          <w:p w14:paraId="4446D725">
            <w:pPr>
              <w:pStyle w:val="22"/>
              <w:keepNext w:val="0"/>
              <w:keepLines w:val="0"/>
              <w:suppressLineNumbers w:val="0"/>
              <w:spacing w:before="202" w:beforeAutospacing="0" w:after="0" w:afterAutospacing="0" w:line="183" w:lineRule="auto"/>
              <w:ind w:left="78" w:right="0"/>
              <w:rPr>
                <w:rFonts w:hint="default"/>
              </w:rPr>
            </w:pPr>
            <w:r>
              <w:rPr>
                <w:rFonts w:hint="default"/>
                <w:spacing w:val="-6"/>
              </w:rPr>
              <w:t>12</w:t>
            </w:r>
          </w:p>
        </w:tc>
        <w:tc>
          <w:tcPr>
            <w:tcW w:w="787" w:type="dxa"/>
            <w:vAlign w:val="top"/>
          </w:tcPr>
          <w:p w14:paraId="5FD60B5F">
            <w:pPr>
              <w:pStyle w:val="22"/>
              <w:keepNext w:val="0"/>
              <w:keepLines w:val="0"/>
              <w:suppressLineNumbers w:val="0"/>
              <w:spacing w:before="168" w:beforeAutospacing="0" w:after="0" w:afterAutospacing="0" w:line="224" w:lineRule="auto"/>
              <w:ind w:left="82" w:right="0"/>
              <w:rPr>
                <w:rFonts w:hint="default"/>
              </w:rPr>
            </w:pPr>
            <w:r>
              <w:rPr>
                <w:rFonts w:hint="default"/>
                <w:spacing w:val="-2"/>
              </w:rPr>
              <w:t>2#门卫</w:t>
            </w:r>
          </w:p>
        </w:tc>
        <w:tc>
          <w:tcPr>
            <w:tcW w:w="952" w:type="dxa"/>
            <w:vAlign w:val="top"/>
          </w:tcPr>
          <w:p w14:paraId="0B2DCD41">
            <w:pPr>
              <w:pStyle w:val="22"/>
              <w:keepNext w:val="0"/>
              <w:keepLines w:val="0"/>
              <w:suppressLineNumbers w:val="0"/>
              <w:spacing w:before="167" w:beforeAutospacing="0" w:after="0" w:afterAutospacing="0" w:line="221" w:lineRule="auto"/>
              <w:ind w:left="269" w:right="0"/>
              <w:rPr>
                <w:rFonts w:hint="default"/>
              </w:rPr>
            </w:pPr>
            <w:r>
              <w:rPr>
                <w:rFonts w:hint="default"/>
                <w:spacing w:val="-2"/>
              </w:rPr>
              <w:t>框架</w:t>
            </w:r>
          </w:p>
        </w:tc>
        <w:tc>
          <w:tcPr>
            <w:tcW w:w="924" w:type="dxa"/>
            <w:vAlign w:val="top"/>
          </w:tcPr>
          <w:p w14:paraId="5626EBA6">
            <w:pPr>
              <w:pStyle w:val="22"/>
              <w:keepNext w:val="0"/>
              <w:keepLines w:val="0"/>
              <w:suppressLineNumbers w:val="0"/>
              <w:spacing w:before="203" w:beforeAutospacing="0" w:after="0" w:afterAutospacing="0" w:line="182" w:lineRule="auto"/>
              <w:ind w:left="202" w:right="0"/>
              <w:rPr>
                <w:rFonts w:hint="default"/>
              </w:rPr>
            </w:pPr>
            <w:r>
              <w:rPr>
                <w:rFonts w:hint="default"/>
                <w:spacing w:val="-1"/>
              </w:rPr>
              <w:t>86.80</w:t>
            </w:r>
          </w:p>
        </w:tc>
        <w:tc>
          <w:tcPr>
            <w:tcW w:w="923" w:type="dxa"/>
            <w:vAlign w:val="top"/>
          </w:tcPr>
          <w:p w14:paraId="75F053C2">
            <w:pPr>
              <w:pStyle w:val="22"/>
              <w:keepNext w:val="0"/>
              <w:keepLines w:val="0"/>
              <w:suppressLineNumbers w:val="0"/>
              <w:spacing w:before="203" w:beforeAutospacing="0" w:after="0" w:afterAutospacing="0" w:line="182" w:lineRule="auto"/>
              <w:ind w:left="202" w:right="0"/>
              <w:rPr>
                <w:rFonts w:hint="default"/>
              </w:rPr>
            </w:pPr>
            <w:r>
              <w:rPr>
                <w:rFonts w:hint="default"/>
                <w:spacing w:val="-1"/>
              </w:rPr>
              <w:t>86.80</w:t>
            </w:r>
          </w:p>
        </w:tc>
        <w:tc>
          <w:tcPr>
            <w:tcW w:w="667" w:type="dxa"/>
            <w:vAlign w:val="top"/>
          </w:tcPr>
          <w:p w14:paraId="604AFF5D">
            <w:pPr>
              <w:pStyle w:val="22"/>
              <w:keepNext w:val="0"/>
              <w:keepLines w:val="0"/>
              <w:suppressLineNumbers w:val="0"/>
              <w:spacing w:before="202" w:beforeAutospacing="0" w:after="0" w:afterAutospacing="0" w:line="183" w:lineRule="auto"/>
              <w:ind w:left="299" w:right="0"/>
              <w:rPr>
                <w:rFonts w:hint="default"/>
              </w:rPr>
            </w:pPr>
            <w:r>
              <w:rPr>
                <w:rFonts w:hint="default"/>
              </w:rPr>
              <w:t>1</w:t>
            </w:r>
          </w:p>
        </w:tc>
        <w:tc>
          <w:tcPr>
            <w:tcW w:w="672" w:type="dxa"/>
            <w:vAlign w:val="top"/>
          </w:tcPr>
          <w:p w14:paraId="66E14CEE">
            <w:pPr>
              <w:pStyle w:val="22"/>
              <w:keepNext w:val="0"/>
              <w:keepLines w:val="0"/>
              <w:suppressLineNumbers w:val="0"/>
              <w:spacing w:before="32" w:beforeAutospacing="0" w:after="0" w:afterAutospacing="0" w:line="222" w:lineRule="auto"/>
              <w:ind w:left="133" w:right="121" w:firstLine="4"/>
              <w:rPr>
                <w:rFonts w:hint="default"/>
              </w:rPr>
            </w:pPr>
            <w:r>
              <w:rPr>
                <w:rFonts w:hint="default"/>
                <w:spacing w:val="-7"/>
              </w:rPr>
              <w:t>公共</w:t>
            </w:r>
            <w:r>
              <w:rPr>
                <w:rFonts w:hint="default"/>
              </w:rPr>
              <w:t xml:space="preserve"> </w:t>
            </w:r>
            <w:r>
              <w:rPr>
                <w:rFonts w:hint="default"/>
                <w:spacing w:val="-5"/>
              </w:rPr>
              <w:t>建筑</w:t>
            </w:r>
          </w:p>
        </w:tc>
        <w:tc>
          <w:tcPr>
            <w:tcW w:w="667" w:type="dxa"/>
            <w:vAlign w:val="top"/>
          </w:tcPr>
          <w:p w14:paraId="4FA40650">
            <w:pPr>
              <w:pStyle w:val="22"/>
              <w:keepNext w:val="0"/>
              <w:keepLines w:val="0"/>
              <w:suppressLineNumbers w:val="0"/>
              <w:spacing w:before="167" w:beforeAutospacing="0" w:after="0" w:afterAutospacing="0" w:line="223" w:lineRule="auto"/>
              <w:ind w:left="132" w:right="0"/>
              <w:rPr>
                <w:rFonts w:hint="default"/>
              </w:rPr>
            </w:pPr>
            <w:r>
              <w:rPr>
                <w:rFonts w:hint="default"/>
                <w:spacing w:val="-3"/>
              </w:rPr>
              <w:t>二级</w:t>
            </w:r>
          </w:p>
        </w:tc>
        <w:tc>
          <w:tcPr>
            <w:tcW w:w="683" w:type="dxa"/>
            <w:vAlign w:val="top"/>
          </w:tcPr>
          <w:p w14:paraId="4F56B2B4">
            <w:pPr>
              <w:pStyle w:val="22"/>
              <w:keepNext w:val="0"/>
              <w:keepLines w:val="0"/>
              <w:suppressLineNumbers w:val="0"/>
              <w:spacing w:before="168" w:beforeAutospacing="0" w:after="0" w:afterAutospacing="0" w:line="221" w:lineRule="auto"/>
              <w:ind w:left="166" w:right="0"/>
              <w:rPr>
                <w:rFonts w:hint="default"/>
              </w:rPr>
            </w:pPr>
            <w:r>
              <w:rPr>
                <w:rFonts w:hint="default"/>
                <w:spacing w:val="-5"/>
              </w:rPr>
              <w:t>6</w:t>
            </w:r>
            <w:r>
              <w:rPr>
                <w:rFonts w:hint="default"/>
                <w:spacing w:val="-45"/>
              </w:rPr>
              <w:t xml:space="preserve"> </w:t>
            </w:r>
            <w:r>
              <w:rPr>
                <w:rFonts w:hint="default"/>
                <w:spacing w:val="-5"/>
              </w:rPr>
              <w:t>度</w:t>
            </w:r>
          </w:p>
        </w:tc>
        <w:tc>
          <w:tcPr>
            <w:tcW w:w="1003" w:type="dxa"/>
            <w:vAlign w:val="top"/>
          </w:tcPr>
          <w:p w14:paraId="33699BBB">
            <w:pPr>
              <w:pStyle w:val="22"/>
              <w:keepNext w:val="0"/>
              <w:keepLines w:val="0"/>
              <w:suppressLineNumbers w:val="0"/>
              <w:spacing w:before="167" w:beforeAutospacing="0" w:after="0" w:afterAutospacing="0" w:line="226" w:lineRule="auto"/>
              <w:ind w:left="455" w:right="0"/>
              <w:rPr>
                <w:rFonts w:hint="default"/>
              </w:rPr>
            </w:pPr>
            <w:r>
              <w:rPr>
                <w:rFonts w:hint="default"/>
              </w:rPr>
              <w:t>/</w:t>
            </w:r>
          </w:p>
        </w:tc>
        <w:tc>
          <w:tcPr>
            <w:tcW w:w="854" w:type="dxa"/>
            <w:vAlign w:val="top"/>
          </w:tcPr>
          <w:p w14:paraId="2C0D52D5">
            <w:pPr>
              <w:pStyle w:val="22"/>
              <w:keepNext w:val="0"/>
              <w:keepLines w:val="0"/>
              <w:suppressLineNumbers w:val="0"/>
              <w:spacing w:before="203" w:beforeAutospacing="0" w:after="0" w:afterAutospacing="0" w:line="182" w:lineRule="auto"/>
              <w:ind w:left="383" w:right="0"/>
              <w:rPr>
                <w:rFonts w:hint="default"/>
              </w:rPr>
            </w:pPr>
            <w:r>
              <w:rPr>
                <w:rFonts w:hint="default"/>
              </w:rPr>
              <w:t>2</w:t>
            </w:r>
          </w:p>
        </w:tc>
        <w:tc>
          <w:tcPr>
            <w:tcW w:w="811" w:type="dxa"/>
            <w:vAlign w:val="top"/>
          </w:tcPr>
          <w:p w14:paraId="00C783F1">
            <w:pPr>
              <w:pStyle w:val="22"/>
              <w:keepNext w:val="0"/>
              <w:keepLines w:val="0"/>
              <w:suppressLineNumbers w:val="0"/>
              <w:spacing w:before="202" w:beforeAutospacing="0" w:after="0" w:afterAutospacing="0" w:line="183" w:lineRule="auto"/>
              <w:ind w:left="374" w:right="0"/>
              <w:rPr>
                <w:rFonts w:hint="default"/>
              </w:rPr>
            </w:pPr>
            <w:r>
              <w:rPr>
                <w:rFonts w:hint="default"/>
              </w:rPr>
              <w:t>1</w:t>
            </w:r>
          </w:p>
        </w:tc>
      </w:tr>
    </w:tbl>
    <w:p w14:paraId="5BFCC3E9">
      <w:pPr>
        <w:widowControl/>
        <w:numPr>
          <w:ilvl w:val="0"/>
          <w:numId w:val="0"/>
        </w:numPr>
        <w:spacing w:line="540" w:lineRule="exact"/>
        <w:ind w:leftChars="0"/>
        <w:rPr>
          <w:rFonts w:hint="default" w:ascii="宋体" w:hAnsi="宋体" w:eastAsiaTheme="minorEastAsia"/>
          <w:b/>
          <w:bCs/>
          <w:kern w:val="0"/>
          <w:sz w:val="28"/>
          <w:szCs w:val="28"/>
          <w:lang w:val="en-US" w:eastAsia="zh-CN"/>
        </w:rPr>
      </w:pPr>
    </w:p>
    <w:p w14:paraId="4E54E2E3">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产品方案</w:t>
      </w:r>
    </w:p>
    <w:p w14:paraId="589B3CFC">
      <w:pPr>
        <w:spacing w:before="91" w:line="219" w:lineRule="auto"/>
        <w:ind w:left="655"/>
        <w:rPr>
          <w:rFonts w:ascii="宋体" w:hAnsi="宋体" w:eastAsia="宋体" w:cs="宋体"/>
          <w:sz w:val="28"/>
          <w:szCs w:val="28"/>
        </w:rPr>
      </w:pPr>
      <w:r>
        <w:rPr>
          <w:rFonts w:ascii="宋体" w:hAnsi="宋体" w:eastAsia="宋体" w:cs="宋体"/>
          <w:sz w:val="28"/>
          <w:szCs w:val="28"/>
        </w:rPr>
        <w:t xml:space="preserve">  建设项目涉及的主要原辅材料和产</w:t>
      </w:r>
      <w:r>
        <w:rPr>
          <w:rFonts w:ascii="宋体" w:hAnsi="宋体" w:eastAsia="宋体" w:cs="宋体"/>
          <w:spacing w:val="-1"/>
          <w:sz w:val="28"/>
          <w:szCs w:val="28"/>
        </w:rPr>
        <w:t>品名称及最大储存量</w:t>
      </w:r>
    </w:p>
    <w:p w14:paraId="58869E00">
      <w:pPr>
        <w:spacing w:line="174" w:lineRule="exact"/>
      </w:pPr>
    </w:p>
    <w:tbl>
      <w:tblPr>
        <w:tblStyle w:val="21"/>
        <w:tblW w:w="9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1"/>
        <w:gridCol w:w="1162"/>
        <w:gridCol w:w="1"/>
        <w:gridCol w:w="933"/>
        <w:gridCol w:w="468"/>
        <w:gridCol w:w="1055"/>
        <w:gridCol w:w="1396"/>
        <w:gridCol w:w="1"/>
        <w:gridCol w:w="817"/>
        <w:gridCol w:w="1"/>
        <w:gridCol w:w="711"/>
        <w:gridCol w:w="1"/>
        <w:gridCol w:w="628"/>
        <w:gridCol w:w="1"/>
        <w:gridCol w:w="702"/>
        <w:gridCol w:w="1"/>
        <w:gridCol w:w="1057"/>
        <w:gridCol w:w="1"/>
      </w:tblGrid>
      <w:tr w14:paraId="613FA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098" w:hRule="atLeast"/>
        </w:trPr>
        <w:tc>
          <w:tcPr>
            <w:tcW w:w="470" w:type="dxa"/>
            <w:textDirection w:val="tbRlV"/>
            <w:vAlign w:val="top"/>
          </w:tcPr>
          <w:p w14:paraId="25453266">
            <w:pPr>
              <w:pStyle w:val="22"/>
              <w:keepNext w:val="0"/>
              <w:keepLines w:val="0"/>
              <w:suppressLineNumbers w:val="0"/>
              <w:spacing w:before="126" w:beforeAutospacing="0" w:after="0" w:afterAutospacing="0" w:line="211" w:lineRule="auto"/>
              <w:ind w:left="307" w:right="0"/>
              <w:rPr>
                <w:rFonts w:hint="default"/>
              </w:rPr>
            </w:pPr>
            <w:r>
              <w:rPr>
                <w:rFonts w:hint="default"/>
                <w:spacing w:val="31"/>
              </w:rPr>
              <w:t>序号</w:t>
            </w:r>
          </w:p>
        </w:tc>
        <w:tc>
          <w:tcPr>
            <w:tcW w:w="1163" w:type="dxa"/>
            <w:gridSpan w:val="2"/>
            <w:vAlign w:val="top"/>
          </w:tcPr>
          <w:p w14:paraId="4E37AF12">
            <w:pPr>
              <w:pStyle w:val="22"/>
              <w:keepNext w:val="0"/>
              <w:keepLines w:val="0"/>
              <w:suppressLineNumbers w:val="0"/>
              <w:spacing w:before="309" w:beforeAutospacing="0" w:after="0" w:afterAutospacing="0" w:line="229" w:lineRule="auto"/>
              <w:ind w:left="475" w:right="161" w:hanging="311"/>
              <w:rPr>
                <w:rFonts w:hint="default"/>
              </w:rPr>
            </w:pPr>
            <w:r>
              <w:rPr>
                <w:rFonts w:hint="default"/>
                <w:spacing w:val="-3"/>
              </w:rPr>
              <w:t>名称及规</w:t>
            </w:r>
            <w:r>
              <w:rPr>
                <w:rFonts w:hint="default"/>
                <w:spacing w:val="2"/>
              </w:rPr>
              <w:t xml:space="preserve"> </w:t>
            </w:r>
            <w:r>
              <w:rPr>
                <w:rFonts w:hint="default"/>
              </w:rPr>
              <w:t>格</w:t>
            </w:r>
          </w:p>
        </w:tc>
        <w:tc>
          <w:tcPr>
            <w:tcW w:w="934" w:type="dxa"/>
            <w:gridSpan w:val="2"/>
            <w:vAlign w:val="top"/>
          </w:tcPr>
          <w:p w14:paraId="1502297D">
            <w:pPr>
              <w:pStyle w:val="22"/>
              <w:keepNext w:val="0"/>
              <w:keepLines w:val="0"/>
              <w:suppressLineNumbers w:val="0"/>
              <w:spacing w:before="307" w:beforeAutospacing="0" w:after="0" w:afterAutospacing="0" w:line="236" w:lineRule="auto"/>
              <w:ind w:left="214" w:right="215" w:firstLine="47"/>
              <w:rPr>
                <w:rFonts w:hint="default"/>
              </w:rPr>
            </w:pPr>
            <w:r>
              <w:rPr>
                <w:rFonts w:hint="default"/>
                <w:spacing w:val="-4"/>
              </w:rPr>
              <w:t>规格</w:t>
            </w:r>
            <w:r>
              <w:rPr>
                <w:rFonts w:hint="default"/>
              </w:rPr>
              <w:t xml:space="preserve"> </w:t>
            </w:r>
            <w:r>
              <w:rPr>
                <w:rFonts w:hint="default"/>
                <w:spacing w:val="-9"/>
              </w:rPr>
              <w:t>（%）</w:t>
            </w:r>
          </w:p>
        </w:tc>
        <w:tc>
          <w:tcPr>
            <w:tcW w:w="468" w:type="dxa"/>
            <w:textDirection w:val="tbRlV"/>
            <w:vAlign w:val="top"/>
          </w:tcPr>
          <w:p w14:paraId="7BDE1203">
            <w:pPr>
              <w:pStyle w:val="22"/>
              <w:keepNext w:val="0"/>
              <w:keepLines w:val="0"/>
              <w:suppressLineNumbers w:val="0"/>
              <w:spacing w:before="127" w:beforeAutospacing="0" w:after="0" w:afterAutospacing="0" w:line="211" w:lineRule="auto"/>
              <w:ind w:left="307" w:right="0"/>
              <w:rPr>
                <w:rFonts w:hint="default"/>
              </w:rPr>
            </w:pPr>
            <w:r>
              <w:rPr>
                <w:rFonts w:hint="default"/>
                <w:spacing w:val="31"/>
              </w:rPr>
              <w:t>形态</w:t>
            </w:r>
          </w:p>
        </w:tc>
        <w:tc>
          <w:tcPr>
            <w:tcW w:w="1055" w:type="dxa"/>
            <w:vAlign w:val="top"/>
          </w:tcPr>
          <w:p w14:paraId="33B2182F">
            <w:pPr>
              <w:pStyle w:val="22"/>
              <w:keepNext w:val="0"/>
              <w:keepLines w:val="0"/>
              <w:suppressLineNumbers w:val="0"/>
              <w:spacing w:before="169" w:beforeAutospacing="0" w:after="0" w:afterAutospacing="0" w:line="234" w:lineRule="auto"/>
              <w:ind w:left="215" w:right="208" w:firstLine="2"/>
              <w:jc w:val="both"/>
              <w:rPr>
                <w:rFonts w:hint="default"/>
              </w:rPr>
            </w:pPr>
            <w:r>
              <w:rPr>
                <w:rFonts w:hint="default"/>
                <w:spacing w:val="-3"/>
              </w:rPr>
              <w:t>危险品</w:t>
            </w:r>
            <w:r>
              <w:rPr>
                <w:rFonts w:hint="default"/>
              </w:rPr>
              <w:t xml:space="preserve"> </w:t>
            </w:r>
            <w:r>
              <w:rPr>
                <w:rFonts w:hint="default"/>
                <w:spacing w:val="-2"/>
              </w:rPr>
              <w:t>运输编</w:t>
            </w:r>
            <w:r>
              <w:rPr>
                <w:rFonts w:hint="default"/>
              </w:rPr>
              <w:t xml:space="preserve"> </w:t>
            </w:r>
            <w:r>
              <w:rPr>
                <w:rFonts w:hint="default"/>
                <w:spacing w:val="44"/>
              </w:rPr>
              <w:t>号</w:t>
            </w:r>
            <w:r>
              <w:rPr>
                <w:rFonts w:hint="default"/>
                <w:spacing w:val="3"/>
              </w:rPr>
              <w:t xml:space="preserve"> </w:t>
            </w:r>
            <w:r>
              <w:rPr>
                <w:rFonts w:hint="default"/>
              </w:rPr>
              <w:t>UN</w:t>
            </w:r>
          </w:p>
        </w:tc>
        <w:tc>
          <w:tcPr>
            <w:tcW w:w="1396" w:type="dxa"/>
            <w:vAlign w:val="top"/>
          </w:tcPr>
          <w:p w14:paraId="51A45702">
            <w:pPr>
              <w:pStyle w:val="22"/>
              <w:keepNext w:val="0"/>
              <w:keepLines w:val="0"/>
              <w:suppressLineNumbers w:val="0"/>
              <w:spacing w:before="308" w:beforeAutospacing="0" w:after="0" w:afterAutospacing="0" w:line="232" w:lineRule="auto"/>
              <w:ind w:left="228" w:right="116" w:hanging="102"/>
              <w:rPr>
                <w:rFonts w:hint="default"/>
              </w:rPr>
            </w:pPr>
            <w:r>
              <w:rPr>
                <w:rFonts w:hint="default"/>
                <w:spacing w:val="-2"/>
              </w:rPr>
              <w:t>年产量/消耗</w:t>
            </w:r>
            <w:r>
              <w:rPr>
                <w:rFonts w:hint="default"/>
                <w:spacing w:val="4"/>
              </w:rPr>
              <w:t xml:space="preserve"> </w:t>
            </w:r>
            <w:r>
              <w:rPr>
                <w:rFonts w:hint="default"/>
                <w:spacing w:val="-2"/>
              </w:rPr>
              <w:t>量（t/a）</w:t>
            </w:r>
          </w:p>
        </w:tc>
        <w:tc>
          <w:tcPr>
            <w:tcW w:w="818" w:type="dxa"/>
            <w:gridSpan w:val="2"/>
            <w:vAlign w:val="top"/>
          </w:tcPr>
          <w:p w14:paraId="0F20C9EE">
            <w:pPr>
              <w:pStyle w:val="22"/>
              <w:keepNext w:val="0"/>
              <w:keepLines w:val="0"/>
              <w:suppressLineNumbers w:val="0"/>
              <w:spacing w:before="171" w:beforeAutospacing="0" w:after="0" w:afterAutospacing="0" w:line="235" w:lineRule="auto"/>
              <w:ind w:left="114" w:right="10" w:firstLine="93"/>
              <w:jc w:val="both"/>
              <w:rPr>
                <w:rFonts w:hint="default"/>
              </w:rPr>
            </w:pPr>
            <w:r>
              <w:rPr>
                <w:rFonts w:hint="default"/>
                <w:spacing w:val="-5"/>
              </w:rPr>
              <w:t>最大</w:t>
            </w:r>
            <w:r>
              <w:rPr>
                <w:rFonts w:hint="default"/>
              </w:rPr>
              <w:t xml:space="preserve">  </w:t>
            </w:r>
            <w:r>
              <w:rPr>
                <w:rFonts w:hint="default"/>
                <w:spacing w:val="42"/>
              </w:rPr>
              <w:t>储存</w:t>
            </w:r>
            <w:r>
              <w:rPr>
                <w:rFonts w:hint="default"/>
              </w:rPr>
              <w:t xml:space="preserve">  </w:t>
            </w:r>
            <w:r>
              <w:rPr>
                <w:rFonts w:hint="default"/>
                <w:spacing w:val="-12"/>
              </w:rPr>
              <w:t>量（t）</w:t>
            </w:r>
          </w:p>
        </w:tc>
        <w:tc>
          <w:tcPr>
            <w:tcW w:w="712" w:type="dxa"/>
            <w:gridSpan w:val="2"/>
            <w:vAlign w:val="top"/>
          </w:tcPr>
          <w:p w14:paraId="4A23ECE3">
            <w:pPr>
              <w:pStyle w:val="22"/>
              <w:keepNext w:val="0"/>
              <w:keepLines w:val="0"/>
              <w:suppressLineNumbers w:val="0"/>
              <w:spacing w:before="307" w:beforeAutospacing="0" w:after="0" w:afterAutospacing="0" w:line="232" w:lineRule="auto"/>
              <w:ind w:left="150" w:right="141"/>
              <w:rPr>
                <w:rFonts w:hint="default"/>
              </w:rPr>
            </w:pPr>
            <w:r>
              <w:rPr>
                <w:rFonts w:hint="default"/>
                <w:spacing w:val="-3"/>
              </w:rPr>
              <w:t>储存</w:t>
            </w:r>
            <w:r>
              <w:rPr>
                <w:rFonts w:hint="default"/>
              </w:rPr>
              <w:t xml:space="preserve"> </w:t>
            </w:r>
            <w:r>
              <w:rPr>
                <w:rFonts w:hint="default"/>
                <w:spacing w:val="-3"/>
              </w:rPr>
              <w:t>地点</w:t>
            </w:r>
          </w:p>
        </w:tc>
        <w:tc>
          <w:tcPr>
            <w:tcW w:w="629" w:type="dxa"/>
            <w:gridSpan w:val="2"/>
            <w:textDirection w:val="tbRlV"/>
            <w:vAlign w:val="top"/>
          </w:tcPr>
          <w:p w14:paraId="1AC8BAC4">
            <w:pPr>
              <w:pStyle w:val="22"/>
              <w:keepNext w:val="0"/>
              <w:keepLines w:val="0"/>
              <w:suppressLineNumbers w:val="0"/>
              <w:spacing w:before="205" w:beforeAutospacing="0" w:after="0" w:afterAutospacing="0" w:line="210" w:lineRule="auto"/>
              <w:ind w:left="34" w:right="0"/>
              <w:rPr>
                <w:rFonts w:hint="default"/>
              </w:rPr>
            </w:pPr>
            <w:r>
              <w:rPr>
                <w:rFonts w:hint="default"/>
                <w:spacing w:val="1"/>
              </w:rPr>
              <w:t>储</w:t>
            </w:r>
            <w:r>
              <w:rPr>
                <w:rFonts w:hint="default"/>
                <w:spacing w:val="-43"/>
              </w:rPr>
              <w:t xml:space="preserve"> </w:t>
            </w:r>
            <w:r>
              <w:rPr>
                <w:rFonts w:hint="default"/>
                <w:spacing w:val="1"/>
              </w:rPr>
              <w:t>存</w:t>
            </w:r>
            <w:r>
              <w:rPr>
                <w:rFonts w:hint="default"/>
                <w:spacing w:val="-45"/>
              </w:rPr>
              <w:t xml:space="preserve"> </w:t>
            </w:r>
            <w:r>
              <w:rPr>
                <w:rFonts w:hint="default"/>
                <w:spacing w:val="1"/>
              </w:rPr>
              <w:t>方</w:t>
            </w:r>
            <w:r>
              <w:rPr>
                <w:rFonts w:hint="default"/>
                <w:spacing w:val="-43"/>
              </w:rPr>
              <w:t xml:space="preserve"> </w:t>
            </w:r>
            <w:r>
              <w:rPr>
                <w:rFonts w:hint="default"/>
                <w:spacing w:val="1"/>
              </w:rPr>
              <w:t>式</w:t>
            </w:r>
          </w:p>
        </w:tc>
        <w:tc>
          <w:tcPr>
            <w:tcW w:w="703" w:type="dxa"/>
            <w:gridSpan w:val="2"/>
            <w:vAlign w:val="top"/>
          </w:tcPr>
          <w:p w14:paraId="183DD27D">
            <w:pPr>
              <w:pStyle w:val="22"/>
              <w:keepNext w:val="0"/>
              <w:keepLines w:val="0"/>
              <w:suppressLineNumbers w:val="0"/>
              <w:spacing w:before="308" w:beforeAutospacing="0" w:after="0" w:afterAutospacing="0" w:line="230" w:lineRule="auto"/>
              <w:ind w:left="150" w:right="133"/>
              <w:rPr>
                <w:rFonts w:hint="default"/>
              </w:rPr>
            </w:pPr>
            <w:r>
              <w:rPr>
                <w:rFonts w:hint="default"/>
                <w:spacing w:val="-3"/>
              </w:rPr>
              <w:t>运输</w:t>
            </w:r>
            <w:r>
              <w:rPr>
                <w:rFonts w:hint="default"/>
              </w:rPr>
              <w:t xml:space="preserve"> </w:t>
            </w:r>
            <w:r>
              <w:rPr>
                <w:rFonts w:hint="default"/>
                <w:spacing w:val="-4"/>
              </w:rPr>
              <w:t>方式</w:t>
            </w:r>
          </w:p>
        </w:tc>
        <w:tc>
          <w:tcPr>
            <w:tcW w:w="1058" w:type="dxa"/>
            <w:gridSpan w:val="2"/>
            <w:vAlign w:val="top"/>
          </w:tcPr>
          <w:p w14:paraId="6A7E3CBF">
            <w:pPr>
              <w:keepNext w:val="0"/>
              <w:keepLines w:val="0"/>
              <w:suppressLineNumbers w:val="0"/>
              <w:spacing w:before="0" w:beforeAutospacing="0" w:after="0" w:afterAutospacing="0" w:line="374" w:lineRule="auto"/>
              <w:ind w:left="0" w:right="0"/>
              <w:rPr>
                <w:rFonts w:hint="default" w:ascii="Arial"/>
                <w:sz w:val="21"/>
              </w:rPr>
            </w:pPr>
          </w:p>
          <w:p w14:paraId="4E74539A">
            <w:pPr>
              <w:pStyle w:val="22"/>
              <w:keepNext w:val="0"/>
              <w:keepLines w:val="0"/>
              <w:suppressLineNumbers w:val="0"/>
              <w:spacing w:before="68" w:beforeAutospacing="0" w:after="0" w:afterAutospacing="0" w:line="222" w:lineRule="auto"/>
              <w:ind w:left="328" w:right="0"/>
              <w:rPr>
                <w:rFonts w:hint="default"/>
              </w:rPr>
            </w:pPr>
            <w:r>
              <w:rPr>
                <w:rFonts w:hint="default"/>
                <w:spacing w:val="-3"/>
              </w:rPr>
              <w:t>备注</w:t>
            </w:r>
          </w:p>
        </w:tc>
      </w:tr>
      <w:tr w14:paraId="2F6B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3" w:hRule="atLeast"/>
        </w:trPr>
        <w:tc>
          <w:tcPr>
            <w:tcW w:w="470" w:type="dxa"/>
            <w:vAlign w:val="top"/>
          </w:tcPr>
          <w:p w14:paraId="1F541B30">
            <w:pPr>
              <w:keepNext w:val="0"/>
              <w:keepLines w:val="0"/>
              <w:suppressLineNumbers w:val="0"/>
              <w:spacing w:before="0" w:beforeAutospacing="0" w:after="0" w:afterAutospacing="0" w:line="313" w:lineRule="auto"/>
              <w:ind w:left="0" w:right="0"/>
              <w:rPr>
                <w:rFonts w:hint="default" w:ascii="Arial"/>
                <w:sz w:val="21"/>
              </w:rPr>
            </w:pPr>
          </w:p>
          <w:p w14:paraId="6F9B5650">
            <w:pPr>
              <w:pStyle w:val="22"/>
              <w:keepNext w:val="0"/>
              <w:keepLines w:val="0"/>
              <w:suppressLineNumbers w:val="0"/>
              <w:spacing w:before="68" w:beforeAutospacing="0" w:after="0" w:afterAutospacing="0" w:line="163" w:lineRule="exact"/>
              <w:ind w:left="138" w:right="0"/>
              <w:rPr>
                <w:rFonts w:hint="default"/>
              </w:rPr>
            </w:pPr>
            <w:r>
              <w:rPr>
                <w:rFonts w:hint="default"/>
                <w:position w:val="-4"/>
              </w:rPr>
              <w:t>一</w:t>
            </w:r>
          </w:p>
        </w:tc>
        <w:tc>
          <w:tcPr>
            <w:tcW w:w="1163" w:type="dxa"/>
            <w:gridSpan w:val="2"/>
            <w:vAlign w:val="top"/>
          </w:tcPr>
          <w:p w14:paraId="207E8EC1">
            <w:pPr>
              <w:pStyle w:val="22"/>
              <w:keepNext w:val="0"/>
              <w:keepLines w:val="0"/>
              <w:suppressLineNumbers w:val="0"/>
              <w:spacing w:before="32" w:beforeAutospacing="0" w:after="0" w:afterAutospacing="0" w:line="226" w:lineRule="auto"/>
              <w:ind w:left="177" w:right="0"/>
              <w:rPr>
                <w:rFonts w:hint="default"/>
              </w:rPr>
            </w:pPr>
            <w:r>
              <w:rPr>
                <w:rFonts w:hint="default"/>
                <w:spacing w:val="-3"/>
              </w:rPr>
              <w:t>15000t/a</w:t>
            </w:r>
          </w:p>
          <w:p w14:paraId="47FE85E8">
            <w:pPr>
              <w:pStyle w:val="22"/>
              <w:keepNext w:val="0"/>
              <w:keepLines w:val="0"/>
              <w:suppressLineNumbers w:val="0"/>
              <w:spacing w:before="14" w:beforeAutospacing="0" w:after="0" w:afterAutospacing="0" w:line="221" w:lineRule="auto"/>
              <w:ind w:left="186" w:right="0"/>
              <w:rPr>
                <w:rFonts w:hint="default"/>
              </w:rPr>
            </w:pPr>
            <w:r>
              <w:rPr>
                <w:rFonts w:hint="default"/>
                <w:spacing w:val="-8"/>
              </w:rPr>
              <w:t>电子级双</w:t>
            </w:r>
          </w:p>
          <w:p w14:paraId="5774B123">
            <w:pPr>
              <w:pStyle w:val="22"/>
              <w:keepNext w:val="0"/>
              <w:keepLines w:val="0"/>
              <w:suppressLineNumbers w:val="0"/>
              <w:spacing w:before="19" w:beforeAutospacing="0" w:after="0" w:afterAutospacing="0" w:line="209" w:lineRule="auto"/>
              <w:ind w:left="374" w:right="0"/>
              <w:rPr>
                <w:rFonts w:hint="default"/>
              </w:rPr>
            </w:pPr>
            <w:r>
              <w:rPr>
                <w:rFonts w:hint="default"/>
                <w:spacing w:val="-2"/>
              </w:rPr>
              <w:t>氧水</w:t>
            </w:r>
          </w:p>
        </w:tc>
        <w:tc>
          <w:tcPr>
            <w:tcW w:w="934" w:type="dxa"/>
            <w:gridSpan w:val="2"/>
            <w:vAlign w:val="top"/>
          </w:tcPr>
          <w:p w14:paraId="435FE0FC">
            <w:pPr>
              <w:keepNext w:val="0"/>
              <w:keepLines w:val="0"/>
              <w:suppressLineNumbers w:val="0"/>
              <w:spacing w:before="0" w:beforeAutospacing="0" w:after="0" w:afterAutospacing="0" w:line="268" w:lineRule="auto"/>
              <w:ind w:left="0" w:right="0"/>
              <w:rPr>
                <w:rFonts w:hint="default" w:ascii="Arial"/>
                <w:sz w:val="21"/>
              </w:rPr>
            </w:pPr>
          </w:p>
          <w:p w14:paraId="514B61BD">
            <w:pPr>
              <w:pStyle w:val="22"/>
              <w:keepNext w:val="0"/>
              <w:keepLines w:val="0"/>
              <w:suppressLineNumbers w:val="0"/>
              <w:spacing w:before="68" w:beforeAutospacing="0" w:after="0" w:afterAutospacing="0" w:line="183" w:lineRule="auto"/>
              <w:ind w:left="368" w:right="0"/>
              <w:rPr>
                <w:rFonts w:hint="default"/>
              </w:rPr>
            </w:pPr>
            <w:r>
              <w:rPr>
                <w:rFonts w:hint="default"/>
                <w:spacing w:val="-3"/>
              </w:rPr>
              <w:t>31</w:t>
            </w:r>
          </w:p>
        </w:tc>
        <w:tc>
          <w:tcPr>
            <w:tcW w:w="468" w:type="dxa"/>
            <w:vAlign w:val="top"/>
          </w:tcPr>
          <w:p w14:paraId="5D71CE9C">
            <w:pPr>
              <w:pStyle w:val="22"/>
              <w:keepNext w:val="0"/>
              <w:keepLines w:val="0"/>
              <w:suppressLineNumbers w:val="0"/>
              <w:spacing w:before="304" w:beforeAutospacing="0" w:after="0" w:afterAutospacing="0" w:line="221" w:lineRule="auto"/>
              <w:ind w:left="133" w:right="0"/>
              <w:rPr>
                <w:rFonts w:hint="default"/>
              </w:rPr>
            </w:pPr>
            <w:r>
              <w:rPr>
                <w:rFonts w:hint="default"/>
              </w:rPr>
              <w:t>液</w:t>
            </w:r>
          </w:p>
        </w:tc>
        <w:tc>
          <w:tcPr>
            <w:tcW w:w="1055" w:type="dxa"/>
            <w:vAlign w:val="top"/>
          </w:tcPr>
          <w:p w14:paraId="46E18131">
            <w:pPr>
              <w:keepNext w:val="0"/>
              <w:keepLines w:val="0"/>
              <w:suppressLineNumbers w:val="0"/>
              <w:spacing w:before="0" w:beforeAutospacing="0" w:after="0" w:afterAutospacing="0" w:line="268" w:lineRule="auto"/>
              <w:ind w:left="0" w:right="0"/>
              <w:rPr>
                <w:rFonts w:hint="default" w:ascii="Arial"/>
                <w:sz w:val="21"/>
              </w:rPr>
            </w:pPr>
          </w:p>
          <w:p w14:paraId="108C9C60">
            <w:pPr>
              <w:pStyle w:val="22"/>
              <w:keepNext w:val="0"/>
              <w:keepLines w:val="0"/>
              <w:suppressLineNumbers w:val="0"/>
              <w:spacing w:before="68" w:beforeAutospacing="0" w:after="0" w:afterAutospacing="0" w:line="183" w:lineRule="auto"/>
              <w:ind w:left="324" w:right="0"/>
              <w:rPr>
                <w:rFonts w:hint="default"/>
              </w:rPr>
            </w:pPr>
            <w:r>
              <w:rPr>
                <w:rFonts w:hint="default"/>
                <w:spacing w:val="-2"/>
              </w:rPr>
              <w:t>2014</w:t>
            </w:r>
          </w:p>
        </w:tc>
        <w:tc>
          <w:tcPr>
            <w:tcW w:w="1396" w:type="dxa"/>
            <w:vAlign w:val="top"/>
          </w:tcPr>
          <w:p w14:paraId="66E1656A">
            <w:pPr>
              <w:keepNext w:val="0"/>
              <w:keepLines w:val="0"/>
              <w:suppressLineNumbers w:val="0"/>
              <w:spacing w:before="0" w:beforeAutospacing="0" w:after="0" w:afterAutospacing="0" w:line="268" w:lineRule="auto"/>
              <w:ind w:left="0" w:right="0"/>
              <w:rPr>
                <w:rFonts w:hint="default" w:ascii="Arial"/>
                <w:sz w:val="21"/>
              </w:rPr>
            </w:pPr>
          </w:p>
          <w:p w14:paraId="36E63624">
            <w:pPr>
              <w:pStyle w:val="22"/>
              <w:keepNext w:val="0"/>
              <w:keepLines w:val="0"/>
              <w:suppressLineNumbers w:val="0"/>
              <w:spacing w:before="68" w:beforeAutospacing="0" w:after="0" w:afterAutospacing="0" w:line="183" w:lineRule="auto"/>
              <w:ind w:left="455" w:right="0"/>
              <w:rPr>
                <w:rFonts w:hint="default"/>
              </w:rPr>
            </w:pPr>
            <w:r>
              <w:rPr>
                <w:rFonts w:hint="default"/>
                <w:spacing w:val="-4"/>
              </w:rPr>
              <w:t>15000</w:t>
            </w:r>
          </w:p>
        </w:tc>
        <w:tc>
          <w:tcPr>
            <w:tcW w:w="818" w:type="dxa"/>
            <w:gridSpan w:val="2"/>
            <w:vAlign w:val="top"/>
          </w:tcPr>
          <w:p w14:paraId="269DB99C">
            <w:pPr>
              <w:keepNext w:val="0"/>
              <w:keepLines w:val="0"/>
              <w:suppressLineNumbers w:val="0"/>
              <w:spacing w:before="0" w:beforeAutospacing="0" w:after="0" w:afterAutospacing="0" w:line="268" w:lineRule="auto"/>
              <w:ind w:left="0" w:right="0"/>
              <w:rPr>
                <w:rFonts w:hint="default" w:ascii="Arial"/>
                <w:sz w:val="21"/>
              </w:rPr>
            </w:pPr>
          </w:p>
          <w:p w14:paraId="3A01DDB1">
            <w:pPr>
              <w:pStyle w:val="22"/>
              <w:keepNext w:val="0"/>
              <w:keepLines w:val="0"/>
              <w:suppressLineNumbers w:val="0"/>
              <w:spacing w:before="68" w:beforeAutospacing="0" w:after="0" w:afterAutospacing="0" w:line="183" w:lineRule="auto"/>
              <w:ind w:left="274" w:right="0"/>
              <w:rPr>
                <w:rFonts w:hint="default"/>
              </w:rPr>
            </w:pPr>
            <w:r>
              <w:rPr>
                <w:rFonts w:hint="default"/>
                <w:spacing w:val="-5"/>
              </w:rPr>
              <w:t>110</w:t>
            </w:r>
          </w:p>
        </w:tc>
        <w:tc>
          <w:tcPr>
            <w:tcW w:w="712" w:type="dxa"/>
            <w:gridSpan w:val="2"/>
            <w:vAlign w:val="top"/>
          </w:tcPr>
          <w:p w14:paraId="2668571D">
            <w:pPr>
              <w:pStyle w:val="22"/>
              <w:keepNext w:val="0"/>
              <w:keepLines w:val="0"/>
              <w:suppressLineNumbers w:val="0"/>
              <w:spacing w:before="166" w:beforeAutospacing="0" w:after="0" w:afterAutospacing="0" w:line="231" w:lineRule="auto"/>
              <w:ind w:left="256" w:right="141" w:hanging="90"/>
              <w:rPr>
                <w:rFonts w:hint="default"/>
              </w:rPr>
            </w:pPr>
            <w:r>
              <w:rPr>
                <w:rFonts w:hint="default"/>
                <w:spacing w:val="-8"/>
              </w:rPr>
              <w:t>1#仓</w:t>
            </w:r>
            <w:r>
              <w:rPr>
                <w:rFonts w:hint="default"/>
                <w:spacing w:val="1"/>
              </w:rPr>
              <w:t xml:space="preserve"> </w:t>
            </w:r>
            <w:r>
              <w:rPr>
                <w:rFonts w:hint="default"/>
              </w:rPr>
              <w:t>库</w:t>
            </w:r>
          </w:p>
        </w:tc>
        <w:tc>
          <w:tcPr>
            <w:tcW w:w="629" w:type="dxa"/>
            <w:gridSpan w:val="2"/>
            <w:textDirection w:val="tbRlV"/>
            <w:vAlign w:val="top"/>
          </w:tcPr>
          <w:p w14:paraId="00CFCBA6">
            <w:pPr>
              <w:pStyle w:val="22"/>
              <w:keepNext w:val="0"/>
              <w:keepLines w:val="0"/>
              <w:suppressLineNumbers w:val="0"/>
              <w:spacing w:before="206" w:beforeAutospacing="0" w:after="0" w:afterAutospacing="0" w:line="209" w:lineRule="auto"/>
              <w:ind w:left="167" w:right="0"/>
              <w:rPr>
                <w:rFonts w:hint="default"/>
              </w:rPr>
            </w:pPr>
            <w:r>
              <w:rPr>
                <w:rFonts w:hint="default"/>
                <w:spacing w:val="1"/>
              </w:rPr>
              <w:t>桶</w:t>
            </w:r>
            <w:r>
              <w:rPr>
                <w:rFonts w:hint="default"/>
                <w:spacing w:val="-43"/>
              </w:rPr>
              <w:t xml:space="preserve"> </w:t>
            </w:r>
            <w:r>
              <w:rPr>
                <w:rFonts w:hint="default"/>
                <w:spacing w:val="1"/>
              </w:rPr>
              <w:t>装</w:t>
            </w:r>
          </w:p>
        </w:tc>
        <w:tc>
          <w:tcPr>
            <w:tcW w:w="703" w:type="dxa"/>
            <w:gridSpan w:val="2"/>
            <w:vAlign w:val="top"/>
          </w:tcPr>
          <w:p w14:paraId="065F3BE6">
            <w:pPr>
              <w:pStyle w:val="22"/>
              <w:keepNext w:val="0"/>
              <w:keepLines w:val="0"/>
              <w:suppressLineNumbers w:val="0"/>
              <w:spacing w:before="303" w:beforeAutospacing="0" w:after="0" w:afterAutospacing="0" w:line="221" w:lineRule="auto"/>
              <w:ind w:left="150" w:right="0"/>
              <w:rPr>
                <w:rFonts w:hint="default"/>
              </w:rPr>
            </w:pPr>
            <w:r>
              <w:rPr>
                <w:rFonts w:hint="default"/>
                <w:spacing w:val="-2"/>
              </w:rPr>
              <w:t>汽车</w:t>
            </w:r>
          </w:p>
        </w:tc>
        <w:tc>
          <w:tcPr>
            <w:tcW w:w="1058" w:type="dxa"/>
            <w:gridSpan w:val="2"/>
            <w:vAlign w:val="top"/>
          </w:tcPr>
          <w:p w14:paraId="1E60C149">
            <w:pPr>
              <w:pStyle w:val="22"/>
              <w:keepNext w:val="0"/>
              <w:keepLines w:val="0"/>
              <w:suppressLineNumbers w:val="0"/>
              <w:spacing w:before="303" w:beforeAutospacing="0" w:after="0" w:afterAutospacing="0" w:line="221" w:lineRule="auto"/>
              <w:ind w:left="325" w:right="0"/>
              <w:rPr>
                <w:rFonts w:hint="default"/>
              </w:rPr>
            </w:pPr>
            <w:r>
              <w:rPr>
                <w:rFonts w:hint="default"/>
                <w:spacing w:val="-2"/>
              </w:rPr>
              <w:t>产品</w:t>
            </w:r>
          </w:p>
        </w:tc>
      </w:tr>
      <w:tr w14:paraId="4011B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3" w:hRule="atLeast"/>
        </w:trPr>
        <w:tc>
          <w:tcPr>
            <w:tcW w:w="470" w:type="dxa"/>
            <w:vAlign w:val="top"/>
          </w:tcPr>
          <w:p w14:paraId="7778FD75">
            <w:pPr>
              <w:keepNext w:val="0"/>
              <w:keepLines w:val="0"/>
              <w:suppressLineNumbers w:val="0"/>
              <w:spacing w:before="0" w:beforeAutospacing="0" w:after="0" w:afterAutospacing="0" w:line="268" w:lineRule="auto"/>
              <w:ind w:left="0" w:right="0"/>
              <w:rPr>
                <w:rFonts w:hint="default" w:ascii="Arial"/>
                <w:sz w:val="21"/>
              </w:rPr>
            </w:pPr>
          </w:p>
          <w:p w14:paraId="0EF4FA4D">
            <w:pPr>
              <w:pStyle w:val="22"/>
              <w:keepNext w:val="0"/>
              <w:keepLines w:val="0"/>
              <w:suppressLineNumbers w:val="0"/>
              <w:spacing w:before="69" w:beforeAutospacing="0" w:after="0" w:afterAutospacing="0" w:line="183" w:lineRule="auto"/>
              <w:ind w:left="203" w:right="0"/>
              <w:rPr>
                <w:rFonts w:hint="default"/>
              </w:rPr>
            </w:pPr>
            <w:r>
              <w:rPr>
                <w:rFonts w:hint="default"/>
              </w:rPr>
              <w:t>1</w:t>
            </w:r>
          </w:p>
        </w:tc>
        <w:tc>
          <w:tcPr>
            <w:tcW w:w="1163" w:type="dxa"/>
            <w:gridSpan w:val="2"/>
            <w:vAlign w:val="top"/>
          </w:tcPr>
          <w:p w14:paraId="5301AAC3">
            <w:pPr>
              <w:pStyle w:val="22"/>
              <w:keepNext w:val="0"/>
              <w:keepLines w:val="0"/>
              <w:suppressLineNumbers w:val="0"/>
              <w:spacing w:before="167" w:beforeAutospacing="0" w:after="0" w:afterAutospacing="0" w:line="230" w:lineRule="auto"/>
              <w:ind w:left="475" w:right="161" w:hanging="314"/>
              <w:rPr>
                <w:rFonts w:hint="default"/>
              </w:rPr>
            </w:pPr>
            <w:r>
              <w:rPr>
                <w:rFonts w:hint="default"/>
                <w:spacing w:val="-2"/>
              </w:rPr>
              <w:t>双氧水原</w:t>
            </w:r>
            <w:r>
              <w:rPr>
                <w:rFonts w:hint="default"/>
                <w:spacing w:val="1"/>
              </w:rPr>
              <w:t xml:space="preserve"> </w:t>
            </w:r>
            <w:r>
              <w:rPr>
                <w:rFonts w:hint="default"/>
              </w:rPr>
              <w:t>料</w:t>
            </w:r>
          </w:p>
        </w:tc>
        <w:tc>
          <w:tcPr>
            <w:tcW w:w="934" w:type="dxa"/>
            <w:gridSpan w:val="2"/>
            <w:vAlign w:val="top"/>
          </w:tcPr>
          <w:p w14:paraId="02A75348">
            <w:pPr>
              <w:keepNext w:val="0"/>
              <w:keepLines w:val="0"/>
              <w:suppressLineNumbers w:val="0"/>
              <w:spacing w:before="0" w:beforeAutospacing="0" w:after="0" w:afterAutospacing="0" w:line="270" w:lineRule="auto"/>
              <w:ind w:left="0" w:right="0"/>
              <w:rPr>
                <w:rFonts w:hint="default" w:ascii="Arial"/>
                <w:sz w:val="21"/>
              </w:rPr>
            </w:pPr>
          </w:p>
          <w:p w14:paraId="2C59DFDB">
            <w:pPr>
              <w:pStyle w:val="22"/>
              <w:keepNext w:val="0"/>
              <w:keepLines w:val="0"/>
              <w:suppressLineNumbers w:val="0"/>
              <w:spacing w:before="68" w:beforeAutospacing="0" w:after="0" w:afterAutospacing="0" w:line="182" w:lineRule="auto"/>
              <w:ind w:left="368" w:right="0"/>
              <w:rPr>
                <w:rFonts w:hint="default"/>
              </w:rPr>
            </w:pPr>
            <w:r>
              <w:rPr>
                <w:rFonts w:hint="default"/>
                <w:spacing w:val="-3"/>
              </w:rPr>
              <w:t>50</w:t>
            </w:r>
          </w:p>
        </w:tc>
        <w:tc>
          <w:tcPr>
            <w:tcW w:w="468" w:type="dxa"/>
            <w:vAlign w:val="top"/>
          </w:tcPr>
          <w:p w14:paraId="2912E39F">
            <w:pPr>
              <w:pStyle w:val="22"/>
              <w:keepNext w:val="0"/>
              <w:keepLines w:val="0"/>
              <w:suppressLineNumbers w:val="0"/>
              <w:spacing w:before="304" w:beforeAutospacing="0" w:after="0" w:afterAutospacing="0" w:line="221" w:lineRule="auto"/>
              <w:ind w:left="133" w:right="0"/>
              <w:rPr>
                <w:rFonts w:hint="default"/>
              </w:rPr>
            </w:pPr>
            <w:r>
              <w:rPr>
                <w:rFonts w:hint="default"/>
              </w:rPr>
              <w:t>液</w:t>
            </w:r>
          </w:p>
        </w:tc>
        <w:tc>
          <w:tcPr>
            <w:tcW w:w="1055" w:type="dxa"/>
            <w:vAlign w:val="top"/>
          </w:tcPr>
          <w:p w14:paraId="0A91E7FD">
            <w:pPr>
              <w:keepNext w:val="0"/>
              <w:keepLines w:val="0"/>
              <w:suppressLineNumbers w:val="0"/>
              <w:spacing w:before="0" w:beforeAutospacing="0" w:after="0" w:afterAutospacing="0" w:line="268" w:lineRule="auto"/>
              <w:ind w:left="0" w:right="0"/>
              <w:rPr>
                <w:rFonts w:hint="default" w:ascii="Arial"/>
                <w:sz w:val="21"/>
              </w:rPr>
            </w:pPr>
          </w:p>
          <w:p w14:paraId="54919FDE">
            <w:pPr>
              <w:pStyle w:val="22"/>
              <w:keepNext w:val="0"/>
              <w:keepLines w:val="0"/>
              <w:suppressLineNumbers w:val="0"/>
              <w:spacing w:before="69" w:beforeAutospacing="0" w:after="0" w:afterAutospacing="0" w:line="183" w:lineRule="auto"/>
              <w:ind w:left="324" w:right="0"/>
              <w:rPr>
                <w:rFonts w:hint="default"/>
              </w:rPr>
            </w:pPr>
            <w:r>
              <w:rPr>
                <w:rFonts w:hint="default"/>
                <w:spacing w:val="-2"/>
              </w:rPr>
              <w:t>2014</w:t>
            </w:r>
          </w:p>
        </w:tc>
        <w:tc>
          <w:tcPr>
            <w:tcW w:w="1396" w:type="dxa"/>
            <w:vAlign w:val="top"/>
          </w:tcPr>
          <w:p w14:paraId="57D3D245">
            <w:pPr>
              <w:keepNext w:val="0"/>
              <w:keepLines w:val="0"/>
              <w:suppressLineNumbers w:val="0"/>
              <w:spacing w:before="0" w:beforeAutospacing="0" w:after="0" w:afterAutospacing="0" w:line="268" w:lineRule="auto"/>
              <w:ind w:left="0" w:right="0"/>
              <w:rPr>
                <w:rFonts w:hint="default" w:ascii="Arial"/>
                <w:sz w:val="21"/>
              </w:rPr>
            </w:pPr>
          </w:p>
          <w:p w14:paraId="6648C2C6">
            <w:pPr>
              <w:pStyle w:val="22"/>
              <w:keepNext w:val="0"/>
              <w:keepLines w:val="0"/>
              <w:suppressLineNumbers w:val="0"/>
              <w:spacing w:before="69" w:beforeAutospacing="0" w:after="0" w:afterAutospacing="0" w:line="183" w:lineRule="auto"/>
              <w:ind w:left="455" w:right="0"/>
              <w:rPr>
                <w:rFonts w:hint="default"/>
              </w:rPr>
            </w:pPr>
            <w:r>
              <w:rPr>
                <w:rFonts w:hint="default"/>
                <w:spacing w:val="-4"/>
              </w:rPr>
              <w:t>12000</w:t>
            </w:r>
          </w:p>
        </w:tc>
        <w:tc>
          <w:tcPr>
            <w:tcW w:w="818" w:type="dxa"/>
            <w:gridSpan w:val="2"/>
            <w:vAlign w:val="top"/>
          </w:tcPr>
          <w:p w14:paraId="72F701B7">
            <w:pPr>
              <w:keepNext w:val="0"/>
              <w:keepLines w:val="0"/>
              <w:suppressLineNumbers w:val="0"/>
              <w:spacing w:before="0" w:beforeAutospacing="0" w:after="0" w:afterAutospacing="0" w:line="268" w:lineRule="auto"/>
              <w:ind w:left="0" w:right="0"/>
              <w:rPr>
                <w:rFonts w:hint="default" w:ascii="Arial"/>
                <w:sz w:val="21"/>
              </w:rPr>
            </w:pPr>
          </w:p>
          <w:p w14:paraId="4416B49A">
            <w:pPr>
              <w:pStyle w:val="22"/>
              <w:keepNext w:val="0"/>
              <w:keepLines w:val="0"/>
              <w:suppressLineNumbers w:val="0"/>
              <w:spacing w:before="69" w:beforeAutospacing="0" w:after="0" w:afterAutospacing="0" w:line="183" w:lineRule="auto"/>
              <w:ind w:left="261" w:right="0"/>
              <w:rPr>
                <w:rFonts w:hint="default"/>
              </w:rPr>
            </w:pPr>
            <w:r>
              <w:rPr>
                <w:rFonts w:hint="default"/>
                <w:spacing w:val="-2"/>
              </w:rPr>
              <w:t>216</w:t>
            </w:r>
          </w:p>
        </w:tc>
        <w:tc>
          <w:tcPr>
            <w:tcW w:w="712" w:type="dxa"/>
            <w:gridSpan w:val="2"/>
            <w:vAlign w:val="top"/>
          </w:tcPr>
          <w:p w14:paraId="64750F29">
            <w:pPr>
              <w:pStyle w:val="22"/>
              <w:keepNext w:val="0"/>
              <w:keepLines w:val="0"/>
              <w:suppressLineNumbers w:val="0"/>
              <w:spacing w:before="30" w:beforeAutospacing="0" w:after="0" w:afterAutospacing="0" w:line="220" w:lineRule="auto"/>
              <w:ind w:left="151" w:right="0"/>
              <w:rPr>
                <w:rFonts w:hint="default"/>
              </w:rPr>
            </w:pPr>
            <w:r>
              <w:rPr>
                <w:rFonts w:hint="default"/>
                <w:spacing w:val="-2"/>
              </w:rPr>
              <w:t>双氧</w:t>
            </w:r>
          </w:p>
          <w:p w14:paraId="6B63286C">
            <w:pPr>
              <w:pStyle w:val="22"/>
              <w:keepNext w:val="0"/>
              <w:keepLines w:val="0"/>
              <w:suppressLineNumbers w:val="0"/>
              <w:spacing w:before="23" w:beforeAutospacing="0" w:after="0" w:afterAutospacing="0" w:line="221" w:lineRule="auto"/>
              <w:ind w:left="153" w:right="0"/>
              <w:rPr>
                <w:rFonts w:hint="default"/>
              </w:rPr>
            </w:pPr>
            <w:r>
              <w:rPr>
                <w:rFonts w:hint="default"/>
                <w:spacing w:val="-3"/>
              </w:rPr>
              <w:t>水罐</w:t>
            </w:r>
          </w:p>
          <w:p w14:paraId="4F5D1B27">
            <w:pPr>
              <w:pStyle w:val="22"/>
              <w:keepNext w:val="0"/>
              <w:keepLines w:val="0"/>
              <w:suppressLineNumbers w:val="0"/>
              <w:spacing w:before="19" w:beforeAutospacing="0" w:after="0" w:afterAutospacing="0" w:line="209" w:lineRule="auto"/>
              <w:ind w:left="259" w:right="0"/>
              <w:rPr>
                <w:rFonts w:hint="default"/>
              </w:rPr>
            </w:pPr>
            <w:r>
              <w:rPr>
                <w:rFonts w:hint="default"/>
              </w:rPr>
              <w:t>组</w:t>
            </w:r>
          </w:p>
        </w:tc>
        <w:tc>
          <w:tcPr>
            <w:tcW w:w="629" w:type="dxa"/>
            <w:gridSpan w:val="2"/>
            <w:textDirection w:val="tbRlV"/>
            <w:vAlign w:val="top"/>
          </w:tcPr>
          <w:p w14:paraId="4E878E48">
            <w:pPr>
              <w:pStyle w:val="22"/>
              <w:keepNext w:val="0"/>
              <w:keepLines w:val="0"/>
              <w:suppressLineNumbers w:val="0"/>
              <w:spacing w:before="205" w:beforeAutospacing="0" w:after="0" w:afterAutospacing="0" w:line="210" w:lineRule="auto"/>
              <w:ind w:left="167" w:right="0"/>
              <w:rPr>
                <w:rFonts w:hint="default"/>
              </w:rPr>
            </w:pPr>
            <w:r>
              <w:rPr>
                <w:rFonts w:hint="default"/>
                <w:spacing w:val="31"/>
              </w:rPr>
              <w:t>储罐</w:t>
            </w:r>
          </w:p>
        </w:tc>
        <w:tc>
          <w:tcPr>
            <w:tcW w:w="703" w:type="dxa"/>
            <w:gridSpan w:val="2"/>
            <w:vAlign w:val="top"/>
          </w:tcPr>
          <w:p w14:paraId="434F2C32">
            <w:pPr>
              <w:pStyle w:val="22"/>
              <w:keepNext w:val="0"/>
              <w:keepLines w:val="0"/>
              <w:suppressLineNumbers w:val="0"/>
              <w:spacing w:before="304" w:beforeAutospacing="0" w:after="0" w:afterAutospacing="0" w:line="221" w:lineRule="auto"/>
              <w:ind w:left="149" w:right="0"/>
              <w:rPr>
                <w:rFonts w:hint="default"/>
              </w:rPr>
            </w:pPr>
            <w:r>
              <w:rPr>
                <w:rFonts w:hint="default"/>
                <w:spacing w:val="-2"/>
              </w:rPr>
              <w:t>槽车</w:t>
            </w:r>
          </w:p>
        </w:tc>
        <w:tc>
          <w:tcPr>
            <w:tcW w:w="1058" w:type="dxa"/>
            <w:gridSpan w:val="2"/>
            <w:vAlign w:val="top"/>
          </w:tcPr>
          <w:p w14:paraId="686414C6">
            <w:pPr>
              <w:pStyle w:val="22"/>
              <w:keepNext w:val="0"/>
              <w:keepLines w:val="0"/>
              <w:suppressLineNumbers w:val="0"/>
              <w:spacing w:before="304" w:beforeAutospacing="0" w:after="0" w:afterAutospacing="0" w:line="221" w:lineRule="auto"/>
              <w:ind w:left="330" w:right="0"/>
              <w:rPr>
                <w:rFonts w:hint="default"/>
              </w:rPr>
            </w:pPr>
            <w:r>
              <w:rPr>
                <w:rFonts w:hint="default"/>
                <w:spacing w:val="-3"/>
              </w:rPr>
              <w:t>原料</w:t>
            </w:r>
          </w:p>
        </w:tc>
      </w:tr>
      <w:tr w14:paraId="645A2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3" w:hRule="atLeast"/>
        </w:trPr>
        <w:tc>
          <w:tcPr>
            <w:tcW w:w="470" w:type="dxa"/>
            <w:vAlign w:val="top"/>
          </w:tcPr>
          <w:p w14:paraId="78652DA5">
            <w:pPr>
              <w:pStyle w:val="22"/>
              <w:keepNext w:val="0"/>
              <w:keepLines w:val="0"/>
              <w:suppressLineNumbers w:val="0"/>
              <w:spacing w:before="99" w:beforeAutospacing="0" w:after="0" w:afterAutospacing="0" w:line="182" w:lineRule="auto"/>
              <w:ind w:left="190" w:right="0"/>
              <w:rPr>
                <w:rFonts w:hint="default"/>
              </w:rPr>
            </w:pPr>
            <w:r>
              <w:rPr>
                <w:rFonts w:hint="default"/>
              </w:rPr>
              <w:t>2</w:t>
            </w:r>
          </w:p>
        </w:tc>
        <w:tc>
          <w:tcPr>
            <w:tcW w:w="1163" w:type="dxa"/>
            <w:gridSpan w:val="2"/>
            <w:vAlign w:val="top"/>
          </w:tcPr>
          <w:p w14:paraId="3F34629A">
            <w:pPr>
              <w:pStyle w:val="22"/>
              <w:keepNext w:val="0"/>
              <w:keepLines w:val="0"/>
              <w:suppressLineNumbers w:val="0"/>
              <w:spacing w:before="64" w:beforeAutospacing="0" w:after="0" w:afterAutospacing="0" w:line="221" w:lineRule="auto"/>
              <w:ind w:left="266" w:right="0"/>
              <w:rPr>
                <w:rFonts w:hint="default"/>
              </w:rPr>
            </w:pPr>
            <w:r>
              <w:rPr>
                <w:rFonts w:hint="default"/>
                <w:spacing w:val="-1"/>
              </w:rPr>
              <w:t>超纯水</w:t>
            </w:r>
          </w:p>
        </w:tc>
        <w:tc>
          <w:tcPr>
            <w:tcW w:w="934" w:type="dxa"/>
            <w:gridSpan w:val="2"/>
            <w:vAlign w:val="top"/>
          </w:tcPr>
          <w:p w14:paraId="15C8955F">
            <w:pPr>
              <w:pStyle w:val="22"/>
              <w:keepNext w:val="0"/>
              <w:keepLines w:val="0"/>
              <w:suppressLineNumbers w:val="0"/>
              <w:spacing w:before="164" w:beforeAutospacing="0" w:after="0" w:afterAutospacing="0" w:line="142" w:lineRule="exact"/>
              <w:ind w:left="362" w:right="0"/>
              <w:rPr>
                <w:rFonts w:hint="default"/>
              </w:rPr>
            </w:pPr>
            <w:r>
              <w:rPr>
                <w:rFonts w:hint="default"/>
                <w:position w:val="-3"/>
              </w:rPr>
              <w:t>—</w:t>
            </w:r>
          </w:p>
        </w:tc>
        <w:tc>
          <w:tcPr>
            <w:tcW w:w="468" w:type="dxa"/>
            <w:vAlign w:val="top"/>
          </w:tcPr>
          <w:p w14:paraId="60ED9497">
            <w:pPr>
              <w:pStyle w:val="22"/>
              <w:keepNext w:val="0"/>
              <w:keepLines w:val="0"/>
              <w:suppressLineNumbers w:val="0"/>
              <w:spacing w:before="64" w:beforeAutospacing="0" w:after="0" w:afterAutospacing="0" w:line="221" w:lineRule="auto"/>
              <w:ind w:left="133" w:right="0"/>
              <w:rPr>
                <w:rFonts w:hint="default"/>
              </w:rPr>
            </w:pPr>
            <w:r>
              <w:rPr>
                <w:rFonts w:hint="default"/>
              </w:rPr>
              <w:t>液</w:t>
            </w:r>
          </w:p>
        </w:tc>
        <w:tc>
          <w:tcPr>
            <w:tcW w:w="1055" w:type="dxa"/>
            <w:vAlign w:val="top"/>
          </w:tcPr>
          <w:p w14:paraId="41A128F9">
            <w:pPr>
              <w:pStyle w:val="22"/>
              <w:keepNext w:val="0"/>
              <w:keepLines w:val="0"/>
              <w:suppressLineNumbers w:val="0"/>
              <w:spacing w:before="164" w:beforeAutospacing="0" w:after="0" w:afterAutospacing="0" w:line="142" w:lineRule="exact"/>
              <w:ind w:left="425" w:right="0"/>
              <w:rPr>
                <w:rFonts w:hint="default"/>
              </w:rPr>
            </w:pPr>
            <w:r>
              <w:rPr>
                <w:rFonts w:hint="default"/>
                <w:position w:val="-3"/>
              </w:rPr>
              <w:t>—</w:t>
            </w:r>
          </w:p>
        </w:tc>
        <w:tc>
          <w:tcPr>
            <w:tcW w:w="1396" w:type="dxa"/>
            <w:vAlign w:val="top"/>
          </w:tcPr>
          <w:p w14:paraId="23AD0725">
            <w:pPr>
              <w:pStyle w:val="22"/>
              <w:keepNext w:val="0"/>
              <w:keepLines w:val="0"/>
              <w:suppressLineNumbers w:val="0"/>
              <w:spacing w:before="99" w:beforeAutospacing="0" w:after="0" w:afterAutospacing="0" w:line="182" w:lineRule="auto"/>
              <w:ind w:left="389" w:right="0"/>
              <w:rPr>
                <w:rFonts w:hint="default"/>
              </w:rPr>
            </w:pPr>
            <w:r>
              <w:rPr>
                <w:rFonts w:hint="default"/>
                <w:spacing w:val="-1"/>
              </w:rPr>
              <w:t>6409.3</w:t>
            </w:r>
          </w:p>
        </w:tc>
        <w:tc>
          <w:tcPr>
            <w:tcW w:w="818" w:type="dxa"/>
            <w:gridSpan w:val="2"/>
            <w:vAlign w:val="top"/>
          </w:tcPr>
          <w:p w14:paraId="4270EFA4">
            <w:pPr>
              <w:keepNext w:val="0"/>
              <w:keepLines w:val="0"/>
              <w:suppressLineNumbers w:val="0"/>
              <w:spacing w:before="0" w:beforeAutospacing="0" w:after="0" w:afterAutospacing="0"/>
              <w:ind w:left="0" w:right="0"/>
              <w:rPr>
                <w:rFonts w:hint="default" w:ascii="Arial"/>
                <w:sz w:val="21"/>
              </w:rPr>
            </w:pPr>
          </w:p>
        </w:tc>
        <w:tc>
          <w:tcPr>
            <w:tcW w:w="712" w:type="dxa"/>
            <w:gridSpan w:val="2"/>
            <w:vAlign w:val="top"/>
          </w:tcPr>
          <w:p w14:paraId="3E2F769B">
            <w:pPr>
              <w:keepNext w:val="0"/>
              <w:keepLines w:val="0"/>
              <w:suppressLineNumbers w:val="0"/>
              <w:spacing w:before="0" w:beforeAutospacing="0" w:after="0" w:afterAutospacing="0"/>
              <w:ind w:left="0" w:right="0"/>
              <w:rPr>
                <w:rFonts w:hint="default" w:ascii="Arial"/>
                <w:sz w:val="21"/>
              </w:rPr>
            </w:pPr>
          </w:p>
        </w:tc>
        <w:tc>
          <w:tcPr>
            <w:tcW w:w="629" w:type="dxa"/>
            <w:gridSpan w:val="2"/>
            <w:vAlign w:val="top"/>
          </w:tcPr>
          <w:p w14:paraId="1FED569B">
            <w:pPr>
              <w:keepNext w:val="0"/>
              <w:keepLines w:val="0"/>
              <w:suppressLineNumbers w:val="0"/>
              <w:spacing w:before="0" w:beforeAutospacing="0" w:after="0" w:afterAutospacing="0"/>
              <w:ind w:left="0" w:right="0"/>
              <w:rPr>
                <w:rFonts w:hint="default" w:ascii="Arial"/>
                <w:sz w:val="21"/>
              </w:rPr>
            </w:pPr>
          </w:p>
        </w:tc>
        <w:tc>
          <w:tcPr>
            <w:tcW w:w="703" w:type="dxa"/>
            <w:gridSpan w:val="2"/>
            <w:vAlign w:val="top"/>
          </w:tcPr>
          <w:p w14:paraId="20241761">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348E2DE9">
            <w:pPr>
              <w:pStyle w:val="22"/>
              <w:keepNext w:val="0"/>
              <w:keepLines w:val="0"/>
              <w:suppressLineNumbers w:val="0"/>
              <w:spacing w:before="64" w:beforeAutospacing="0" w:after="0" w:afterAutospacing="0" w:line="221" w:lineRule="auto"/>
              <w:ind w:left="330" w:right="0"/>
              <w:rPr>
                <w:rFonts w:hint="default"/>
              </w:rPr>
            </w:pPr>
            <w:r>
              <w:rPr>
                <w:rFonts w:hint="default"/>
                <w:spacing w:val="-3"/>
              </w:rPr>
              <w:t>原料</w:t>
            </w:r>
          </w:p>
        </w:tc>
      </w:tr>
      <w:tr w14:paraId="13645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2" w:hRule="atLeast"/>
        </w:trPr>
        <w:tc>
          <w:tcPr>
            <w:tcW w:w="470" w:type="dxa"/>
            <w:vAlign w:val="top"/>
          </w:tcPr>
          <w:p w14:paraId="1E0044E1">
            <w:pPr>
              <w:keepNext w:val="0"/>
              <w:keepLines w:val="0"/>
              <w:suppressLineNumbers w:val="0"/>
              <w:spacing w:before="0" w:beforeAutospacing="0" w:after="0" w:afterAutospacing="0" w:line="270" w:lineRule="auto"/>
              <w:ind w:left="0" w:right="0"/>
              <w:rPr>
                <w:rFonts w:hint="default" w:ascii="Arial"/>
                <w:sz w:val="21"/>
              </w:rPr>
            </w:pPr>
          </w:p>
          <w:p w14:paraId="460EEA19">
            <w:pPr>
              <w:pStyle w:val="22"/>
              <w:keepNext w:val="0"/>
              <w:keepLines w:val="0"/>
              <w:suppressLineNumbers w:val="0"/>
              <w:spacing w:before="68" w:beforeAutospacing="0" w:after="0" w:afterAutospacing="0" w:line="182" w:lineRule="auto"/>
              <w:ind w:left="192" w:right="0"/>
              <w:rPr>
                <w:rFonts w:hint="default"/>
              </w:rPr>
            </w:pPr>
            <w:r>
              <w:rPr>
                <w:rFonts w:hint="default"/>
              </w:rPr>
              <w:t>3</w:t>
            </w:r>
          </w:p>
        </w:tc>
        <w:tc>
          <w:tcPr>
            <w:tcW w:w="1163" w:type="dxa"/>
            <w:gridSpan w:val="2"/>
            <w:vAlign w:val="top"/>
          </w:tcPr>
          <w:p w14:paraId="69A7293E">
            <w:pPr>
              <w:pStyle w:val="22"/>
              <w:keepNext w:val="0"/>
              <w:keepLines w:val="0"/>
              <w:suppressLineNumbers w:val="0"/>
              <w:spacing w:before="166" w:beforeAutospacing="0" w:after="0" w:afterAutospacing="0" w:line="231" w:lineRule="auto"/>
              <w:ind w:left="372" w:right="161" w:hanging="211"/>
              <w:rPr>
                <w:rFonts w:hint="default"/>
              </w:rPr>
            </w:pPr>
            <w:r>
              <w:rPr>
                <w:rFonts w:hint="default"/>
                <w:spacing w:val="-2"/>
              </w:rPr>
              <w:t>双氧水副</w:t>
            </w:r>
            <w:r>
              <w:rPr>
                <w:rFonts w:hint="default"/>
                <w:spacing w:val="1"/>
              </w:rPr>
              <w:t xml:space="preserve"> </w:t>
            </w:r>
            <w:r>
              <w:rPr>
                <w:rFonts w:hint="default"/>
                <w:spacing w:val="-2"/>
              </w:rPr>
              <w:t>产品</w:t>
            </w:r>
          </w:p>
        </w:tc>
        <w:tc>
          <w:tcPr>
            <w:tcW w:w="934" w:type="dxa"/>
            <w:gridSpan w:val="2"/>
            <w:vAlign w:val="top"/>
          </w:tcPr>
          <w:p w14:paraId="67FA5DC9">
            <w:pPr>
              <w:keepNext w:val="0"/>
              <w:keepLines w:val="0"/>
              <w:suppressLineNumbers w:val="0"/>
              <w:spacing w:before="0" w:beforeAutospacing="0" w:after="0" w:afterAutospacing="0" w:line="270" w:lineRule="auto"/>
              <w:ind w:left="0" w:right="0"/>
              <w:rPr>
                <w:rFonts w:hint="default" w:ascii="Arial"/>
                <w:sz w:val="21"/>
              </w:rPr>
            </w:pPr>
          </w:p>
          <w:p w14:paraId="63C16FCD">
            <w:pPr>
              <w:pStyle w:val="22"/>
              <w:keepNext w:val="0"/>
              <w:keepLines w:val="0"/>
              <w:suppressLineNumbers w:val="0"/>
              <w:spacing w:before="68" w:beforeAutospacing="0" w:after="0" w:afterAutospacing="0" w:line="182" w:lineRule="auto"/>
              <w:ind w:left="212" w:right="0"/>
              <w:rPr>
                <w:rFonts w:hint="default"/>
              </w:rPr>
            </w:pPr>
            <w:r>
              <w:rPr>
                <w:rFonts w:hint="default"/>
                <w:spacing w:val="-2"/>
              </w:rPr>
              <w:t>30-50</w:t>
            </w:r>
          </w:p>
        </w:tc>
        <w:tc>
          <w:tcPr>
            <w:tcW w:w="468" w:type="dxa"/>
            <w:vAlign w:val="top"/>
          </w:tcPr>
          <w:p w14:paraId="357FFE16">
            <w:pPr>
              <w:pStyle w:val="22"/>
              <w:keepNext w:val="0"/>
              <w:keepLines w:val="0"/>
              <w:suppressLineNumbers w:val="0"/>
              <w:spacing w:before="304" w:beforeAutospacing="0" w:after="0" w:afterAutospacing="0" w:line="221" w:lineRule="auto"/>
              <w:ind w:left="133" w:right="0"/>
              <w:rPr>
                <w:rFonts w:hint="default"/>
              </w:rPr>
            </w:pPr>
            <w:r>
              <w:rPr>
                <w:rFonts w:hint="default"/>
              </w:rPr>
              <w:t>液</w:t>
            </w:r>
          </w:p>
        </w:tc>
        <w:tc>
          <w:tcPr>
            <w:tcW w:w="1055" w:type="dxa"/>
            <w:vAlign w:val="top"/>
          </w:tcPr>
          <w:p w14:paraId="3633EF5D">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76EFB8F2">
            <w:pPr>
              <w:keepNext w:val="0"/>
              <w:keepLines w:val="0"/>
              <w:suppressLineNumbers w:val="0"/>
              <w:spacing w:before="0" w:beforeAutospacing="0" w:after="0" w:afterAutospacing="0" w:line="270" w:lineRule="auto"/>
              <w:ind w:left="0" w:right="0"/>
              <w:rPr>
                <w:rFonts w:hint="default" w:ascii="Arial"/>
                <w:sz w:val="21"/>
              </w:rPr>
            </w:pPr>
          </w:p>
          <w:p w14:paraId="2A76B87E">
            <w:pPr>
              <w:pStyle w:val="22"/>
              <w:keepNext w:val="0"/>
              <w:keepLines w:val="0"/>
              <w:suppressLineNumbers w:val="0"/>
              <w:spacing w:before="68" w:beforeAutospacing="0" w:after="0" w:afterAutospacing="0" w:line="182" w:lineRule="auto"/>
              <w:ind w:left="495" w:right="0"/>
              <w:rPr>
                <w:rFonts w:hint="default"/>
              </w:rPr>
            </w:pPr>
            <w:r>
              <w:rPr>
                <w:rFonts w:hint="default"/>
                <w:spacing w:val="-2"/>
              </w:rPr>
              <w:t>2600</w:t>
            </w:r>
          </w:p>
        </w:tc>
        <w:tc>
          <w:tcPr>
            <w:tcW w:w="818" w:type="dxa"/>
            <w:gridSpan w:val="2"/>
            <w:vAlign w:val="top"/>
          </w:tcPr>
          <w:p w14:paraId="3C6825F2">
            <w:pPr>
              <w:keepNext w:val="0"/>
              <w:keepLines w:val="0"/>
              <w:suppressLineNumbers w:val="0"/>
              <w:spacing w:before="0" w:beforeAutospacing="0" w:after="0" w:afterAutospacing="0" w:line="268" w:lineRule="auto"/>
              <w:ind w:left="0" w:right="0"/>
              <w:rPr>
                <w:rFonts w:hint="default" w:ascii="Arial"/>
                <w:sz w:val="21"/>
              </w:rPr>
            </w:pPr>
          </w:p>
          <w:p w14:paraId="38D7C9F6">
            <w:pPr>
              <w:pStyle w:val="22"/>
              <w:keepNext w:val="0"/>
              <w:keepLines w:val="0"/>
              <w:suppressLineNumbers w:val="0"/>
              <w:spacing w:before="69" w:beforeAutospacing="0" w:after="0" w:afterAutospacing="0" w:line="183" w:lineRule="auto"/>
              <w:ind w:left="168" w:right="0"/>
              <w:rPr>
                <w:rFonts w:hint="default"/>
              </w:rPr>
            </w:pPr>
            <w:r>
              <w:rPr>
                <w:rFonts w:hint="default"/>
                <w:spacing w:val="-4"/>
              </w:rPr>
              <w:t>100.8</w:t>
            </w:r>
          </w:p>
        </w:tc>
        <w:tc>
          <w:tcPr>
            <w:tcW w:w="712" w:type="dxa"/>
            <w:gridSpan w:val="2"/>
            <w:vAlign w:val="top"/>
          </w:tcPr>
          <w:p w14:paraId="12C565F7">
            <w:pPr>
              <w:pStyle w:val="22"/>
              <w:keepNext w:val="0"/>
              <w:keepLines w:val="0"/>
              <w:suppressLineNumbers w:val="0"/>
              <w:spacing w:before="33" w:beforeAutospacing="0" w:after="0" w:afterAutospacing="0" w:line="220" w:lineRule="auto"/>
              <w:ind w:left="151" w:right="0"/>
              <w:rPr>
                <w:rFonts w:hint="default"/>
              </w:rPr>
            </w:pPr>
            <w:r>
              <w:rPr>
                <w:rFonts w:hint="default"/>
                <w:spacing w:val="-2"/>
              </w:rPr>
              <w:t>双氧</w:t>
            </w:r>
          </w:p>
          <w:p w14:paraId="62CC68AE">
            <w:pPr>
              <w:pStyle w:val="22"/>
              <w:keepNext w:val="0"/>
              <w:keepLines w:val="0"/>
              <w:suppressLineNumbers w:val="0"/>
              <w:spacing w:before="20" w:beforeAutospacing="0" w:after="0" w:afterAutospacing="0" w:line="221" w:lineRule="auto"/>
              <w:ind w:left="153" w:right="0"/>
              <w:rPr>
                <w:rFonts w:hint="default"/>
              </w:rPr>
            </w:pPr>
            <w:r>
              <w:rPr>
                <w:rFonts w:hint="default"/>
                <w:spacing w:val="-3"/>
              </w:rPr>
              <w:t>水罐</w:t>
            </w:r>
          </w:p>
          <w:p w14:paraId="588B7FE6">
            <w:pPr>
              <w:pStyle w:val="22"/>
              <w:keepNext w:val="0"/>
              <w:keepLines w:val="0"/>
              <w:suppressLineNumbers w:val="0"/>
              <w:spacing w:before="19" w:beforeAutospacing="0" w:after="0" w:afterAutospacing="0" w:line="208" w:lineRule="auto"/>
              <w:ind w:left="259" w:right="0"/>
              <w:rPr>
                <w:rFonts w:hint="default"/>
              </w:rPr>
            </w:pPr>
            <w:r>
              <w:rPr>
                <w:rFonts w:hint="default"/>
              </w:rPr>
              <w:t>组</w:t>
            </w:r>
          </w:p>
        </w:tc>
        <w:tc>
          <w:tcPr>
            <w:tcW w:w="629" w:type="dxa"/>
            <w:gridSpan w:val="2"/>
            <w:textDirection w:val="tbRlV"/>
            <w:vAlign w:val="top"/>
          </w:tcPr>
          <w:p w14:paraId="2DB1F9AA">
            <w:pPr>
              <w:pStyle w:val="22"/>
              <w:keepNext w:val="0"/>
              <w:keepLines w:val="0"/>
              <w:suppressLineNumbers w:val="0"/>
              <w:spacing w:before="205" w:beforeAutospacing="0" w:after="0" w:afterAutospacing="0" w:line="210" w:lineRule="auto"/>
              <w:ind w:left="167" w:right="0"/>
              <w:rPr>
                <w:rFonts w:hint="default"/>
              </w:rPr>
            </w:pPr>
            <w:r>
              <w:rPr>
                <w:rFonts w:hint="default"/>
                <w:spacing w:val="1"/>
              </w:rPr>
              <w:t>储</w:t>
            </w:r>
            <w:r>
              <w:rPr>
                <w:rFonts w:hint="default"/>
                <w:spacing w:val="-43"/>
              </w:rPr>
              <w:t xml:space="preserve"> </w:t>
            </w:r>
            <w:r>
              <w:rPr>
                <w:rFonts w:hint="default"/>
                <w:spacing w:val="1"/>
              </w:rPr>
              <w:t>罐</w:t>
            </w:r>
          </w:p>
        </w:tc>
        <w:tc>
          <w:tcPr>
            <w:tcW w:w="703" w:type="dxa"/>
            <w:gridSpan w:val="2"/>
            <w:vAlign w:val="top"/>
          </w:tcPr>
          <w:p w14:paraId="21CFDF49">
            <w:pPr>
              <w:pStyle w:val="22"/>
              <w:keepNext w:val="0"/>
              <w:keepLines w:val="0"/>
              <w:suppressLineNumbers w:val="0"/>
              <w:spacing w:before="304" w:beforeAutospacing="0" w:after="0" w:afterAutospacing="0" w:line="221" w:lineRule="auto"/>
              <w:ind w:left="149" w:right="0"/>
              <w:rPr>
                <w:rFonts w:hint="default"/>
              </w:rPr>
            </w:pPr>
            <w:r>
              <w:rPr>
                <w:rFonts w:hint="default"/>
                <w:spacing w:val="-2"/>
              </w:rPr>
              <w:t>槽车</w:t>
            </w:r>
          </w:p>
        </w:tc>
        <w:tc>
          <w:tcPr>
            <w:tcW w:w="1058" w:type="dxa"/>
            <w:gridSpan w:val="2"/>
            <w:vAlign w:val="top"/>
          </w:tcPr>
          <w:p w14:paraId="25C72C7A">
            <w:pPr>
              <w:pStyle w:val="22"/>
              <w:keepNext w:val="0"/>
              <w:keepLines w:val="0"/>
              <w:suppressLineNumbers w:val="0"/>
              <w:spacing w:before="304" w:beforeAutospacing="0" w:after="0" w:afterAutospacing="0" w:line="221" w:lineRule="auto"/>
              <w:ind w:left="224" w:right="0"/>
              <w:rPr>
                <w:rFonts w:hint="default"/>
              </w:rPr>
            </w:pPr>
            <w:r>
              <w:rPr>
                <w:rFonts w:hint="default"/>
                <w:spacing w:val="-2"/>
              </w:rPr>
              <w:t>副产品</w:t>
            </w:r>
          </w:p>
        </w:tc>
      </w:tr>
      <w:tr w14:paraId="14C1F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3" w:hRule="atLeast"/>
        </w:trPr>
        <w:tc>
          <w:tcPr>
            <w:tcW w:w="470" w:type="dxa"/>
            <w:vAlign w:val="top"/>
          </w:tcPr>
          <w:p w14:paraId="787D6C53">
            <w:pPr>
              <w:keepNext w:val="0"/>
              <w:keepLines w:val="0"/>
              <w:suppressLineNumbers w:val="0"/>
              <w:spacing w:before="0" w:beforeAutospacing="0" w:after="0" w:afterAutospacing="0" w:line="274" w:lineRule="auto"/>
              <w:ind w:left="0" w:right="0"/>
              <w:rPr>
                <w:rFonts w:hint="default" w:ascii="Arial"/>
                <w:sz w:val="21"/>
              </w:rPr>
            </w:pPr>
          </w:p>
          <w:p w14:paraId="4D44D054">
            <w:pPr>
              <w:pStyle w:val="22"/>
              <w:keepNext w:val="0"/>
              <w:keepLines w:val="0"/>
              <w:suppressLineNumbers w:val="0"/>
              <w:spacing w:before="68" w:beforeAutospacing="0" w:after="0" w:afterAutospacing="0" w:line="179" w:lineRule="auto"/>
              <w:ind w:left="138" w:right="0"/>
              <w:rPr>
                <w:rFonts w:hint="default"/>
              </w:rPr>
            </w:pPr>
            <w:r>
              <w:rPr>
                <w:rFonts w:hint="default"/>
              </w:rPr>
              <w:t>二</w:t>
            </w:r>
          </w:p>
        </w:tc>
        <w:tc>
          <w:tcPr>
            <w:tcW w:w="1163" w:type="dxa"/>
            <w:gridSpan w:val="2"/>
            <w:vAlign w:val="top"/>
          </w:tcPr>
          <w:p w14:paraId="26F9ECD3">
            <w:pPr>
              <w:pStyle w:val="22"/>
              <w:keepNext w:val="0"/>
              <w:keepLines w:val="0"/>
              <w:suppressLineNumbers w:val="0"/>
              <w:spacing w:before="31" w:beforeAutospacing="0" w:after="0" w:afterAutospacing="0" w:line="226" w:lineRule="auto"/>
              <w:ind w:left="166" w:right="0"/>
              <w:rPr>
                <w:rFonts w:hint="default"/>
              </w:rPr>
            </w:pPr>
            <w:r>
              <w:rPr>
                <w:rFonts w:hint="default"/>
                <w:spacing w:val="-2"/>
              </w:rPr>
              <w:t>30000t/a</w:t>
            </w:r>
          </w:p>
          <w:p w14:paraId="2558688F">
            <w:pPr>
              <w:pStyle w:val="22"/>
              <w:keepNext w:val="0"/>
              <w:keepLines w:val="0"/>
              <w:suppressLineNumbers w:val="0"/>
              <w:spacing w:before="17" w:beforeAutospacing="0" w:after="0" w:afterAutospacing="0" w:line="221" w:lineRule="auto"/>
              <w:ind w:left="186" w:right="0"/>
              <w:rPr>
                <w:rFonts w:hint="default"/>
              </w:rPr>
            </w:pPr>
            <w:r>
              <w:rPr>
                <w:rFonts w:hint="default"/>
                <w:spacing w:val="-8"/>
              </w:rPr>
              <w:t>电子级氨</w:t>
            </w:r>
          </w:p>
          <w:p w14:paraId="7FF7A202">
            <w:pPr>
              <w:pStyle w:val="22"/>
              <w:keepNext w:val="0"/>
              <w:keepLines w:val="0"/>
              <w:suppressLineNumbers w:val="0"/>
              <w:spacing w:before="19" w:beforeAutospacing="0" w:after="0" w:afterAutospacing="0" w:line="208" w:lineRule="auto"/>
              <w:ind w:left="478" w:right="0"/>
              <w:rPr>
                <w:rFonts w:hint="default"/>
              </w:rPr>
            </w:pPr>
            <w:r>
              <w:rPr>
                <w:rFonts w:hint="default"/>
              </w:rPr>
              <w:t>水</w:t>
            </w:r>
          </w:p>
        </w:tc>
        <w:tc>
          <w:tcPr>
            <w:tcW w:w="934" w:type="dxa"/>
            <w:gridSpan w:val="2"/>
            <w:vAlign w:val="top"/>
          </w:tcPr>
          <w:p w14:paraId="42673165">
            <w:pPr>
              <w:keepNext w:val="0"/>
              <w:keepLines w:val="0"/>
              <w:suppressLineNumbers w:val="0"/>
              <w:spacing w:before="0" w:beforeAutospacing="0" w:after="0" w:afterAutospacing="0" w:line="271" w:lineRule="auto"/>
              <w:ind w:left="0" w:right="0"/>
              <w:rPr>
                <w:rFonts w:hint="default" w:ascii="Arial"/>
                <w:sz w:val="21"/>
              </w:rPr>
            </w:pPr>
          </w:p>
          <w:p w14:paraId="3388D6CC">
            <w:pPr>
              <w:pStyle w:val="22"/>
              <w:keepNext w:val="0"/>
              <w:keepLines w:val="0"/>
              <w:suppressLineNumbers w:val="0"/>
              <w:spacing w:before="68" w:beforeAutospacing="0" w:after="0" w:afterAutospacing="0" w:line="182" w:lineRule="auto"/>
              <w:ind w:left="367" w:right="0"/>
              <w:rPr>
                <w:rFonts w:hint="default"/>
              </w:rPr>
            </w:pPr>
            <w:r>
              <w:rPr>
                <w:rFonts w:hint="default"/>
                <w:spacing w:val="-3"/>
              </w:rPr>
              <w:t>25</w:t>
            </w:r>
          </w:p>
        </w:tc>
        <w:tc>
          <w:tcPr>
            <w:tcW w:w="468" w:type="dxa"/>
            <w:vAlign w:val="top"/>
          </w:tcPr>
          <w:p w14:paraId="5B580560">
            <w:pPr>
              <w:pStyle w:val="22"/>
              <w:keepNext w:val="0"/>
              <w:keepLines w:val="0"/>
              <w:suppressLineNumbers w:val="0"/>
              <w:spacing w:before="305" w:beforeAutospacing="0" w:after="0" w:afterAutospacing="0" w:line="221" w:lineRule="auto"/>
              <w:ind w:left="133" w:right="0"/>
              <w:rPr>
                <w:rFonts w:hint="default"/>
              </w:rPr>
            </w:pPr>
            <w:r>
              <w:rPr>
                <w:rFonts w:hint="default"/>
              </w:rPr>
              <w:t>液</w:t>
            </w:r>
          </w:p>
        </w:tc>
        <w:tc>
          <w:tcPr>
            <w:tcW w:w="1055" w:type="dxa"/>
            <w:vAlign w:val="top"/>
          </w:tcPr>
          <w:p w14:paraId="5BE5F137">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2AC03E06">
            <w:pPr>
              <w:keepNext w:val="0"/>
              <w:keepLines w:val="0"/>
              <w:suppressLineNumbers w:val="0"/>
              <w:spacing w:before="0" w:beforeAutospacing="0" w:after="0" w:afterAutospacing="0" w:line="271" w:lineRule="auto"/>
              <w:ind w:left="0" w:right="0"/>
              <w:rPr>
                <w:rFonts w:hint="default" w:ascii="Arial"/>
                <w:sz w:val="21"/>
              </w:rPr>
            </w:pPr>
          </w:p>
          <w:p w14:paraId="7F7946BF">
            <w:pPr>
              <w:pStyle w:val="22"/>
              <w:keepNext w:val="0"/>
              <w:keepLines w:val="0"/>
              <w:suppressLineNumbers w:val="0"/>
              <w:spacing w:before="68" w:beforeAutospacing="0" w:after="0" w:afterAutospacing="0" w:line="182" w:lineRule="auto"/>
              <w:ind w:left="444" w:right="0"/>
              <w:rPr>
                <w:rFonts w:hint="default"/>
              </w:rPr>
            </w:pPr>
            <w:r>
              <w:rPr>
                <w:rFonts w:hint="default"/>
                <w:spacing w:val="-2"/>
              </w:rPr>
              <w:t>30000</w:t>
            </w:r>
          </w:p>
        </w:tc>
        <w:tc>
          <w:tcPr>
            <w:tcW w:w="818" w:type="dxa"/>
            <w:gridSpan w:val="2"/>
            <w:vAlign w:val="top"/>
          </w:tcPr>
          <w:p w14:paraId="09003636">
            <w:pPr>
              <w:keepNext w:val="0"/>
              <w:keepLines w:val="0"/>
              <w:suppressLineNumbers w:val="0"/>
              <w:spacing w:before="0" w:beforeAutospacing="0" w:after="0" w:afterAutospacing="0" w:line="271" w:lineRule="auto"/>
              <w:ind w:left="0" w:right="0"/>
              <w:rPr>
                <w:rFonts w:hint="default" w:ascii="Arial"/>
                <w:sz w:val="21"/>
              </w:rPr>
            </w:pPr>
          </w:p>
          <w:p w14:paraId="79507696">
            <w:pPr>
              <w:pStyle w:val="22"/>
              <w:keepNext w:val="0"/>
              <w:keepLines w:val="0"/>
              <w:suppressLineNumbers w:val="0"/>
              <w:spacing w:before="68" w:beforeAutospacing="0" w:after="0" w:afterAutospacing="0" w:line="182" w:lineRule="auto"/>
              <w:ind w:left="310" w:right="0"/>
              <w:rPr>
                <w:rFonts w:hint="default"/>
              </w:rPr>
            </w:pPr>
            <w:r>
              <w:rPr>
                <w:rFonts w:hint="default"/>
                <w:spacing w:val="-2"/>
              </w:rPr>
              <w:t>90</w:t>
            </w:r>
          </w:p>
        </w:tc>
        <w:tc>
          <w:tcPr>
            <w:tcW w:w="712" w:type="dxa"/>
            <w:gridSpan w:val="2"/>
            <w:vAlign w:val="top"/>
          </w:tcPr>
          <w:p w14:paraId="3C70D6A4">
            <w:pPr>
              <w:pStyle w:val="22"/>
              <w:keepNext w:val="0"/>
              <w:keepLines w:val="0"/>
              <w:suppressLineNumbers w:val="0"/>
              <w:spacing w:before="169" w:beforeAutospacing="0" w:after="0" w:afterAutospacing="0" w:line="229" w:lineRule="auto"/>
              <w:ind w:left="256" w:right="141"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50AF3526">
            <w:pPr>
              <w:pStyle w:val="22"/>
              <w:keepNext w:val="0"/>
              <w:keepLines w:val="0"/>
              <w:suppressLineNumbers w:val="0"/>
              <w:spacing w:before="206" w:beforeAutospacing="0" w:after="0" w:afterAutospacing="0" w:line="209" w:lineRule="auto"/>
              <w:ind w:left="168" w:right="0"/>
              <w:rPr>
                <w:rFonts w:hint="default"/>
              </w:rPr>
            </w:pPr>
            <w:r>
              <w:rPr>
                <w:rFonts w:hint="default"/>
                <w:spacing w:val="31"/>
              </w:rPr>
              <w:t>桶装</w:t>
            </w:r>
          </w:p>
        </w:tc>
        <w:tc>
          <w:tcPr>
            <w:tcW w:w="703" w:type="dxa"/>
            <w:gridSpan w:val="2"/>
            <w:vAlign w:val="top"/>
          </w:tcPr>
          <w:p w14:paraId="0A27142F">
            <w:pPr>
              <w:pStyle w:val="22"/>
              <w:keepNext w:val="0"/>
              <w:keepLines w:val="0"/>
              <w:suppressLineNumbers w:val="0"/>
              <w:spacing w:before="305" w:beforeAutospacing="0" w:after="0" w:afterAutospacing="0" w:line="221" w:lineRule="auto"/>
              <w:ind w:left="150" w:right="0"/>
              <w:rPr>
                <w:rFonts w:hint="default"/>
              </w:rPr>
            </w:pPr>
            <w:r>
              <w:rPr>
                <w:rFonts w:hint="default"/>
                <w:spacing w:val="-2"/>
              </w:rPr>
              <w:t>汽车</w:t>
            </w:r>
          </w:p>
        </w:tc>
        <w:tc>
          <w:tcPr>
            <w:tcW w:w="1058" w:type="dxa"/>
            <w:gridSpan w:val="2"/>
            <w:vAlign w:val="top"/>
          </w:tcPr>
          <w:p w14:paraId="142FEBE0">
            <w:pPr>
              <w:pStyle w:val="22"/>
              <w:keepNext w:val="0"/>
              <w:keepLines w:val="0"/>
              <w:suppressLineNumbers w:val="0"/>
              <w:spacing w:before="305" w:beforeAutospacing="0" w:after="0" w:afterAutospacing="0" w:line="221" w:lineRule="auto"/>
              <w:ind w:left="325" w:right="0"/>
              <w:rPr>
                <w:rFonts w:hint="default"/>
              </w:rPr>
            </w:pPr>
            <w:r>
              <w:rPr>
                <w:rFonts w:hint="default"/>
                <w:spacing w:val="-2"/>
              </w:rPr>
              <w:t>产品</w:t>
            </w:r>
          </w:p>
        </w:tc>
      </w:tr>
      <w:tr w14:paraId="6C66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49" w:hRule="atLeast"/>
        </w:trPr>
        <w:tc>
          <w:tcPr>
            <w:tcW w:w="470" w:type="dxa"/>
            <w:vAlign w:val="top"/>
          </w:tcPr>
          <w:p w14:paraId="07B05CBC">
            <w:pPr>
              <w:pStyle w:val="22"/>
              <w:keepNext w:val="0"/>
              <w:keepLines w:val="0"/>
              <w:suppressLineNumbers w:val="0"/>
              <w:spacing w:before="200" w:beforeAutospacing="0" w:after="0" w:afterAutospacing="0" w:line="183" w:lineRule="auto"/>
              <w:ind w:left="203" w:right="0"/>
              <w:rPr>
                <w:rFonts w:hint="default"/>
              </w:rPr>
            </w:pPr>
            <w:r>
              <w:rPr>
                <w:rFonts w:hint="default"/>
              </w:rPr>
              <w:t>1</w:t>
            </w:r>
          </w:p>
        </w:tc>
        <w:tc>
          <w:tcPr>
            <w:tcW w:w="1163" w:type="dxa"/>
            <w:gridSpan w:val="2"/>
            <w:vAlign w:val="top"/>
          </w:tcPr>
          <w:p w14:paraId="742F59BD">
            <w:pPr>
              <w:pStyle w:val="22"/>
              <w:keepNext w:val="0"/>
              <w:keepLines w:val="0"/>
              <w:suppressLineNumbers w:val="0"/>
              <w:spacing w:before="166" w:beforeAutospacing="0" w:after="0" w:afterAutospacing="0" w:line="221" w:lineRule="auto"/>
              <w:ind w:left="374" w:right="0"/>
              <w:rPr>
                <w:rFonts w:hint="default"/>
              </w:rPr>
            </w:pPr>
            <w:r>
              <w:rPr>
                <w:rFonts w:hint="default"/>
                <w:spacing w:val="-2"/>
              </w:rPr>
              <w:t>液氨</w:t>
            </w:r>
          </w:p>
        </w:tc>
        <w:tc>
          <w:tcPr>
            <w:tcW w:w="934" w:type="dxa"/>
            <w:gridSpan w:val="2"/>
            <w:vAlign w:val="top"/>
          </w:tcPr>
          <w:p w14:paraId="2303FBA5">
            <w:pPr>
              <w:pStyle w:val="22"/>
              <w:keepNext w:val="0"/>
              <w:keepLines w:val="0"/>
              <w:suppressLineNumbers w:val="0"/>
              <w:spacing w:before="201" w:beforeAutospacing="0" w:after="0" w:afterAutospacing="0" w:line="182" w:lineRule="auto"/>
              <w:ind w:left="262" w:right="0"/>
              <w:rPr>
                <w:rFonts w:hint="default"/>
              </w:rPr>
            </w:pPr>
            <w:r>
              <w:rPr>
                <w:rFonts w:hint="default"/>
                <w:spacing w:val="-2"/>
              </w:rPr>
              <w:t>99.9</w:t>
            </w:r>
          </w:p>
        </w:tc>
        <w:tc>
          <w:tcPr>
            <w:tcW w:w="468" w:type="dxa"/>
            <w:vAlign w:val="top"/>
          </w:tcPr>
          <w:p w14:paraId="3FC09399">
            <w:pPr>
              <w:pStyle w:val="22"/>
              <w:keepNext w:val="0"/>
              <w:keepLines w:val="0"/>
              <w:suppressLineNumbers w:val="0"/>
              <w:spacing w:before="166" w:beforeAutospacing="0" w:after="0" w:afterAutospacing="0" w:line="221" w:lineRule="auto"/>
              <w:ind w:left="133" w:right="0"/>
              <w:rPr>
                <w:rFonts w:hint="default"/>
              </w:rPr>
            </w:pPr>
            <w:r>
              <w:rPr>
                <w:rFonts w:hint="default"/>
              </w:rPr>
              <w:t>液</w:t>
            </w:r>
          </w:p>
        </w:tc>
        <w:tc>
          <w:tcPr>
            <w:tcW w:w="1055" w:type="dxa"/>
            <w:vAlign w:val="top"/>
          </w:tcPr>
          <w:p w14:paraId="78EFD6E6">
            <w:pPr>
              <w:pStyle w:val="22"/>
              <w:keepNext w:val="0"/>
              <w:keepLines w:val="0"/>
              <w:suppressLineNumbers w:val="0"/>
              <w:spacing w:before="200" w:beforeAutospacing="0" w:after="0" w:afterAutospacing="0" w:line="183" w:lineRule="auto"/>
              <w:ind w:left="337" w:right="0"/>
              <w:rPr>
                <w:rFonts w:hint="default"/>
              </w:rPr>
            </w:pPr>
            <w:r>
              <w:rPr>
                <w:rFonts w:hint="default"/>
                <w:spacing w:val="-5"/>
              </w:rPr>
              <w:t>1219</w:t>
            </w:r>
          </w:p>
        </w:tc>
        <w:tc>
          <w:tcPr>
            <w:tcW w:w="1396" w:type="dxa"/>
            <w:vAlign w:val="top"/>
          </w:tcPr>
          <w:p w14:paraId="65E64C6B">
            <w:pPr>
              <w:pStyle w:val="22"/>
              <w:keepNext w:val="0"/>
              <w:keepLines w:val="0"/>
              <w:suppressLineNumbers w:val="0"/>
              <w:spacing w:before="201" w:beforeAutospacing="0" w:after="0" w:afterAutospacing="0" w:line="182" w:lineRule="auto"/>
              <w:ind w:left="493" w:right="0"/>
              <w:rPr>
                <w:rFonts w:hint="default"/>
              </w:rPr>
            </w:pPr>
            <w:r>
              <w:rPr>
                <w:rFonts w:hint="default"/>
                <w:spacing w:val="-2"/>
              </w:rPr>
              <w:t>8865</w:t>
            </w:r>
          </w:p>
        </w:tc>
        <w:tc>
          <w:tcPr>
            <w:tcW w:w="818" w:type="dxa"/>
            <w:gridSpan w:val="2"/>
            <w:vAlign w:val="top"/>
          </w:tcPr>
          <w:p w14:paraId="7DB92634">
            <w:pPr>
              <w:pStyle w:val="22"/>
              <w:keepNext w:val="0"/>
              <w:keepLines w:val="0"/>
              <w:suppressLineNumbers w:val="0"/>
              <w:spacing w:before="201" w:beforeAutospacing="0" w:after="0" w:afterAutospacing="0" w:line="182" w:lineRule="auto"/>
              <w:ind w:left="311" w:right="0"/>
              <w:rPr>
                <w:rFonts w:hint="default"/>
              </w:rPr>
            </w:pPr>
            <w:r>
              <w:rPr>
                <w:rFonts w:hint="default"/>
                <w:spacing w:val="-3"/>
              </w:rPr>
              <w:t>26</w:t>
            </w:r>
          </w:p>
        </w:tc>
        <w:tc>
          <w:tcPr>
            <w:tcW w:w="712" w:type="dxa"/>
            <w:gridSpan w:val="2"/>
            <w:vAlign w:val="top"/>
          </w:tcPr>
          <w:p w14:paraId="2D4BD5B5">
            <w:pPr>
              <w:pStyle w:val="22"/>
              <w:keepNext w:val="0"/>
              <w:keepLines w:val="0"/>
              <w:suppressLineNumbers w:val="0"/>
              <w:spacing w:before="31" w:beforeAutospacing="0" w:after="0" w:afterAutospacing="0" w:line="223" w:lineRule="auto"/>
              <w:ind w:left="153" w:right="141"/>
              <w:rPr>
                <w:rFonts w:hint="default"/>
              </w:rPr>
            </w:pPr>
            <w:r>
              <w:rPr>
                <w:rFonts w:hint="default"/>
                <w:spacing w:val="-4"/>
              </w:rPr>
              <w:t>液氨</w:t>
            </w:r>
            <w:r>
              <w:rPr>
                <w:rFonts w:hint="default"/>
              </w:rPr>
              <w:t xml:space="preserve"> </w:t>
            </w:r>
            <w:r>
              <w:rPr>
                <w:rFonts w:hint="default"/>
                <w:spacing w:val="-4"/>
              </w:rPr>
              <w:t>罐组</w:t>
            </w:r>
          </w:p>
        </w:tc>
        <w:tc>
          <w:tcPr>
            <w:tcW w:w="629" w:type="dxa"/>
            <w:gridSpan w:val="2"/>
            <w:textDirection w:val="tbRlV"/>
            <w:vAlign w:val="top"/>
          </w:tcPr>
          <w:p w14:paraId="0D0F85ED">
            <w:pPr>
              <w:pStyle w:val="22"/>
              <w:keepNext w:val="0"/>
              <w:keepLines w:val="0"/>
              <w:suppressLineNumbers w:val="0"/>
              <w:spacing w:before="205" w:beforeAutospacing="0" w:after="0" w:afterAutospacing="0" w:line="210" w:lineRule="auto"/>
              <w:ind w:left="31" w:right="0"/>
              <w:rPr>
                <w:rFonts w:hint="default"/>
              </w:rPr>
            </w:pPr>
            <w:r>
              <w:rPr>
                <w:rFonts w:hint="default"/>
                <w:spacing w:val="31"/>
              </w:rPr>
              <w:t>储罐</w:t>
            </w:r>
          </w:p>
        </w:tc>
        <w:tc>
          <w:tcPr>
            <w:tcW w:w="703" w:type="dxa"/>
            <w:gridSpan w:val="2"/>
            <w:vAlign w:val="top"/>
          </w:tcPr>
          <w:p w14:paraId="04811B8E">
            <w:pPr>
              <w:pStyle w:val="22"/>
              <w:keepNext w:val="0"/>
              <w:keepLines w:val="0"/>
              <w:suppressLineNumbers w:val="0"/>
              <w:spacing w:before="165" w:beforeAutospacing="0" w:after="0" w:afterAutospacing="0" w:line="221" w:lineRule="auto"/>
              <w:ind w:left="149" w:right="0"/>
              <w:rPr>
                <w:rFonts w:hint="default"/>
              </w:rPr>
            </w:pPr>
            <w:r>
              <w:rPr>
                <w:rFonts w:hint="default"/>
                <w:spacing w:val="-2"/>
              </w:rPr>
              <w:t>槽车</w:t>
            </w:r>
          </w:p>
        </w:tc>
        <w:tc>
          <w:tcPr>
            <w:tcW w:w="1058" w:type="dxa"/>
            <w:gridSpan w:val="2"/>
            <w:vAlign w:val="top"/>
          </w:tcPr>
          <w:p w14:paraId="5C93D5E5">
            <w:pPr>
              <w:pStyle w:val="22"/>
              <w:keepNext w:val="0"/>
              <w:keepLines w:val="0"/>
              <w:suppressLineNumbers w:val="0"/>
              <w:spacing w:before="166" w:beforeAutospacing="0" w:after="0" w:afterAutospacing="0" w:line="221" w:lineRule="auto"/>
              <w:ind w:left="330" w:right="0"/>
              <w:rPr>
                <w:rFonts w:hint="default"/>
              </w:rPr>
            </w:pPr>
            <w:r>
              <w:rPr>
                <w:rFonts w:hint="default"/>
                <w:spacing w:val="-3"/>
              </w:rPr>
              <w:t>原料</w:t>
            </w:r>
          </w:p>
        </w:tc>
      </w:tr>
      <w:tr w14:paraId="0146F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45" w:hRule="atLeast"/>
        </w:trPr>
        <w:tc>
          <w:tcPr>
            <w:tcW w:w="470" w:type="dxa"/>
            <w:vAlign w:val="top"/>
          </w:tcPr>
          <w:p w14:paraId="1AD342F0">
            <w:pPr>
              <w:pStyle w:val="22"/>
              <w:keepNext w:val="0"/>
              <w:keepLines w:val="0"/>
              <w:suppressLineNumbers w:val="0"/>
              <w:spacing w:before="101" w:beforeAutospacing="0" w:after="0" w:afterAutospacing="0" w:line="182" w:lineRule="auto"/>
              <w:ind w:left="190" w:right="0"/>
              <w:rPr>
                <w:rFonts w:hint="default"/>
              </w:rPr>
            </w:pPr>
            <w:r>
              <w:rPr>
                <w:rFonts w:hint="default"/>
              </w:rPr>
              <w:t>2</w:t>
            </w:r>
          </w:p>
        </w:tc>
        <w:tc>
          <w:tcPr>
            <w:tcW w:w="1163" w:type="dxa"/>
            <w:gridSpan w:val="2"/>
            <w:vAlign w:val="top"/>
          </w:tcPr>
          <w:p w14:paraId="68AB0730">
            <w:pPr>
              <w:pStyle w:val="22"/>
              <w:keepNext w:val="0"/>
              <w:keepLines w:val="0"/>
              <w:suppressLineNumbers w:val="0"/>
              <w:spacing w:before="65" w:beforeAutospacing="0" w:after="0" w:afterAutospacing="0" w:line="221" w:lineRule="auto"/>
              <w:ind w:left="266" w:right="0"/>
              <w:rPr>
                <w:rFonts w:hint="default"/>
              </w:rPr>
            </w:pPr>
            <w:r>
              <w:rPr>
                <w:rFonts w:hint="default"/>
                <w:spacing w:val="-1"/>
              </w:rPr>
              <w:t>超纯水</w:t>
            </w:r>
          </w:p>
        </w:tc>
        <w:tc>
          <w:tcPr>
            <w:tcW w:w="934" w:type="dxa"/>
            <w:gridSpan w:val="2"/>
            <w:vAlign w:val="top"/>
          </w:tcPr>
          <w:p w14:paraId="6E922CE0">
            <w:pPr>
              <w:pStyle w:val="22"/>
              <w:keepNext w:val="0"/>
              <w:keepLines w:val="0"/>
              <w:suppressLineNumbers w:val="0"/>
              <w:spacing w:before="165" w:beforeAutospacing="0" w:after="0" w:afterAutospacing="0" w:line="142" w:lineRule="exact"/>
              <w:ind w:left="362" w:right="0"/>
              <w:rPr>
                <w:rFonts w:hint="default"/>
              </w:rPr>
            </w:pPr>
            <w:r>
              <w:rPr>
                <w:rFonts w:hint="default"/>
                <w:position w:val="-3"/>
              </w:rPr>
              <w:t>—</w:t>
            </w:r>
          </w:p>
        </w:tc>
        <w:tc>
          <w:tcPr>
            <w:tcW w:w="468" w:type="dxa"/>
            <w:vAlign w:val="top"/>
          </w:tcPr>
          <w:p w14:paraId="595AC9BA">
            <w:pPr>
              <w:pStyle w:val="22"/>
              <w:keepNext w:val="0"/>
              <w:keepLines w:val="0"/>
              <w:suppressLineNumbers w:val="0"/>
              <w:spacing w:before="66" w:beforeAutospacing="0" w:after="0" w:afterAutospacing="0" w:line="221" w:lineRule="auto"/>
              <w:ind w:left="133" w:right="0"/>
              <w:rPr>
                <w:rFonts w:hint="default"/>
              </w:rPr>
            </w:pPr>
            <w:r>
              <w:rPr>
                <w:rFonts w:hint="default"/>
              </w:rPr>
              <w:t>液</w:t>
            </w:r>
          </w:p>
        </w:tc>
        <w:tc>
          <w:tcPr>
            <w:tcW w:w="1055" w:type="dxa"/>
            <w:vAlign w:val="top"/>
          </w:tcPr>
          <w:p w14:paraId="389C49BB">
            <w:pPr>
              <w:pStyle w:val="22"/>
              <w:keepNext w:val="0"/>
              <w:keepLines w:val="0"/>
              <w:suppressLineNumbers w:val="0"/>
              <w:spacing w:before="165" w:beforeAutospacing="0" w:after="0" w:afterAutospacing="0" w:line="142" w:lineRule="exact"/>
              <w:ind w:left="425" w:right="0"/>
              <w:rPr>
                <w:rFonts w:hint="default"/>
              </w:rPr>
            </w:pPr>
            <w:r>
              <w:rPr>
                <w:rFonts w:hint="default"/>
                <w:position w:val="-3"/>
              </w:rPr>
              <w:t>—</w:t>
            </w:r>
          </w:p>
        </w:tc>
        <w:tc>
          <w:tcPr>
            <w:tcW w:w="1396" w:type="dxa"/>
            <w:vAlign w:val="top"/>
          </w:tcPr>
          <w:p w14:paraId="7907FF60">
            <w:pPr>
              <w:pStyle w:val="22"/>
              <w:keepNext w:val="0"/>
              <w:keepLines w:val="0"/>
              <w:suppressLineNumbers w:val="0"/>
              <w:spacing w:before="100" w:beforeAutospacing="0" w:after="0" w:afterAutospacing="0" w:line="183" w:lineRule="auto"/>
              <w:ind w:left="337" w:right="0"/>
              <w:rPr>
                <w:rFonts w:hint="default"/>
              </w:rPr>
            </w:pPr>
            <w:r>
              <w:rPr>
                <w:rFonts w:hint="default"/>
                <w:spacing w:val="-2"/>
              </w:rPr>
              <w:t>21175.5</w:t>
            </w:r>
          </w:p>
        </w:tc>
        <w:tc>
          <w:tcPr>
            <w:tcW w:w="818" w:type="dxa"/>
            <w:gridSpan w:val="2"/>
            <w:vAlign w:val="top"/>
          </w:tcPr>
          <w:p w14:paraId="59C9015C">
            <w:pPr>
              <w:keepNext w:val="0"/>
              <w:keepLines w:val="0"/>
              <w:suppressLineNumbers w:val="0"/>
              <w:spacing w:before="0" w:beforeAutospacing="0" w:after="0" w:afterAutospacing="0"/>
              <w:ind w:left="0" w:right="0"/>
              <w:rPr>
                <w:rFonts w:hint="default" w:ascii="Arial"/>
                <w:sz w:val="21"/>
              </w:rPr>
            </w:pPr>
          </w:p>
        </w:tc>
        <w:tc>
          <w:tcPr>
            <w:tcW w:w="712" w:type="dxa"/>
            <w:gridSpan w:val="2"/>
            <w:vAlign w:val="top"/>
          </w:tcPr>
          <w:p w14:paraId="15E9B03C">
            <w:pPr>
              <w:keepNext w:val="0"/>
              <w:keepLines w:val="0"/>
              <w:suppressLineNumbers w:val="0"/>
              <w:spacing w:before="0" w:beforeAutospacing="0" w:after="0" w:afterAutospacing="0"/>
              <w:ind w:left="0" w:right="0"/>
              <w:rPr>
                <w:rFonts w:hint="default" w:ascii="Arial"/>
                <w:sz w:val="21"/>
              </w:rPr>
            </w:pPr>
          </w:p>
        </w:tc>
        <w:tc>
          <w:tcPr>
            <w:tcW w:w="629" w:type="dxa"/>
            <w:gridSpan w:val="2"/>
            <w:vAlign w:val="top"/>
          </w:tcPr>
          <w:p w14:paraId="319C6DEF">
            <w:pPr>
              <w:keepNext w:val="0"/>
              <w:keepLines w:val="0"/>
              <w:suppressLineNumbers w:val="0"/>
              <w:spacing w:before="0" w:beforeAutospacing="0" w:after="0" w:afterAutospacing="0"/>
              <w:ind w:left="0" w:right="0"/>
              <w:rPr>
                <w:rFonts w:hint="default" w:ascii="Arial"/>
                <w:sz w:val="21"/>
              </w:rPr>
            </w:pPr>
          </w:p>
        </w:tc>
        <w:tc>
          <w:tcPr>
            <w:tcW w:w="703" w:type="dxa"/>
            <w:gridSpan w:val="2"/>
            <w:vAlign w:val="top"/>
          </w:tcPr>
          <w:p w14:paraId="1A9379FC">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32CD5A7B">
            <w:pPr>
              <w:pStyle w:val="22"/>
              <w:keepNext w:val="0"/>
              <w:keepLines w:val="0"/>
              <w:suppressLineNumbers w:val="0"/>
              <w:spacing w:before="66" w:beforeAutospacing="0" w:after="0" w:afterAutospacing="0" w:line="221" w:lineRule="auto"/>
              <w:ind w:left="330" w:right="0"/>
              <w:rPr>
                <w:rFonts w:hint="default"/>
              </w:rPr>
            </w:pPr>
            <w:r>
              <w:rPr>
                <w:rFonts w:hint="default"/>
                <w:spacing w:val="-3"/>
              </w:rPr>
              <w:t>原料</w:t>
            </w:r>
          </w:p>
        </w:tc>
      </w:tr>
      <w:tr w14:paraId="7F350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1" w:hRule="atLeast"/>
        </w:trPr>
        <w:tc>
          <w:tcPr>
            <w:tcW w:w="470" w:type="dxa"/>
            <w:vAlign w:val="top"/>
          </w:tcPr>
          <w:p w14:paraId="35302402">
            <w:pPr>
              <w:keepNext w:val="0"/>
              <w:keepLines w:val="0"/>
              <w:suppressLineNumbers w:val="0"/>
              <w:spacing w:before="0" w:beforeAutospacing="0" w:after="0" w:afterAutospacing="0" w:line="270" w:lineRule="auto"/>
              <w:ind w:left="0" w:right="0"/>
              <w:rPr>
                <w:rFonts w:hint="default" w:ascii="Arial"/>
                <w:sz w:val="21"/>
              </w:rPr>
            </w:pPr>
          </w:p>
          <w:p w14:paraId="5479A80E">
            <w:pPr>
              <w:pStyle w:val="22"/>
              <w:keepNext w:val="0"/>
              <w:keepLines w:val="0"/>
              <w:suppressLineNumbers w:val="0"/>
              <w:spacing w:before="68" w:beforeAutospacing="0" w:after="0" w:afterAutospacing="0" w:line="182" w:lineRule="auto"/>
              <w:ind w:left="192" w:right="0"/>
              <w:rPr>
                <w:rFonts w:hint="default"/>
              </w:rPr>
            </w:pPr>
            <w:r>
              <w:rPr>
                <w:rFonts w:hint="default"/>
              </w:rPr>
              <w:t>3</w:t>
            </w:r>
          </w:p>
        </w:tc>
        <w:tc>
          <w:tcPr>
            <w:tcW w:w="1163" w:type="dxa"/>
            <w:gridSpan w:val="2"/>
            <w:vAlign w:val="top"/>
          </w:tcPr>
          <w:p w14:paraId="03836795">
            <w:pPr>
              <w:pStyle w:val="22"/>
              <w:keepNext w:val="0"/>
              <w:keepLines w:val="0"/>
              <w:suppressLineNumbers w:val="0"/>
              <w:spacing w:before="304" w:beforeAutospacing="0" w:after="0" w:afterAutospacing="0" w:line="221" w:lineRule="auto"/>
              <w:ind w:left="166" w:right="0"/>
              <w:rPr>
                <w:rFonts w:hint="default"/>
              </w:rPr>
            </w:pPr>
            <w:r>
              <w:rPr>
                <w:rFonts w:hint="default"/>
                <w:spacing w:val="-3"/>
              </w:rPr>
              <w:t>副产氨水</w:t>
            </w:r>
          </w:p>
        </w:tc>
        <w:tc>
          <w:tcPr>
            <w:tcW w:w="934" w:type="dxa"/>
            <w:gridSpan w:val="2"/>
            <w:vAlign w:val="top"/>
          </w:tcPr>
          <w:p w14:paraId="41DA7B3F">
            <w:pPr>
              <w:keepNext w:val="0"/>
              <w:keepLines w:val="0"/>
              <w:suppressLineNumbers w:val="0"/>
              <w:spacing w:before="0" w:beforeAutospacing="0" w:after="0" w:afterAutospacing="0" w:line="270" w:lineRule="auto"/>
              <w:ind w:left="0" w:right="0"/>
              <w:rPr>
                <w:rFonts w:hint="default" w:ascii="Arial"/>
                <w:sz w:val="21"/>
              </w:rPr>
            </w:pPr>
          </w:p>
          <w:p w14:paraId="794C634F">
            <w:pPr>
              <w:pStyle w:val="22"/>
              <w:keepNext w:val="0"/>
              <w:keepLines w:val="0"/>
              <w:suppressLineNumbers w:val="0"/>
              <w:spacing w:before="68" w:beforeAutospacing="0" w:after="0" w:afterAutospacing="0" w:line="182" w:lineRule="auto"/>
              <w:ind w:left="211" w:right="0"/>
              <w:rPr>
                <w:rFonts w:hint="default"/>
              </w:rPr>
            </w:pPr>
            <w:r>
              <w:rPr>
                <w:rFonts w:hint="default"/>
                <w:spacing w:val="-2"/>
              </w:rPr>
              <w:t>20-30</w:t>
            </w:r>
          </w:p>
        </w:tc>
        <w:tc>
          <w:tcPr>
            <w:tcW w:w="468" w:type="dxa"/>
            <w:vAlign w:val="top"/>
          </w:tcPr>
          <w:p w14:paraId="4AD5BAAC">
            <w:pPr>
              <w:pStyle w:val="22"/>
              <w:keepNext w:val="0"/>
              <w:keepLines w:val="0"/>
              <w:suppressLineNumbers w:val="0"/>
              <w:spacing w:before="304" w:beforeAutospacing="0" w:after="0" w:afterAutospacing="0" w:line="221" w:lineRule="auto"/>
              <w:ind w:left="133" w:right="0"/>
              <w:rPr>
                <w:rFonts w:hint="default"/>
              </w:rPr>
            </w:pPr>
            <w:r>
              <w:rPr>
                <w:rFonts w:hint="default"/>
              </w:rPr>
              <w:t>液</w:t>
            </w:r>
          </w:p>
        </w:tc>
        <w:tc>
          <w:tcPr>
            <w:tcW w:w="1055" w:type="dxa"/>
            <w:vAlign w:val="top"/>
          </w:tcPr>
          <w:p w14:paraId="0A0D6FB7">
            <w:pPr>
              <w:keepNext w:val="0"/>
              <w:keepLines w:val="0"/>
              <w:suppressLineNumbers w:val="0"/>
              <w:spacing w:before="0" w:beforeAutospacing="0" w:after="0" w:afterAutospacing="0" w:line="333" w:lineRule="auto"/>
              <w:ind w:left="0" w:right="0"/>
              <w:rPr>
                <w:rFonts w:hint="default" w:ascii="Arial"/>
                <w:sz w:val="21"/>
              </w:rPr>
            </w:pPr>
          </w:p>
          <w:p w14:paraId="4E70A373">
            <w:pPr>
              <w:pStyle w:val="22"/>
              <w:keepNext w:val="0"/>
              <w:keepLines w:val="0"/>
              <w:suppressLineNumbers w:val="0"/>
              <w:spacing w:before="69" w:beforeAutospacing="0" w:after="0" w:afterAutospacing="0" w:line="142" w:lineRule="exact"/>
              <w:ind w:left="425" w:right="0"/>
              <w:rPr>
                <w:rFonts w:hint="default"/>
              </w:rPr>
            </w:pPr>
            <w:r>
              <w:rPr>
                <w:rFonts w:hint="default"/>
                <w:position w:val="-3"/>
              </w:rPr>
              <w:t>—</w:t>
            </w:r>
          </w:p>
        </w:tc>
        <w:tc>
          <w:tcPr>
            <w:tcW w:w="1396" w:type="dxa"/>
            <w:vAlign w:val="top"/>
          </w:tcPr>
          <w:p w14:paraId="09F2F354">
            <w:pPr>
              <w:keepNext w:val="0"/>
              <w:keepLines w:val="0"/>
              <w:suppressLineNumbers w:val="0"/>
              <w:spacing w:before="0" w:beforeAutospacing="0" w:after="0" w:afterAutospacing="0" w:line="270" w:lineRule="auto"/>
              <w:ind w:left="0" w:right="0"/>
              <w:rPr>
                <w:rFonts w:hint="default" w:ascii="Arial"/>
                <w:sz w:val="21"/>
              </w:rPr>
            </w:pPr>
          </w:p>
          <w:p w14:paraId="7E022C20">
            <w:pPr>
              <w:pStyle w:val="22"/>
              <w:keepNext w:val="0"/>
              <w:keepLines w:val="0"/>
              <w:suppressLineNumbers w:val="0"/>
              <w:spacing w:before="68" w:beforeAutospacing="0" w:after="0" w:afterAutospacing="0" w:line="182" w:lineRule="auto"/>
              <w:ind w:left="391" w:right="0"/>
              <w:rPr>
                <w:rFonts w:hint="default"/>
              </w:rPr>
            </w:pPr>
            <w:r>
              <w:rPr>
                <w:rFonts w:hint="default"/>
                <w:spacing w:val="-2"/>
              </w:rPr>
              <w:t>347.97</w:t>
            </w:r>
          </w:p>
        </w:tc>
        <w:tc>
          <w:tcPr>
            <w:tcW w:w="818" w:type="dxa"/>
            <w:gridSpan w:val="2"/>
            <w:vAlign w:val="top"/>
          </w:tcPr>
          <w:p w14:paraId="538A1012">
            <w:pPr>
              <w:keepNext w:val="0"/>
              <w:keepLines w:val="0"/>
              <w:suppressLineNumbers w:val="0"/>
              <w:spacing w:before="0" w:beforeAutospacing="0" w:after="0" w:afterAutospacing="0" w:line="268" w:lineRule="auto"/>
              <w:ind w:left="0" w:right="0"/>
              <w:rPr>
                <w:rFonts w:hint="default" w:ascii="Arial"/>
                <w:sz w:val="21"/>
              </w:rPr>
            </w:pPr>
          </w:p>
          <w:p w14:paraId="61E2B7AC">
            <w:pPr>
              <w:pStyle w:val="22"/>
              <w:keepNext w:val="0"/>
              <w:keepLines w:val="0"/>
              <w:suppressLineNumbers w:val="0"/>
              <w:spacing w:before="69" w:beforeAutospacing="0" w:after="0" w:afterAutospacing="0" w:line="183" w:lineRule="auto"/>
              <w:ind w:left="207" w:right="0"/>
              <w:rPr>
                <w:rFonts w:hint="default"/>
              </w:rPr>
            </w:pPr>
            <w:r>
              <w:rPr>
                <w:rFonts w:hint="default"/>
                <w:spacing w:val="-2"/>
              </w:rPr>
              <w:t>81.9</w:t>
            </w:r>
          </w:p>
        </w:tc>
        <w:tc>
          <w:tcPr>
            <w:tcW w:w="712" w:type="dxa"/>
            <w:gridSpan w:val="2"/>
            <w:vAlign w:val="top"/>
          </w:tcPr>
          <w:p w14:paraId="12DA5A7D">
            <w:pPr>
              <w:pStyle w:val="22"/>
              <w:keepNext w:val="0"/>
              <w:keepLines w:val="0"/>
              <w:suppressLineNumbers w:val="0"/>
              <w:spacing w:before="166" w:beforeAutospacing="0" w:after="0" w:afterAutospacing="0" w:line="231" w:lineRule="auto"/>
              <w:ind w:left="153" w:right="141" w:firstLine="3"/>
              <w:rPr>
                <w:rFonts w:hint="default"/>
              </w:rPr>
            </w:pPr>
            <w:r>
              <w:rPr>
                <w:rFonts w:hint="default"/>
                <w:spacing w:val="-6"/>
              </w:rPr>
              <w:t>原料</w:t>
            </w:r>
            <w:r>
              <w:rPr>
                <w:rFonts w:hint="default"/>
              </w:rPr>
              <w:t xml:space="preserve"> </w:t>
            </w:r>
            <w:r>
              <w:rPr>
                <w:rFonts w:hint="default"/>
                <w:spacing w:val="-4"/>
              </w:rPr>
              <w:t>罐组</w:t>
            </w:r>
          </w:p>
        </w:tc>
        <w:tc>
          <w:tcPr>
            <w:tcW w:w="629" w:type="dxa"/>
            <w:gridSpan w:val="2"/>
            <w:textDirection w:val="tbRlV"/>
            <w:vAlign w:val="top"/>
          </w:tcPr>
          <w:p w14:paraId="64BDF392">
            <w:pPr>
              <w:pStyle w:val="22"/>
              <w:keepNext w:val="0"/>
              <w:keepLines w:val="0"/>
              <w:suppressLineNumbers w:val="0"/>
              <w:spacing w:before="205" w:beforeAutospacing="0" w:after="0" w:afterAutospacing="0" w:line="210" w:lineRule="auto"/>
              <w:ind w:left="167" w:right="0"/>
              <w:rPr>
                <w:rFonts w:hint="default"/>
              </w:rPr>
            </w:pPr>
            <w:r>
              <w:rPr>
                <w:rFonts w:hint="default"/>
                <w:spacing w:val="1"/>
              </w:rPr>
              <w:t>储</w:t>
            </w:r>
            <w:r>
              <w:rPr>
                <w:rFonts w:hint="default"/>
                <w:spacing w:val="-43"/>
              </w:rPr>
              <w:t xml:space="preserve"> </w:t>
            </w:r>
            <w:r>
              <w:rPr>
                <w:rFonts w:hint="default"/>
                <w:spacing w:val="1"/>
              </w:rPr>
              <w:t>罐</w:t>
            </w:r>
          </w:p>
        </w:tc>
        <w:tc>
          <w:tcPr>
            <w:tcW w:w="703" w:type="dxa"/>
            <w:gridSpan w:val="2"/>
            <w:vAlign w:val="top"/>
          </w:tcPr>
          <w:p w14:paraId="39743389">
            <w:pPr>
              <w:pStyle w:val="22"/>
              <w:keepNext w:val="0"/>
              <w:keepLines w:val="0"/>
              <w:suppressLineNumbers w:val="0"/>
              <w:spacing w:before="32" w:beforeAutospacing="0" w:after="0" w:afterAutospacing="0" w:line="228" w:lineRule="auto"/>
              <w:ind w:left="156" w:right="133" w:hanging="1"/>
              <w:jc w:val="both"/>
              <w:rPr>
                <w:rFonts w:hint="default"/>
              </w:rPr>
            </w:pPr>
            <w:r>
              <w:rPr>
                <w:rFonts w:hint="default"/>
                <w:spacing w:val="-6"/>
              </w:rPr>
              <w:t>管道</w:t>
            </w:r>
            <w:r>
              <w:rPr>
                <w:rFonts w:hint="default"/>
              </w:rPr>
              <w:t xml:space="preserve"> </w:t>
            </w:r>
            <w:r>
              <w:rPr>
                <w:rFonts w:hint="default"/>
                <w:spacing w:val="-13"/>
              </w:rPr>
              <w:t>（厂</w:t>
            </w:r>
            <w:r>
              <w:rPr>
                <w:rFonts w:hint="default"/>
              </w:rPr>
              <w:t xml:space="preserve"> </w:t>
            </w:r>
            <w:r>
              <w:rPr>
                <w:rFonts w:hint="default"/>
                <w:spacing w:val="-7"/>
              </w:rPr>
              <w:t>内）</w:t>
            </w:r>
          </w:p>
        </w:tc>
        <w:tc>
          <w:tcPr>
            <w:tcW w:w="1058" w:type="dxa"/>
            <w:gridSpan w:val="2"/>
            <w:vAlign w:val="top"/>
          </w:tcPr>
          <w:p w14:paraId="5D063694">
            <w:pPr>
              <w:pStyle w:val="22"/>
              <w:keepNext w:val="0"/>
              <w:keepLines w:val="0"/>
              <w:suppressLineNumbers w:val="0"/>
              <w:spacing w:before="304" w:beforeAutospacing="0" w:after="0" w:afterAutospacing="0" w:line="221" w:lineRule="auto"/>
              <w:ind w:left="224" w:right="0"/>
              <w:rPr>
                <w:rFonts w:hint="default"/>
              </w:rPr>
            </w:pPr>
            <w:r>
              <w:rPr>
                <w:rFonts w:hint="default"/>
                <w:spacing w:val="-2"/>
              </w:rPr>
              <w:t>副产品</w:t>
            </w:r>
          </w:p>
        </w:tc>
      </w:tr>
      <w:tr w14:paraId="4C570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22" w:hRule="atLeast"/>
        </w:trPr>
        <w:tc>
          <w:tcPr>
            <w:tcW w:w="470" w:type="dxa"/>
            <w:vAlign w:val="top"/>
          </w:tcPr>
          <w:p w14:paraId="3A41BF3E">
            <w:pPr>
              <w:pStyle w:val="22"/>
              <w:keepNext w:val="0"/>
              <w:keepLines w:val="0"/>
              <w:suppressLineNumbers w:val="0"/>
              <w:spacing w:before="306" w:beforeAutospacing="0" w:after="0" w:afterAutospacing="0" w:line="238" w:lineRule="auto"/>
              <w:ind w:left="135" w:right="0"/>
              <w:rPr>
                <w:rFonts w:hint="default"/>
              </w:rPr>
            </w:pPr>
            <w:r>
              <w:rPr>
                <w:rFonts w:hint="default"/>
              </w:rPr>
              <w:t>三</w:t>
            </w:r>
          </w:p>
        </w:tc>
        <w:tc>
          <w:tcPr>
            <w:tcW w:w="1163" w:type="dxa"/>
            <w:gridSpan w:val="2"/>
            <w:vAlign w:val="top"/>
          </w:tcPr>
          <w:p w14:paraId="621CF91F">
            <w:pPr>
              <w:pStyle w:val="22"/>
              <w:keepNext w:val="0"/>
              <w:keepLines w:val="0"/>
              <w:suppressLineNumbers w:val="0"/>
              <w:spacing w:before="32" w:beforeAutospacing="0" w:after="0" w:afterAutospacing="0" w:line="226" w:lineRule="auto"/>
              <w:ind w:left="177" w:right="0"/>
              <w:rPr>
                <w:rFonts w:hint="default"/>
              </w:rPr>
            </w:pPr>
            <w:r>
              <w:rPr>
                <w:rFonts w:hint="default"/>
                <w:spacing w:val="-3"/>
              </w:rPr>
              <w:t>15000t/a</w:t>
            </w:r>
          </w:p>
          <w:p w14:paraId="676277B2">
            <w:pPr>
              <w:pStyle w:val="22"/>
              <w:keepNext w:val="0"/>
              <w:keepLines w:val="0"/>
              <w:suppressLineNumbers w:val="0"/>
              <w:spacing w:before="16" w:beforeAutospacing="0" w:after="0" w:afterAutospacing="0" w:line="221" w:lineRule="auto"/>
              <w:ind w:left="186" w:right="0"/>
              <w:rPr>
                <w:rFonts w:hint="default"/>
              </w:rPr>
            </w:pPr>
            <w:r>
              <w:rPr>
                <w:rFonts w:hint="default"/>
                <w:spacing w:val="-8"/>
              </w:rPr>
              <w:t>电子级异</w:t>
            </w:r>
          </w:p>
          <w:p w14:paraId="301B6D72">
            <w:pPr>
              <w:pStyle w:val="22"/>
              <w:keepNext w:val="0"/>
              <w:keepLines w:val="0"/>
              <w:suppressLineNumbers w:val="0"/>
              <w:spacing w:before="20" w:beforeAutospacing="0" w:after="0" w:afterAutospacing="0" w:line="206" w:lineRule="auto"/>
              <w:ind w:left="377" w:right="0"/>
              <w:rPr>
                <w:rFonts w:hint="default"/>
              </w:rPr>
            </w:pPr>
            <w:r>
              <w:rPr>
                <w:rFonts w:hint="default"/>
                <w:spacing w:val="-3"/>
              </w:rPr>
              <w:t>丙醇</w:t>
            </w:r>
          </w:p>
        </w:tc>
        <w:tc>
          <w:tcPr>
            <w:tcW w:w="934" w:type="dxa"/>
            <w:gridSpan w:val="2"/>
            <w:vAlign w:val="top"/>
          </w:tcPr>
          <w:p w14:paraId="3CB943C5">
            <w:pPr>
              <w:keepNext w:val="0"/>
              <w:keepLines w:val="0"/>
              <w:suppressLineNumbers w:val="0"/>
              <w:spacing w:before="0" w:beforeAutospacing="0" w:after="0" w:afterAutospacing="0" w:line="272" w:lineRule="auto"/>
              <w:ind w:left="0" w:right="0"/>
              <w:rPr>
                <w:rFonts w:hint="default" w:ascii="Arial"/>
                <w:sz w:val="21"/>
              </w:rPr>
            </w:pPr>
          </w:p>
          <w:p w14:paraId="650FC521">
            <w:pPr>
              <w:pStyle w:val="22"/>
              <w:keepNext w:val="0"/>
              <w:keepLines w:val="0"/>
              <w:suppressLineNumbers w:val="0"/>
              <w:spacing w:before="68" w:beforeAutospacing="0" w:after="0" w:afterAutospacing="0" w:line="182" w:lineRule="auto"/>
              <w:ind w:left="262" w:right="0"/>
              <w:rPr>
                <w:rFonts w:hint="default"/>
              </w:rPr>
            </w:pPr>
            <w:r>
              <w:rPr>
                <w:rFonts w:hint="default"/>
                <w:spacing w:val="-2"/>
              </w:rPr>
              <w:t>99.9</w:t>
            </w:r>
          </w:p>
        </w:tc>
        <w:tc>
          <w:tcPr>
            <w:tcW w:w="468" w:type="dxa"/>
            <w:vAlign w:val="top"/>
          </w:tcPr>
          <w:p w14:paraId="7FF49024">
            <w:pPr>
              <w:pStyle w:val="22"/>
              <w:keepNext w:val="0"/>
              <w:keepLines w:val="0"/>
              <w:suppressLineNumbers w:val="0"/>
              <w:spacing w:before="306" w:beforeAutospacing="0" w:after="0" w:afterAutospacing="0" w:line="221" w:lineRule="auto"/>
              <w:ind w:left="133" w:right="0"/>
              <w:rPr>
                <w:rFonts w:hint="default"/>
              </w:rPr>
            </w:pPr>
            <w:r>
              <w:rPr>
                <w:rFonts w:hint="default"/>
              </w:rPr>
              <w:t>液</w:t>
            </w:r>
          </w:p>
        </w:tc>
        <w:tc>
          <w:tcPr>
            <w:tcW w:w="1055" w:type="dxa"/>
            <w:vAlign w:val="top"/>
          </w:tcPr>
          <w:p w14:paraId="0612DE0E">
            <w:pPr>
              <w:keepNext w:val="0"/>
              <w:keepLines w:val="0"/>
              <w:suppressLineNumbers w:val="0"/>
              <w:spacing w:before="0" w:beforeAutospacing="0" w:after="0" w:afterAutospacing="0" w:line="270" w:lineRule="auto"/>
              <w:ind w:left="0" w:right="0"/>
              <w:rPr>
                <w:rFonts w:hint="default" w:ascii="Arial"/>
                <w:sz w:val="21"/>
              </w:rPr>
            </w:pPr>
          </w:p>
          <w:p w14:paraId="52D3FBB8">
            <w:pPr>
              <w:pStyle w:val="22"/>
              <w:keepNext w:val="0"/>
              <w:keepLines w:val="0"/>
              <w:suppressLineNumbers w:val="0"/>
              <w:spacing w:before="69" w:beforeAutospacing="0" w:after="0" w:afterAutospacing="0" w:line="183" w:lineRule="auto"/>
              <w:ind w:left="337" w:right="0"/>
              <w:rPr>
                <w:rFonts w:hint="default"/>
              </w:rPr>
            </w:pPr>
            <w:r>
              <w:rPr>
                <w:rFonts w:hint="default"/>
                <w:spacing w:val="-5"/>
              </w:rPr>
              <w:t>1219</w:t>
            </w:r>
          </w:p>
        </w:tc>
        <w:tc>
          <w:tcPr>
            <w:tcW w:w="1396" w:type="dxa"/>
            <w:vAlign w:val="top"/>
          </w:tcPr>
          <w:p w14:paraId="3B3BBFFA">
            <w:pPr>
              <w:keepNext w:val="0"/>
              <w:keepLines w:val="0"/>
              <w:suppressLineNumbers w:val="0"/>
              <w:spacing w:before="0" w:beforeAutospacing="0" w:after="0" w:afterAutospacing="0" w:line="270" w:lineRule="auto"/>
              <w:ind w:left="0" w:right="0"/>
              <w:rPr>
                <w:rFonts w:hint="default" w:ascii="Arial"/>
                <w:sz w:val="21"/>
              </w:rPr>
            </w:pPr>
          </w:p>
          <w:p w14:paraId="09B88468">
            <w:pPr>
              <w:pStyle w:val="22"/>
              <w:keepNext w:val="0"/>
              <w:keepLines w:val="0"/>
              <w:suppressLineNumbers w:val="0"/>
              <w:spacing w:before="69" w:beforeAutospacing="0" w:after="0" w:afterAutospacing="0" w:line="183" w:lineRule="auto"/>
              <w:ind w:left="455" w:right="0"/>
              <w:rPr>
                <w:rFonts w:hint="default"/>
              </w:rPr>
            </w:pPr>
            <w:r>
              <w:rPr>
                <w:rFonts w:hint="default"/>
                <w:spacing w:val="-4"/>
              </w:rPr>
              <w:t>15000</w:t>
            </w:r>
          </w:p>
        </w:tc>
        <w:tc>
          <w:tcPr>
            <w:tcW w:w="818" w:type="dxa"/>
            <w:gridSpan w:val="2"/>
            <w:vAlign w:val="top"/>
          </w:tcPr>
          <w:p w14:paraId="36E39370">
            <w:pPr>
              <w:keepNext w:val="0"/>
              <w:keepLines w:val="0"/>
              <w:suppressLineNumbers w:val="0"/>
              <w:spacing w:before="0" w:beforeAutospacing="0" w:after="0" w:afterAutospacing="0" w:line="272" w:lineRule="auto"/>
              <w:ind w:left="0" w:right="0"/>
              <w:rPr>
                <w:rFonts w:hint="default" w:ascii="Arial"/>
                <w:sz w:val="21"/>
              </w:rPr>
            </w:pPr>
          </w:p>
          <w:p w14:paraId="719FE714">
            <w:pPr>
              <w:pStyle w:val="22"/>
              <w:keepNext w:val="0"/>
              <w:keepLines w:val="0"/>
              <w:suppressLineNumbers w:val="0"/>
              <w:spacing w:before="68" w:beforeAutospacing="0" w:after="0" w:afterAutospacing="0" w:line="182" w:lineRule="auto"/>
              <w:ind w:left="310" w:right="0"/>
              <w:rPr>
                <w:rFonts w:hint="default"/>
              </w:rPr>
            </w:pPr>
            <w:r>
              <w:rPr>
                <w:rFonts w:hint="default"/>
                <w:spacing w:val="-2"/>
              </w:rPr>
              <w:t>80</w:t>
            </w:r>
          </w:p>
        </w:tc>
        <w:tc>
          <w:tcPr>
            <w:tcW w:w="712" w:type="dxa"/>
            <w:gridSpan w:val="2"/>
            <w:vAlign w:val="top"/>
          </w:tcPr>
          <w:p w14:paraId="6ECE5878">
            <w:pPr>
              <w:pStyle w:val="22"/>
              <w:keepNext w:val="0"/>
              <w:keepLines w:val="0"/>
              <w:suppressLineNumbers w:val="0"/>
              <w:spacing w:before="170" w:beforeAutospacing="0" w:after="0" w:afterAutospacing="0" w:line="229" w:lineRule="auto"/>
              <w:ind w:left="257" w:right="141" w:hanging="102"/>
              <w:rPr>
                <w:rFonts w:hint="default"/>
              </w:rPr>
            </w:pPr>
            <w:r>
              <w:rPr>
                <w:rFonts w:hint="default"/>
                <w:spacing w:val="-4"/>
              </w:rPr>
              <w:t>3#仓</w:t>
            </w:r>
            <w:r>
              <w:rPr>
                <w:rFonts w:hint="default"/>
              </w:rPr>
              <w:t xml:space="preserve"> 库</w:t>
            </w:r>
          </w:p>
        </w:tc>
        <w:tc>
          <w:tcPr>
            <w:tcW w:w="629" w:type="dxa"/>
            <w:gridSpan w:val="2"/>
            <w:textDirection w:val="tbRlV"/>
            <w:vAlign w:val="top"/>
          </w:tcPr>
          <w:p w14:paraId="72D6F1C2">
            <w:pPr>
              <w:pStyle w:val="22"/>
              <w:keepNext w:val="0"/>
              <w:keepLines w:val="0"/>
              <w:suppressLineNumbers w:val="0"/>
              <w:spacing w:before="206" w:beforeAutospacing="0" w:after="0" w:afterAutospacing="0" w:line="209" w:lineRule="auto"/>
              <w:ind w:left="169" w:right="0"/>
              <w:rPr>
                <w:rFonts w:hint="default"/>
              </w:rPr>
            </w:pPr>
            <w:r>
              <w:rPr>
                <w:rFonts w:hint="default"/>
                <w:spacing w:val="31"/>
              </w:rPr>
              <w:t>桶装</w:t>
            </w:r>
          </w:p>
        </w:tc>
        <w:tc>
          <w:tcPr>
            <w:tcW w:w="703" w:type="dxa"/>
            <w:gridSpan w:val="2"/>
            <w:vAlign w:val="top"/>
          </w:tcPr>
          <w:p w14:paraId="0C4C0AB3">
            <w:pPr>
              <w:pStyle w:val="22"/>
              <w:keepNext w:val="0"/>
              <w:keepLines w:val="0"/>
              <w:suppressLineNumbers w:val="0"/>
              <w:spacing w:before="306" w:beforeAutospacing="0" w:after="0" w:afterAutospacing="0" w:line="221" w:lineRule="auto"/>
              <w:ind w:left="150" w:right="0"/>
              <w:rPr>
                <w:rFonts w:hint="default"/>
              </w:rPr>
            </w:pPr>
            <w:r>
              <w:rPr>
                <w:rFonts w:hint="default"/>
                <w:spacing w:val="-2"/>
              </w:rPr>
              <w:t>汽车</w:t>
            </w:r>
          </w:p>
        </w:tc>
        <w:tc>
          <w:tcPr>
            <w:tcW w:w="1058" w:type="dxa"/>
            <w:gridSpan w:val="2"/>
            <w:vAlign w:val="top"/>
          </w:tcPr>
          <w:p w14:paraId="2C28CF14">
            <w:pPr>
              <w:pStyle w:val="22"/>
              <w:keepNext w:val="0"/>
              <w:keepLines w:val="0"/>
              <w:suppressLineNumbers w:val="0"/>
              <w:spacing w:before="306" w:beforeAutospacing="0" w:after="0" w:afterAutospacing="0" w:line="221" w:lineRule="auto"/>
              <w:ind w:left="325" w:right="0"/>
              <w:rPr>
                <w:rFonts w:hint="default"/>
              </w:rPr>
            </w:pPr>
            <w:r>
              <w:rPr>
                <w:rFonts w:hint="default"/>
                <w:spacing w:val="-2"/>
              </w:rPr>
              <w:t>产品</w:t>
            </w:r>
          </w:p>
        </w:tc>
      </w:tr>
      <w:tr w14:paraId="7F791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83" w:hRule="atLeast"/>
        </w:trPr>
        <w:tc>
          <w:tcPr>
            <w:tcW w:w="470" w:type="dxa"/>
            <w:vAlign w:val="top"/>
          </w:tcPr>
          <w:p w14:paraId="2D836141">
            <w:pPr>
              <w:pStyle w:val="22"/>
              <w:keepNext w:val="0"/>
              <w:keepLines w:val="0"/>
              <w:suppressLineNumbers w:val="0"/>
              <w:spacing w:before="272" w:beforeAutospacing="0" w:after="0" w:afterAutospacing="0" w:line="183" w:lineRule="auto"/>
              <w:ind w:left="203" w:right="0"/>
              <w:rPr>
                <w:rFonts w:hint="default"/>
              </w:rPr>
            </w:pPr>
            <w:r>
              <w:rPr>
                <w:rFonts w:hint="default"/>
              </w:rPr>
              <w:t>1</w:t>
            </w:r>
          </w:p>
        </w:tc>
        <w:tc>
          <w:tcPr>
            <w:tcW w:w="1163" w:type="dxa"/>
            <w:gridSpan w:val="2"/>
            <w:vAlign w:val="top"/>
          </w:tcPr>
          <w:p w14:paraId="09329245">
            <w:pPr>
              <w:pStyle w:val="22"/>
              <w:keepNext w:val="0"/>
              <w:keepLines w:val="0"/>
              <w:suppressLineNumbers w:val="0"/>
              <w:spacing w:before="100" w:beforeAutospacing="0" w:after="0" w:afterAutospacing="0" w:line="230" w:lineRule="auto"/>
              <w:ind w:left="475" w:right="161" w:hanging="311"/>
              <w:rPr>
                <w:rFonts w:hint="default"/>
              </w:rPr>
            </w:pPr>
            <w:r>
              <w:rPr>
                <w:rFonts w:hint="default"/>
                <w:spacing w:val="-3"/>
              </w:rPr>
              <w:t>异丙醇原</w:t>
            </w:r>
            <w:r>
              <w:rPr>
                <w:rFonts w:hint="default"/>
                <w:spacing w:val="2"/>
              </w:rPr>
              <w:t xml:space="preserve"> </w:t>
            </w:r>
            <w:r>
              <w:rPr>
                <w:rFonts w:hint="default"/>
              </w:rPr>
              <w:t>料</w:t>
            </w:r>
          </w:p>
        </w:tc>
        <w:tc>
          <w:tcPr>
            <w:tcW w:w="934" w:type="dxa"/>
            <w:gridSpan w:val="2"/>
            <w:vAlign w:val="top"/>
          </w:tcPr>
          <w:p w14:paraId="7208B0EF">
            <w:pPr>
              <w:pStyle w:val="22"/>
              <w:keepNext w:val="0"/>
              <w:keepLines w:val="0"/>
              <w:suppressLineNumbers w:val="0"/>
              <w:spacing w:before="273" w:beforeAutospacing="0" w:after="0" w:afterAutospacing="0" w:line="182" w:lineRule="auto"/>
              <w:ind w:left="262" w:right="0"/>
              <w:rPr>
                <w:rFonts w:hint="default"/>
              </w:rPr>
            </w:pPr>
            <w:r>
              <w:rPr>
                <w:rFonts w:hint="default"/>
                <w:spacing w:val="-2"/>
              </w:rPr>
              <w:t>99.5</w:t>
            </w:r>
          </w:p>
        </w:tc>
        <w:tc>
          <w:tcPr>
            <w:tcW w:w="468" w:type="dxa"/>
            <w:vAlign w:val="top"/>
          </w:tcPr>
          <w:p w14:paraId="1ABFBDF0">
            <w:pPr>
              <w:pStyle w:val="22"/>
              <w:keepNext w:val="0"/>
              <w:keepLines w:val="0"/>
              <w:suppressLineNumbers w:val="0"/>
              <w:spacing w:before="238" w:beforeAutospacing="0" w:after="0" w:afterAutospacing="0" w:line="221" w:lineRule="auto"/>
              <w:ind w:left="133" w:right="0"/>
              <w:rPr>
                <w:rFonts w:hint="default"/>
              </w:rPr>
            </w:pPr>
            <w:r>
              <w:rPr>
                <w:rFonts w:hint="default"/>
              </w:rPr>
              <w:t>液</w:t>
            </w:r>
          </w:p>
        </w:tc>
        <w:tc>
          <w:tcPr>
            <w:tcW w:w="1055" w:type="dxa"/>
            <w:vAlign w:val="top"/>
          </w:tcPr>
          <w:p w14:paraId="27E70DE2">
            <w:pPr>
              <w:pStyle w:val="22"/>
              <w:keepNext w:val="0"/>
              <w:keepLines w:val="0"/>
              <w:suppressLineNumbers w:val="0"/>
              <w:spacing w:before="272" w:beforeAutospacing="0" w:after="0" w:afterAutospacing="0" w:line="183" w:lineRule="auto"/>
              <w:ind w:left="337" w:right="0"/>
              <w:rPr>
                <w:rFonts w:hint="default"/>
              </w:rPr>
            </w:pPr>
            <w:r>
              <w:rPr>
                <w:rFonts w:hint="default"/>
                <w:spacing w:val="-6"/>
              </w:rPr>
              <w:t>1219</w:t>
            </w:r>
          </w:p>
        </w:tc>
        <w:tc>
          <w:tcPr>
            <w:tcW w:w="1396" w:type="dxa"/>
            <w:vAlign w:val="top"/>
          </w:tcPr>
          <w:p w14:paraId="4F09709B">
            <w:pPr>
              <w:pStyle w:val="22"/>
              <w:keepNext w:val="0"/>
              <w:keepLines w:val="0"/>
              <w:suppressLineNumbers w:val="0"/>
              <w:spacing w:before="272" w:beforeAutospacing="0" w:after="0" w:afterAutospacing="0" w:line="183" w:lineRule="auto"/>
              <w:ind w:left="191" w:right="0"/>
              <w:rPr>
                <w:rFonts w:hint="default"/>
              </w:rPr>
            </w:pPr>
            <w:r>
              <w:rPr>
                <w:rFonts w:hint="default"/>
                <w:spacing w:val="-3"/>
              </w:rPr>
              <w:t>15088.5075</w:t>
            </w:r>
          </w:p>
        </w:tc>
        <w:tc>
          <w:tcPr>
            <w:tcW w:w="818" w:type="dxa"/>
            <w:gridSpan w:val="2"/>
            <w:vAlign w:val="top"/>
          </w:tcPr>
          <w:p w14:paraId="6C4EE30E">
            <w:pPr>
              <w:pStyle w:val="22"/>
              <w:keepNext w:val="0"/>
              <w:keepLines w:val="0"/>
              <w:suppressLineNumbers w:val="0"/>
              <w:spacing w:before="272" w:beforeAutospacing="0" w:after="0" w:afterAutospacing="0" w:line="183" w:lineRule="auto"/>
              <w:ind w:left="168" w:right="0"/>
              <w:rPr>
                <w:rFonts w:hint="default"/>
              </w:rPr>
            </w:pPr>
            <w:r>
              <w:rPr>
                <w:rFonts w:hint="default"/>
                <w:spacing w:val="-4"/>
              </w:rPr>
              <w:t>142.2</w:t>
            </w:r>
          </w:p>
        </w:tc>
        <w:tc>
          <w:tcPr>
            <w:tcW w:w="712" w:type="dxa"/>
            <w:gridSpan w:val="2"/>
            <w:vAlign w:val="top"/>
          </w:tcPr>
          <w:p w14:paraId="70EED852">
            <w:pPr>
              <w:pStyle w:val="22"/>
              <w:keepNext w:val="0"/>
              <w:keepLines w:val="0"/>
              <w:suppressLineNumbers w:val="0"/>
              <w:spacing w:before="102" w:beforeAutospacing="0" w:after="0" w:afterAutospacing="0" w:line="229" w:lineRule="auto"/>
              <w:ind w:left="153" w:right="141" w:firstLine="3"/>
              <w:rPr>
                <w:rFonts w:hint="default"/>
              </w:rPr>
            </w:pPr>
            <w:r>
              <w:rPr>
                <w:rFonts w:hint="default"/>
                <w:spacing w:val="-6"/>
              </w:rPr>
              <w:t>原料</w:t>
            </w:r>
            <w:r>
              <w:rPr>
                <w:rFonts w:hint="default"/>
              </w:rPr>
              <w:t xml:space="preserve"> </w:t>
            </w:r>
            <w:r>
              <w:rPr>
                <w:rFonts w:hint="default"/>
                <w:spacing w:val="-4"/>
              </w:rPr>
              <w:t>罐组</w:t>
            </w:r>
          </w:p>
        </w:tc>
        <w:tc>
          <w:tcPr>
            <w:tcW w:w="629" w:type="dxa"/>
            <w:gridSpan w:val="2"/>
            <w:textDirection w:val="tbRlV"/>
            <w:vAlign w:val="top"/>
          </w:tcPr>
          <w:p w14:paraId="4D3A8A99">
            <w:pPr>
              <w:pStyle w:val="22"/>
              <w:keepNext w:val="0"/>
              <w:keepLines w:val="0"/>
              <w:suppressLineNumbers w:val="0"/>
              <w:spacing w:before="205" w:beforeAutospacing="0" w:after="0" w:afterAutospacing="0" w:line="210" w:lineRule="auto"/>
              <w:ind w:left="101" w:right="0"/>
              <w:rPr>
                <w:rFonts w:hint="default"/>
              </w:rPr>
            </w:pPr>
            <w:r>
              <w:rPr>
                <w:rFonts w:hint="default"/>
                <w:spacing w:val="31"/>
              </w:rPr>
              <w:t>储罐</w:t>
            </w:r>
          </w:p>
        </w:tc>
        <w:tc>
          <w:tcPr>
            <w:tcW w:w="703" w:type="dxa"/>
            <w:gridSpan w:val="2"/>
            <w:vAlign w:val="top"/>
          </w:tcPr>
          <w:p w14:paraId="5D28CA8E">
            <w:pPr>
              <w:pStyle w:val="22"/>
              <w:keepNext w:val="0"/>
              <w:keepLines w:val="0"/>
              <w:suppressLineNumbers w:val="0"/>
              <w:spacing w:before="237" w:beforeAutospacing="0" w:after="0" w:afterAutospacing="0" w:line="221" w:lineRule="auto"/>
              <w:ind w:left="149" w:right="0"/>
              <w:rPr>
                <w:rFonts w:hint="default"/>
              </w:rPr>
            </w:pPr>
            <w:r>
              <w:rPr>
                <w:rFonts w:hint="default"/>
                <w:spacing w:val="-2"/>
              </w:rPr>
              <w:t>槽车</w:t>
            </w:r>
          </w:p>
        </w:tc>
        <w:tc>
          <w:tcPr>
            <w:tcW w:w="1058" w:type="dxa"/>
            <w:gridSpan w:val="2"/>
            <w:vAlign w:val="top"/>
          </w:tcPr>
          <w:p w14:paraId="256AA7B2">
            <w:pPr>
              <w:pStyle w:val="22"/>
              <w:keepNext w:val="0"/>
              <w:keepLines w:val="0"/>
              <w:suppressLineNumbers w:val="0"/>
              <w:spacing w:before="238" w:beforeAutospacing="0" w:after="0" w:afterAutospacing="0" w:line="221" w:lineRule="auto"/>
              <w:ind w:left="330" w:right="0"/>
              <w:rPr>
                <w:rFonts w:hint="default"/>
              </w:rPr>
            </w:pPr>
            <w:r>
              <w:rPr>
                <w:rFonts w:hint="default"/>
                <w:spacing w:val="-3"/>
              </w:rPr>
              <w:t>原料</w:t>
            </w:r>
          </w:p>
        </w:tc>
      </w:tr>
      <w:tr w14:paraId="679A5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350" w:hRule="atLeast"/>
        </w:trPr>
        <w:tc>
          <w:tcPr>
            <w:tcW w:w="470" w:type="dxa"/>
            <w:vAlign w:val="top"/>
          </w:tcPr>
          <w:p w14:paraId="630BFE1D">
            <w:pPr>
              <w:pStyle w:val="22"/>
              <w:keepNext w:val="0"/>
              <w:keepLines w:val="0"/>
              <w:suppressLineNumbers w:val="0"/>
              <w:spacing w:before="103" w:beforeAutospacing="0" w:after="0" w:afterAutospacing="0" w:line="182" w:lineRule="auto"/>
              <w:ind w:left="190" w:right="0"/>
              <w:rPr>
                <w:rFonts w:hint="default"/>
              </w:rPr>
            </w:pPr>
            <w:r>
              <w:rPr>
                <w:rFonts w:hint="default"/>
              </w:rPr>
              <w:t>2</w:t>
            </w:r>
          </w:p>
        </w:tc>
        <w:tc>
          <w:tcPr>
            <w:tcW w:w="1163" w:type="dxa"/>
            <w:gridSpan w:val="2"/>
            <w:vAlign w:val="top"/>
          </w:tcPr>
          <w:p w14:paraId="5D71A2E4">
            <w:pPr>
              <w:pStyle w:val="22"/>
              <w:keepNext w:val="0"/>
              <w:keepLines w:val="0"/>
              <w:suppressLineNumbers w:val="0"/>
              <w:spacing w:before="67" w:beforeAutospacing="0" w:after="0" w:afterAutospacing="0" w:line="221" w:lineRule="auto"/>
              <w:ind w:left="166" w:right="0"/>
              <w:rPr>
                <w:rFonts w:hint="default"/>
              </w:rPr>
            </w:pPr>
            <w:r>
              <w:rPr>
                <w:rFonts w:hint="default"/>
                <w:spacing w:val="-3"/>
              </w:rPr>
              <w:t>副产异丙</w:t>
            </w:r>
          </w:p>
        </w:tc>
        <w:tc>
          <w:tcPr>
            <w:tcW w:w="934" w:type="dxa"/>
            <w:gridSpan w:val="2"/>
            <w:vAlign w:val="top"/>
          </w:tcPr>
          <w:p w14:paraId="0CCC8689">
            <w:pPr>
              <w:pStyle w:val="22"/>
              <w:keepNext w:val="0"/>
              <w:keepLines w:val="0"/>
              <w:suppressLineNumbers w:val="0"/>
              <w:spacing w:before="103" w:beforeAutospacing="0" w:after="0" w:afterAutospacing="0" w:line="182" w:lineRule="auto"/>
              <w:ind w:left="212" w:right="0"/>
              <w:rPr>
                <w:rFonts w:hint="default"/>
              </w:rPr>
            </w:pPr>
            <w:r>
              <w:rPr>
                <w:rFonts w:hint="default"/>
                <w:spacing w:val="-2"/>
              </w:rPr>
              <w:t>50-99</w:t>
            </w:r>
          </w:p>
        </w:tc>
        <w:tc>
          <w:tcPr>
            <w:tcW w:w="468" w:type="dxa"/>
            <w:vAlign w:val="top"/>
          </w:tcPr>
          <w:p w14:paraId="02B29B2D">
            <w:pPr>
              <w:pStyle w:val="22"/>
              <w:keepNext w:val="0"/>
              <w:keepLines w:val="0"/>
              <w:suppressLineNumbers w:val="0"/>
              <w:spacing w:before="68" w:beforeAutospacing="0" w:after="0" w:afterAutospacing="0" w:line="221" w:lineRule="auto"/>
              <w:ind w:left="133" w:right="0"/>
              <w:rPr>
                <w:rFonts w:hint="default"/>
              </w:rPr>
            </w:pPr>
            <w:r>
              <w:rPr>
                <w:rFonts w:hint="default"/>
              </w:rPr>
              <w:t>液</w:t>
            </w:r>
          </w:p>
        </w:tc>
        <w:tc>
          <w:tcPr>
            <w:tcW w:w="1055" w:type="dxa"/>
            <w:vAlign w:val="top"/>
          </w:tcPr>
          <w:p w14:paraId="62DCB62A">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019D4AA1">
            <w:pPr>
              <w:pStyle w:val="22"/>
              <w:keepNext w:val="0"/>
              <w:keepLines w:val="0"/>
              <w:suppressLineNumbers w:val="0"/>
              <w:spacing w:before="103" w:beforeAutospacing="0" w:after="0" w:afterAutospacing="0" w:line="182" w:lineRule="auto"/>
              <w:ind w:left="600" w:right="0"/>
              <w:rPr>
                <w:rFonts w:hint="default"/>
              </w:rPr>
            </w:pPr>
            <w:r>
              <w:rPr>
                <w:rFonts w:hint="default"/>
                <w:spacing w:val="-3"/>
              </w:rPr>
              <w:t>30</w:t>
            </w:r>
          </w:p>
        </w:tc>
        <w:tc>
          <w:tcPr>
            <w:tcW w:w="818" w:type="dxa"/>
            <w:gridSpan w:val="2"/>
            <w:vAlign w:val="top"/>
          </w:tcPr>
          <w:p w14:paraId="18B9FAB1">
            <w:pPr>
              <w:pStyle w:val="22"/>
              <w:keepNext w:val="0"/>
              <w:keepLines w:val="0"/>
              <w:suppressLineNumbers w:val="0"/>
              <w:spacing w:before="102" w:beforeAutospacing="0" w:after="0" w:afterAutospacing="0" w:line="183" w:lineRule="auto"/>
              <w:ind w:left="211" w:right="0"/>
              <w:rPr>
                <w:rFonts w:hint="default"/>
              </w:rPr>
            </w:pPr>
            <w:r>
              <w:rPr>
                <w:rFonts w:hint="default"/>
                <w:spacing w:val="-3"/>
              </w:rPr>
              <w:t>71.1</w:t>
            </w:r>
          </w:p>
        </w:tc>
        <w:tc>
          <w:tcPr>
            <w:tcW w:w="712" w:type="dxa"/>
            <w:gridSpan w:val="2"/>
            <w:vAlign w:val="top"/>
          </w:tcPr>
          <w:p w14:paraId="2579A4D9">
            <w:pPr>
              <w:pStyle w:val="22"/>
              <w:keepNext w:val="0"/>
              <w:keepLines w:val="0"/>
              <w:suppressLineNumbers w:val="0"/>
              <w:spacing w:before="68" w:beforeAutospacing="0" w:after="0" w:afterAutospacing="0" w:line="221" w:lineRule="auto"/>
              <w:ind w:left="156" w:right="0"/>
              <w:rPr>
                <w:rFonts w:hint="default"/>
              </w:rPr>
            </w:pPr>
            <w:r>
              <w:rPr>
                <w:rFonts w:hint="default"/>
                <w:spacing w:val="-3"/>
              </w:rPr>
              <w:t>原料</w:t>
            </w:r>
          </w:p>
        </w:tc>
        <w:tc>
          <w:tcPr>
            <w:tcW w:w="629" w:type="dxa"/>
            <w:gridSpan w:val="2"/>
            <w:vAlign w:val="top"/>
          </w:tcPr>
          <w:p w14:paraId="709D73B3">
            <w:pPr>
              <w:pStyle w:val="22"/>
              <w:keepNext w:val="0"/>
              <w:keepLines w:val="0"/>
              <w:suppressLineNumbers w:val="0"/>
              <w:spacing w:before="68" w:beforeAutospacing="0" w:after="0" w:afterAutospacing="0" w:line="221" w:lineRule="auto"/>
              <w:ind w:left="213" w:right="0"/>
              <w:rPr>
                <w:rFonts w:hint="default"/>
              </w:rPr>
            </w:pPr>
            <w:r>
              <w:rPr>
                <w:rFonts w:hint="default"/>
              </w:rPr>
              <w:t>储</w:t>
            </w:r>
          </w:p>
        </w:tc>
        <w:tc>
          <w:tcPr>
            <w:tcW w:w="703" w:type="dxa"/>
            <w:gridSpan w:val="2"/>
            <w:vAlign w:val="top"/>
          </w:tcPr>
          <w:p w14:paraId="22F4AACC">
            <w:pPr>
              <w:pStyle w:val="22"/>
              <w:keepNext w:val="0"/>
              <w:keepLines w:val="0"/>
              <w:suppressLineNumbers w:val="0"/>
              <w:spacing w:before="67" w:beforeAutospacing="0" w:after="0" w:afterAutospacing="0" w:line="221" w:lineRule="auto"/>
              <w:ind w:left="149" w:right="0"/>
              <w:rPr>
                <w:rFonts w:hint="default"/>
              </w:rPr>
            </w:pPr>
            <w:r>
              <w:rPr>
                <w:rFonts w:hint="default"/>
                <w:spacing w:val="-2"/>
              </w:rPr>
              <w:t>槽车</w:t>
            </w:r>
          </w:p>
        </w:tc>
        <w:tc>
          <w:tcPr>
            <w:tcW w:w="1058" w:type="dxa"/>
            <w:gridSpan w:val="2"/>
            <w:vAlign w:val="top"/>
          </w:tcPr>
          <w:p w14:paraId="2924DD3C">
            <w:pPr>
              <w:pStyle w:val="22"/>
              <w:keepNext w:val="0"/>
              <w:keepLines w:val="0"/>
              <w:suppressLineNumbers w:val="0"/>
              <w:spacing w:before="67" w:beforeAutospacing="0" w:after="0" w:afterAutospacing="0" w:line="221" w:lineRule="auto"/>
              <w:ind w:left="224" w:right="0"/>
              <w:rPr>
                <w:rFonts w:hint="default"/>
              </w:rPr>
            </w:pPr>
            <w:r>
              <w:rPr>
                <w:rFonts w:hint="default"/>
                <w:spacing w:val="-2"/>
              </w:rPr>
              <w:t>副产品</w:t>
            </w:r>
          </w:p>
        </w:tc>
      </w:tr>
      <w:tr w14:paraId="5FB48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471" w:type="dxa"/>
            <w:gridSpan w:val="2"/>
            <w:textDirection w:val="tbRlV"/>
            <w:vAlign w:val="top"/>
          </w:tcPr>
          <w:p w14:paraId="718B9089">
            <w:pPr>
              <w:pStyle w:val="22"/>
              <w:keepNext w:val="0"/>
              <w:keepLines w:val="0"/>
              <w:suppressLineNumbers w:val="0"/>
              <w:spacing w:before="127" w:beforeAutospacing="0" w:after="0" w:afterAutospacing="0" w:line="211" w:lineRule="auto"/>
              <w:ind w:left="305" w:right="0"/>
              <w:rPr>
                <w:rFonts w:hint="default"/>
              </w:rPr>
            </w:pPr>
            <w:r>
              <w:rPr>
                <w:rFonts w:hint="default"/>
                <w:spacing w:val="1"/>
              </w:rPr>
              <w:t>序</w:t>
            </w:r>
            <w:r>
              <w:rPr>
                <w:rFonts w:hint="default"/>
                <w:spacing w:val="-43"/>
              </w:rPr>
              <w:t xml:space="preserve"> </w:t>
            </w:r>
            <w:r>
              <w:rPr>
                <w:rFonts w:hint="default"/>
                <w:spacing w:val="1"/>
              </w:rPr>
              <w:t>号</w:t>
            </w:r>
          </w:p>
        </w:tc>
        <w:tc>
          <w:tcPr>
            <w:tcW w:w="1163" w:type="dxa"/>
            <w:gridSpan w:val="2"/>
            <w:vAlign w:val="top"/>
          </w:tcPr>
          <w:p w14:paraId="270D6991">
            <w:pPr>
              <w:pStyle w:val="22"/>
              <w:keepNext w:val="0"/>
              <w:keepLines w:val="0"/>
              <w:suppressLineNumbers w:val="0"/>
              <w:spacing w:before="304" w:beforeAutospacing="0" w:after="0" w:afterAutospacing="0" w:line="231" w:lineRule="auto"/>
              <w:ind w:left="477" w:right="159" w:hanging="311"/>
              <w:rPr>
                <w:rFonts w:hint="default"/>
              </w:rPr>
            </w:pPr>
            <w:r>
              <w:rPr>
                <w:rFonts w:hint="default"/>
                <w:spacing w:val="-3"/>
              </w:rPr>
              <w:t>名称及规</w:t>
            </w:r>
            <w:r>
              <w:rPr>
                <w:rFonts w:hint="default"/>
                <w:spacing w:val="2"/>
              </w:rPr>
              <w:t xml:space="preserve"> </w:t>
            </w:r>
            <w:r>
              <w:rPr>
                <w:rFonts w:hint="default"/>
              </w:rPr>
              <w:t>格</w:t>
            </w:r>
          </w:p>
        </w:tc>
        <w:tc>
          <w:tcPr>
            <w:tcW w:w="933" w:type="dxa"/>
            <w:vAlign w:val="top"/>
          </w:tcPr>
          <w:p w14:paraId="76BBC0E2">
            <w:pPr>
              <w:pStyle w:val="22"/>
              <w:keepNext w:val="0"/>
              <w:keepLines w:val="0"/>
              <w:suppressLineNumbers w:val="0"/>
              <w:spacing w:before="305" w:beforeAutospacing="0" w:after="0" w:afterAutospacing="0" w:line="237" w:lineRule="auto"/>
              <w:ind w:left="216" w:right="212" w:firstLine="47"/>
              <w:rPr>
                <w:rFonts w:hint="default"/>
              </w:rPr>
            </w:pPr>
            <w:r>
              <w:rPr>
                <w:rFonts w:hint="default"/>
                <w:spacing w:val="-4"/>
              </w:rPr>
              <w:t>规格</w:t>
            </w:r>
            <w:r>
              <w:rPr>
                <w:rFonts w:hint="default"/>
              </w:rPr>
              <w:t xml:space="preserve"> </w:t>
            </w:r>
            <w:r>
              <w:rPr>
                <w:rFonts w:hint="default"/>
                <w:spacing w:val="-9"/>
              </w:rPr>
              <w:t>（%）</w:t>
            </w:r>
          </w:p>
        </w:tc>
        <w:tc>
          <w:tcPr>
            <w:tcW w:w="468" w:type="dxa"/>
            <w:textDirection w:val="tbRlV"/>
            <w:vAlign w:val="top"/>
          </w:tcPr>
          <w:p w14:paraId="68DDE2A8">
            <w:pPr>
              <w:pStyle w:val="22"/>
              <w:keepNext w:val="0"/>
              <w:keepLines w:val="0"/>
              <w:suppressLineNumbers w:val="0"/>
              <w:spacing w:before="128" w:beforeAutospacing="0" w:after="0" w:afterAutospacing="0" w:line="211" w:lineRule="auto"/>
              <w:ind w:left="305" w:right="0"/>
              <w:rPr>
                <w:rFonts w:hint="default"/>
              </w:rPr>
            </w:pPr>
            <w:r>
              <w:rPr>
                <w:rFonts w:hint="default"/>
                <w:spacing w:val="1"/>
              </w:rPr>
              <w:t>形</w:t>
            </w:r>
            <w:r>
              <w:rPr>
                <w:rFonts w:hint="default"/>
                <w:spacing w:val="-43"/>
              </w:rPr>
              <w:t xml:space="preserve"> </w:t>
            </w:r>
            <w:r>
              <w:rPr>
                <w:rFonts w:hint="default"/>
                <w:spacing w:val="1"/>
              </w:rPr>
              <w:t>态</w:t>
            </w:r>
          </w:p>
        </w:tc>
        <w:tc>
          <w:tcPr>
            <w:tcW w:w="1055" w:type="dxa"/>
            <w:vAlign w:val="top"/>
          </w:tcPr>
          <w:p w14:paraId="0F7E6560">
            <w:pPr>
              <w:pStyle w:val="22"/>
              <w:keepNext w:val="0"/>
              <w:keepLines w:val="0"/>
              <w:suppressLineNumbers w:val="0"/>
              <w:spacing w:before="170" w:beforeAutospacing="0" w:after="0" w:afterAutospacing="0" w:line="234" w:lineRule="auto"/>
              <w:ind w:left="216" w:right="208" w:firstLine="2"/>
              <w:jc w:val="both"/>
              <w:rPr>
                <w:rFonts w:hint="default"/>
              </w:rPr>
            </w:pPr>
            <w:r>
              <w:rPr>
                <w:rFonts w:hint="default"/>
                <w:spacing w:val="-3"/>
              </w:rPr>
              <w:t>危险品</w:t>
            </w:r>
            <w:r>
              <w:rPr>
                <w:rFonts w:hint="default"/>
              </w:rPr>
              <w:t xml:space="preserve"> </w:t>
            </w:r>
            <w:r>
              <w:rPr>
                <w:rFonts w:hint="default"/>
                <w:spacing w:val="-2"/>
              </w:rPr>
              <w:t>运输编</w:t>
            </w:r>
            <w:r>
              <w:rPr>
                <w:rFonts w:hint="default"/>
              </w:rPr>
              <w:t xml:space="preserve"> </w:t>
            </w:r>
            <w:r>
              <w:rPr>
                <w:rFonts w:hint="default"/>
                <w:spacing w:val="44"/>
              </w:rPr>
              <w:t>号</w:t>
            </w:r>
            <w:r>
              <w:rPr>
                <w:rFonts w:hint="default"/>
                <w:spacing w:val="3"/>
              </w:rPr>
              <w:t xml:space="preserve"> </w:t>
            </w:r>
            <w:r>
              <w:rPr>
                <w:rFonts w:hint="default"/>
              </w:rPr>
              <w:t>UN</w:t>
            </w:r>
          </w:p>
        </w:tc>
        <w:tc>
          <w:tcPr>
            <w:tcW w:w="1397" w:type="dxa"/>
            <w:gridSpan w:val="2"/>
            <w:vAlign w:val="top"/>
          </w:tcPr>
          <w:p w14:paraId="1785E70D">
            <w:pPr>
              <w:pStyle w:val="22"/>
              <w:keepNext w:val="0"/>
              <w:keepLines w:val="0"/>
              <w:suppressLineNumbers w:val="0"/>
              <w:spacing w:before="306" w:beforeAutospacing="0" w:after="0" w:afterAutospacing="0" w:line="233" w:lineRule="auto"/>
              <w:ind w:left="231" w:right="114" w:hanging="102"/>
              <w:rPr>
                <w:rFonts w:hint="default"/>
              </w:rPr>
            </w:pPr>
            <w:r>
              <w:rPr>
                <w:rFonts w:hint="default"/>
                <w:spacing w:val="-2"/>
              </w:rPr>
              <w:t>年产量/消耗</w:t>
            </w:r>
            <w:r>
              <w:rPr>
                <w:rFonts w:hint="default"/>
                <w:spacing w:val="3"/>
              </w:rPr>
              <w:t xml:space="preserve"> </w:t>
            </w:r>
            <w:r>
              <w:rPr>
                <w:rFonts w:hint="default"/>
                <w:spacing w:val="-2"/>
              </w:rPr>
              <w:t>量（t/a）</w:t>
            </w:r>
          </w:p>
        </w:tc>
        <w:tc>
          <w:tcPr>
            <w:tcW w:w="818" w:type="dxa"/>
            <w:gridSpan w:val="2"/>
            <w:vAlign w:val="top"/>
          </w:tcPr>
          <w:p w14:paraId="59D157B6">
            <w:pPr>
              <w:pStyle w:val="22"/>
              <w:keepNext w:val="0"/>
              <w:keepLines w:val="0"/>
              <w:suppressLineNumbers w:val="0"/>
              <w:spacing w:before="171" w:beforeAutospacing="0" w:after="0" w:afterAutospacing="0" w:line="235" w:lineRule="auto"/>
              <w:ind w:left="116" w:right="8" w:firstLine="93"/>
              <w:jc w:val="both"/>
              <w:rPr>
                <w:rFonts w:hint="default"/>
              </w:rPr>
            </w:pPr>
            <w:r>
              <w:rPr>
                <w:rFonts w:hint="default"/>
                <w:spacing w:val="-5"/>
              </w:rPr>
              <w:t>最大</w:t>
            </w:r>
            <w:r>
              <w:rPr>
                <w:rFonts w:hint="default"/>
              </w:rPr>
              <w:t xml:space="preserve">  </w:t>
            </w:r>
            <w:r>
              <w:rPr>
                <w:rFonts w:hint="default"/>
                <w:spacing w:val="42"/>
              </w:rPr>
              <w:t>储存</w:t>
            </w:r>
            <w:r>
              <w:rPr>
                <w:rFonts w:hint="default"/>
              </w:rPr>
              <w:t xml:space="preserve">  </w:t>
            </w:r>
            <w:r>
              <w:rPr>
                <w:rFonts w:hint="default"/>
                <w:spacing w:val="-12"/>
              </w:rPr>
              <w:t>量（t）</w:t>
            </w:r>
          </w:p>
        </w:tc>
        <w:tc>
          <w:tcPr>
            <w:tcW w:w="712" w:type="dxa"/>
            <w:gridSpan w:val="2"/>
            <w:vAlign w:val="top"/>
          </w:tcPr>
          <w:p w14:paraId="6AD72C44">
            <w:pPr>
              <w:pStyle w:val="22"/>
              <w:keepNext w:val="0"/>
              <w:keepLines w:val="0"/>
              <w:suppressLineNumbers w:val="0"/>
              <w:spacing w:before="305" w:beforeAutospacing="0" w:after="0" w:afterAutospacing="0" w:line="233" w:lineRule="auto"/>
              <w:ind w:left="152" w:right="139"/>
              <w:rPr>
                <w:rFonts w:hint="default"/>
              </w:rPr>
            </w:pPr>
            <w:r>
              <w:rPr>
                <w:rFonts w:hint="default"/>
                <w:spacing w:val="-3"/>
              </w:rPr>
              <w:t>储存</w:t>
            </w:r>
            <w:r>
              <w:rPr>
                <w:rFonts w:hint="default"/>
              </w:rPr>
              <w:t xml:space="preserve"> </w:t>
            </w:r>
            <w:r>
              <w:rPr>
                <w:rFonts w:hint="default"/>
                <w:spacing w:val="-3"/>
              </w:rPr>
              <w:t>地点</w:t>
            </w:r>
          </w:p>
        </w:tc>
        <w:tc>
          <w:tcPr>
            <w:tcW w:w="629" w:type="dxa"/>
            <w:gridSpan w:val="2"/>
            <w:textDirection w:val="tbRlV"/>
            <w:vAlign w:val="top"/>
          </w:tcPr>
          <w:p w14:paraId="74763DB8">
            <w:pPr>
              <w:pStyle w:val="22"/>
              <w:keepNext w:val="0"/>
              <w:keepLines w:val="0"/>
              <w:suppressLineNumbers w:val="0"/>
              <w:spacing w:before="204" w:beforeAutospacing="0" w:after="0" w:afterAutospacing="0" w:line="210" w:lineRule="auto"/>
              <w:ind w:left="34" w:right="0"/>
              <w:rPr>
                <w:rFonts w:hint="default"/>
              </w:rPr>
            </w:pPr>
            <w:r>
              <w:rPr>
                <w:rFonts w:hint="default"/>
                <w:spacing w:val="46"/>
              </w:rPr>
              <w:t>储存方式</w:t>
            </w:r>
          </w:p>
        </w:tc>
        <w:tc>
          <w:tcPr>
            <w:tcW w:w="703" w:type="dxa"/>
            <w:gridSpan w:val="2"/>
            <w:vAlign w:val="top"/>
          </w:tcPr>
          <w:p w14:paraId="6065FB57">
            <w:pPr>
              <w:pStyle w:val="22"/>
              <w:keepNext w:val="0"/>
              <w:keepLines w:val="0"/>
              <w:suppressLineNumbers w:val="0"/>
              <w:spacing w:before="306" w:beforeAutospacing="0" w:after="0" w:afterAutospacing="0" w:line="231" w:lineRule="auto"/>
              <w:ind w:left="149" w:right="134"/>
              <w:rPr>
                <w:rFonts w:hint="default"/>
              </w:rPr>
            </w:pPr>
            <w:r>
              <w:rPr>
                <w:rFonts w:hint="default"/>
                <w:spacing w:val="-3"/>
              </w:rPr>
              <w:t>运输</w:t>
            </w:r>
            <w:r>
              <w:rPr>
                <w:rFonts w:hint="default"/>
              </w:rPr>
              <w:t xml:space="preserve"> </w:t>
            </w:r>
            <w:r>
              <w:rPr>
                <w:rFonts w:hint="default"/>
                <w:spacing w:val="-4"/>
              </w:rPr>
              <w:t>方式</w:t>
            </w:r>
          </w:p>
        </w:tc>
        <w:tc>
          <w:tcPr>
            <w:tcW w:w="1058" w:type="dxa"/>
            <w:gridSpan w:val="2"/>
            <w:vAlign w:val="top"/>
          </w:tcPr>
          <w:p w14:paraId="71BCEC7A">
            <w:pPr>
              <w:keepNext w:val="0"/>
              <w:keepLines w:val="0"/>
              <w:suppressLineNumbers w:val="0"/>
              <w:spacing w:before="0" w:beforeAutospacing="0" w:after="0" w:afterAutospacing="0" w:line="372" w:lineRule="auto"/>
              <w:ind w:left="0" w:right="0"/>
              <w:rPr>
                <w:rFonts w:hint="default" w:ascii="Arial"/>
                <w:sz w:val="21"/>
              </w:rPr>
            </w:pPr>
          </w:p>
          <w:p w14:paraId="6F37B6D3">
            <w:pPr>
              <w:pStyle w:val="22"/>
              <w:keepNext w:val="0"/>
              <w:keepLines w:val="0"/>
              <w:suppressLineNumbers w:val="0"/>
              <w:spacing w:before="68" w:beforeAutospacing="0" w:after="0" w:afterAutospacing="0" w:line="222" w:lineRule="auto"/>
              <w:ind w:left="327" w:right="0"/>
              <w:rPr>
                <w:rFonts w:hint="default"/>
              </w:rPr>
            </w:pPr>
            <w:r>
              <w:rPr>
                <w:rFonts w:hint="default"/>
                <w:spacing w:val="-3"/>
              </w:rPr>
              <w:t>备注</w:t>
            </w:r>
          </w:p>
        </w:tc>
      </w:tr>
      <w:tr w14:paraId="10D6E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1" w:type="dxa"/>
            <w:gridSpan w:val="2"/>
            <w:vAlign w:val="top"/>
          </w:tcPr>
          <w:p w14:paraId="0445B8FF">
            <w:pPr>
              <w:keepNext w:val="0"/>
              <w:keepLines w:val="0"/>
              <w:suppressLineNumbers w:val="0"/>
              <w:spacing w:before="0" w:beforeAutospacing="0" w:after="0" w:afterAutospacing="0"/>
              <w:ind w:left="0" w:right="0"/>
              <w:rPr>
                <w:rFonts w:hint="default" w:ascii="Arial"/>
                <w:sz w:val="21"/>
              </w:rPr>
            </w:pPr>
          </w:p>
        </w:tc>
        <w:tc>
          <w:tcPr>
            <w:tcW w:w="1163" w:type="dxa"/>
            <w:gridSpan w:val="2"/>
            <w:vAlign w:val="top"/>
          </w:tcPr>
          <w:p w14:paraId="74328EC9">
            <w:pPr>
              <w:pStyle w:val="22"/>
              <w:keepNext w:val="0"/>
              <w:keepLines w:val="0"/>
              <w:suppressLineNumbers w:val="0"/>
              <w:spacing w:before="30" w:beforeAutospacing="0" w:after="0" w:afterAutospacing="0" w:line="221" w:lineRule="auto"/>
              <w:ind w:left="480" w:right="0"/>
              <w:rPr>
                <w:rFonts w:hint="default"/>
              </w:rPr>
            </w:pPr>
            <w:r>
              <w:rPr>
                <w:rFonts w:hint="default"/>
              </w:rPr>
              <w:t>醇</w:t>
            </w:r>
          </w:p>
        </w:tc>
        <w:tc>
          <w:tcPr>
            <w:tcW w:w="933" w:type="dxa"/>
            <w:vAlign w:val="top"/>
          </w:tcPr>
          <w:p w14:paraId="63ED0AEC">
            <w:pPr>
              <w:keepNext w:val="0"/>
              <w:keepLines w:val="0"/>
              <w:suppressLineNumbers w:val="0"/>
              <w:spacing w:before="0" w:beforeAutospacing="0" w:after="0" w:afterAutospacing="0"/>
              <w:ind w:left="0" w:right="0"/>
              <w:rPr>
                <w:rFonts w:hint="default" w:ascii="Arial"/>
                <w:sz w:val="21"/>
              </w:rPr>
            </w:pPr>
          </w:p>
        </w:tc>
        <w:tc>
          <w:tcPr>
            <w:tcW w:w="468" w:type="dxa"/>
            <w:vAlign w:val="top"/>
          </w:tcPr>
          <w:p w14:paraId="74A13EDE">
            <w:pPr>
              <w:keepNext w:val="0"/>
              <w:keepLines w:val="0"/>
              <w:suppressLineNumbers w:val="0"/>
              <w:spacing w:before="0" w:beforeAutospacing="0" w:after="0" w:afterAutospacing="0"/>
              <w:ind w:left="0" w:right="0"/>
              <w:rPr>
                <w:rFonts w:hint="default" w:ascii="Arial"/>
                <w:sz w:val="21"/>
              </w:rPr>
            </w:pPr>
          </w:p>
        </w:tc>
        <w:tc>
          <w:tcPr>
            <w:tcW w:w="1055" w:type="dxa"/>
            <w:vAlign w:val="top"/>
          </w:tcPr>
          <w:p w14:paraId="7EB8958D">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5F7C71AA">
            <w:pPr>
              <w:keepNext w:val="0"/>
              <w:keepLines w:val="0"/>
              <w:suppressLineNumbers w:val="0"/>
              <w:spacing w:before="0" w:beforeAutospacing="0" w:after="0" w:afterAutospacing="0"/>
              <w:ind w:left="0" w:right="0"/>
              <w:rPr>
                <w:rFonts w:hint="default" w:ascii="Arial"/>
                <w:sz w:val="21"/>
              </w:rPr>
            </w:pPr>
          </w:p>
        </w:tc>
        <w:tc>
          <w:tcPr>
            <w:tcW w:w="818" w:type="dxa"/>
            <w:gridSpan w:val="2"/>
            <w:vAlign w:val="top"/>
          </w:tcPr>
          <w:p w14:paraId="009069D8">
            <w:pPr>
              <w:keepNext w:val="0"/>
              <w:keepLines w:val="0"/>
              <w:suppressLineNumbers w:val="0"/>
              <w:spacing w:before="0" w:beforeAutospacing="0" w:after="0" w:afterAutospacing="0"/>
              <w:ind w:left="0" w:right="0"/>
              <w:rPr>
                <w:rFonts w:hint="default" w:ascii="Arial"/>
                <w:sz w:val="21"/>
              </w:rPr>
            </w:pPr>
          </w:p>
        </w:tc>
        <w:tc>
          <w:tcPr>
            <w:tcW w:w="712" w:type="dxa"/>
            <w:gridSpan w:val="2"/>
            <w:vAlign w:val="top"/>
          </w:tcPr>
          <w:p w14:paraId="49BB11F6">
            <w:pPr>
              <w:pStyle w:val="22"/>
              <w:keepNext w:val="0"/>
              <w:keepLines w:val="0"/>
              <w:suppressLineNumbers w:val="0"/>
              <w:spacing w:before="29" w:beforeAutospacing="0" w:after="0" w:afterAutospacing="0" w:line="221" w:lineRule="auto"/>
              <w:ind w:left="154" w:right="0"/>
              <w:rPr>
                <w:rFonts w:hint="default"/>
              </w:rPr>
            </w:pPr>
            <w:r>
              <w:rPr>
                <w:rFonts w:hint="default"/>
                <w:spacing w:val="-2"/>
              </w:rPr>
              <w:t>罐组</w:t>
            </w:r>
          </w:p>
        </w:tc>
        <w:tc>
          <w:tcPr>
            <w:tcW w:w="629" w:type="dxa"/>
            <w:gridSpan w:val="2"/>
            <w:vAlign w:val="top"/>
          </w:tcPr>
          <w:p w14:paraId="1ECBE950">
            <w:pPr>
              <w:pStyle w:val="22"/>
              <w:keepNext w:val="0"/>
              <w:keepLines w:val="0"/>
              <w:suppressLineNumbers w:val="0"/>
              <w:spacing w:before="29" w:beforeAutospacing="0" w:after="0" w:afterAutospacing="0" w:line="221" w:lineRule="auto"/>
              <w:ind w:left="218" w:right="0"/>
              <w:rPr>
                <w:rFonts w:hint="default"/>
              </w:rPr>
            </w:pPr>
            <w:r>
              <w:rPr>
                <w:rFonts w:hint="default"/>
              </w:rPr>
              <w:t>罐</w:t>
            </w:r>
          </w:p>
        </w:tc>
        <w:tc>
          <w:tcPr>
            <w:tcW w:w="703" w:type="dxa"/>
            <w:gridSpan w:val="2"/>
            <w:vAlign w:val="top"/>
          </w:tcPr>
          <w:p w14:paraId="1385F420">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51622BF9">
            <w:pPr>
              <w:keepNext w:val="0"/>
              <w:keepLines w:val="0"/>
              <w:suppressLineNumbers w:val="0"/>
              <w:spacing w:before="0" w:beforeAutospacing="0" w:after="0" w:afterAutospacing="0"/>
              <w:ind w:left="0" w:right="0"/>
              <w:rPr>
                <w:rFonts w:hint="default" w:ascii="Arial"/>
                <w:sz w:val="21"/>
              </w:rPr>
            </w:pPr>
          </w:p>
        </w:tc>
      </w:tr>
      <w:tr w14:paraId="2A9C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Align w:val="top"/>
          </w:tcPr>
          <w:p w14:paraId="5FF2CD6F">
            <w:pPr>
              <w:pStyle w:val="22"/>
              <w:keepNext w:val="0"/>
              <w:keepLines w:val="0"/>
              <w:suppressLineNumbers w:val="0"/>
              <w:spacing w:before="167" w:beforeAutospacing="0" w:after="0" w:afterAutospacing="0" w:line="223" w:lineRule="auto"/>
              <w:ind w:left="155" w:right="0"/>
              <w:rPr>
                <w:rFonts w:hint="default"/>
              </w:rPr>
            </w:pPr>
            <w:r>
              <w:rPr>
                <w:rFonts w:hint="default"/>
              </w:rPr>
              <w:t>四</w:t>
            </w:r>
          </w:p>
        </w:tc>
        <w:tc>
          <w:tcPr>
            <w:tcW w:w="1163" w:type="dxa"/>
            <w:gridSpan w:val="2"/>
            <w:vAlign w:val="top"/>
          </w:tcPr>
          <w:p w14:paraId="46E8AC7C">
            <w:pPr>
              <w:pStyle w:val="22"/>
              <w:keepNext w:val="0"/>
              <w:keepLines w:val="0"/>
              <w:suppressLineNumbers w:val="0"/>
              <w:spacing w:before="29" w:beforeAutospacing="0" w:after="0" w:afterAutospacing="0" w:line="224" w:lineRule="auto"/>
              <w:ind w:left="268" w:right="159" w:hanging="89"/>
              <w:rPr>
                <w:rFonts w:hint="default"/>
              </w:rPr>
            </w:pPr>
            <w:r>
              <w:rPr>
                <w:rFonts w:hint="default"/>
                <w:spacing w:val="-3"/>
              </w:rPr>
              <w:t>10000t/a</w:t>
            </w:r>
            <w:r>
              <w:rPr>
                <w:rFonts w:hint="default"/>
                <w:spacing w:val="1"/>
              </w:rPr>
              <w:t xml:space="preserve"> </w:t>
            </w:r>
            <w:r>
              <w:rPr>
                <w:rFonts w:hint="default"/>
                <w:spacing w:val="-1"/>
              </w:rPr>
              <w:t>蚀刻液</w:t>
            </w:r>
          </w:p>
        </w:tc>
        <w:tc>
          <w:tcPr>
            <w:tcW w:w="933" w:type="dxa"/>
            <w:vAlign w:val="top"/>
          </w:tcPr>
          <w:p w14:paraId="5896FD12">
            <w:pPr>
              <w:keepNext w:val="0"/>
              <w:keepLines w:val="0"/>
              <w:suppressLineNumbers w:val="0"/>
              <w:spacing w:before="0" w:beforeAutospacing="0" w:after="0" w:afterAutospacing="0"/>
              <w:ind w:left="0" w:right="0"/>
              <w:rPr>
                <w:rFonts w:hint="default" w:ascii="Arial"/>
                <w:sz w:val="21"/>
              </w:rPr>
            </w:pPr>
          </w:p>
        </w:tc>
        <w:tc>
          <w:tcPr>
            <w:tcW w:w="468" w:type="dxa"/>
            <w:vAlign w:val="top"/>
          </w:tcPr>
          <w:p w14:paraId="03F8F295">
            <w:pPr>
              <w:pStyle w:val="22"/>
              <w:keepNext w:val="0"/>
              <w:keepLines w:val="0"/>
              <w:suppressLineNumbers w:val="0"/>
              <w:spacing w:before="167" w:beforeAutospacing="0" w:after="0" w:afterAutospacing="0" w:line="221" w:lineRule="auto"/>
              <w:ind w:left="133" w:right="0"/>
              <w:rPr>
                <w:rFonts w:hint="default"/>
              </w:rPr>
            </w:pPr>
            <w:r>
              <w:rPr>
                <w:rFonts w:hint="default"/>
              </w:rPr>
              <w:t>液</w:t>
            </w:r>
          </w:p>
        </w:tc>
        <w:tc>
          <w:tcPr>
            <w:tcW w:w="1055" w:type="dxa"/>
            <w:vAlign w:val="top"/>
          </w:tcPr>
          <w:p w14:paraId="7542B739">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24090C1C">
            <w:pPr>
              <w:pStyle w:val="22"/>
              <w:keepNext w:val="0"/>
              <w:keepLines w:val="0"/>
              <w:suppressLineNumbers w:val="0"/>
              <w:spacing w:before="201" w:beforeAutospacing="0" w:after="0" w:afterAutospacing="0" w:line="183" w:lineRule="auto"/>
              <w:ind w:left="458" w:right="0"/>
              <w:rPr>
                <w:rFonts w:hint="default"/>
              </w:rPr>
            </w:pPr>
            <w:r>
              <w:rPr>
                <w:rFonts w:hint="default"/>
                <w:spacing w:val="-4"/>
              </w:rPr>
              <w:t>10000</w:t>
            </w:r>
          </w:p>
        </w:tc>
        <w:tc>
          <w:tcPr>
            <w:tcW w:w="818" w:type="dxa"/>
            <w:gridSpan w:val="2"/>
            <w:vAlign w:val="top"/>
          </w:tcPr>
          <w:p w14:paraId="1C2CF644">
            <w:pPr>
              <w:pStyle w:val="22"/>
              <w:keepNext w:val="0"/>
              <w:keepLines w:val="0"/>
              <w:suppressLineNumbers w:val="0"/>
              <w:spacing w:before="202" w:beforeAutospacing="0" w:after="0" w:afterAutospacing="0" w:line="182" w:lineRule="auto"/>
              <w:ind w:left="316" w:right="0"/>
              <w:rPr>
                <w:rFonts w:hint="default"/>
              </w:rPr>
            </w:pPr>
            <w:r>
              <w:rPr>
                <w:rFonts w:hint="default"/>
                <w:spacing w:val="-4"/>
              </w:rPr>
              <w:t>70</w:t>
            </w:r>
          </w:p>
        </w:tc>
        <w:tc>
          <w:tcPr>
            <w:tcW w:w="712" w:type="dxa"/>
            <w:gridSpan w:val="2"/>
            <w:vAlign w:val="top"/>
          </w:tcPr>
          <w:p w14:paraId="41D1D3C8">
            <w:pPr>
              <w:pStyle w:val="22"/>
              <w:keepNext w:val="0"/>
              <w:keepLines w:val="0"/>
              <w:suppressLineNumbers w:val="0"/>
              <w:spacing w:before="29" w:beforeAutospacing="0" w:after="0" w:afterAutospacing="0" w:line="224"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26EC095F">
            <w:pPr>
              <w:pStyle w:val="22"/>
              <w:keepNext w:val="0"/>
              <w:keepLines w:val="0"/>
              <w:suppressLineNumbers w:val="0"/>
              <w:spacing w:before="204" w:beforeAutospacing="0" w:after="0" w:afterAutospacing="0" w:line="209" w:lineRule="auto"/>
              <w:ind w:left="30" w:right="0"/>
              <w:rPr>
                <w:rFonts w:hint="default"/>
              </w:rPr>
            </w:pPr>
            <w:r>
              <w:rPr>
                <w:rFonts w:hint="default"/>
                <w:spacing w:val="31"/>
              </w:rPr>
              <w:t>桶装</w:t>
            </w:r>
          </w:p>
        </w:tc>
        <w:tc>
          <w:tcPr>
            <w:tcW w:w="703" w:type="dxa"/>
            <w:gridSpan w:val="2"/>
            <w:vAlign w:val="top"/>
          </w:tcPr>
          <w:p w14:paraId="135F39FB">
            <w:pPr>
              <w:pStyle w:val="22"/>
              <w:keepNext w:val="0"/>
              <w:keepLines w:val="0"/>
              <w:suppressLineNumbers w:val="0"/>
              <w:spacing w:before="166" w:beforeAutospacing="0" w:after="0" w:afterAutospacing="0" w:line="221" w:lineRule="auto"/>
              <w:ind w:left="149" w:right="0"/>
              <w:rPr>
                <w:rFonts w:hint="default"/>
              </w:rPr>
            </w:pPr>
            <w:r>
              <w:rPr>
                <w:rFonts w:hint="default"/>
                <w:spacing w:val="-2"/>
              </w:rPr>
              <w:t>汽车</w:t>
            </w:r>
          </w:p>
        </w:tc>
        <w:tc>
          <w:tcPr>
            <w:tcW w:w="1058" w:type="dxa"/>
            <w:gridSpan w:val="2"/>
            <w:vAlign w:val="top"/>
          </w:tcPr>
          <w:p w14:paraId="35BC22AC">
            <w:pPr>
              <w:pStyle w:val="22"/>
              <w:keepNext w:val="0"/>
              <w:keepLines w:val="0"/>
              <w:suppressLineNumbers w:val="0"/>
              <w:spacing w:before="166" w:beforeAutospacing="0" w:after="0" w:afterAutospacing="0" w:line="221" w:lineRule="auto"/>
              <w:ind w:left="325" w:right="0"/>
              <w:rPr>
                <w:rFonts w:hint="default"/>
              </w:rPr>
            </w:pPr>
            <w:r>
              <w:rPr>
                <w:rFonts w:hint="default"/>
                <w:spacing w:val="-2"/>
              </w:rPr>
              <w:t>产品</w:t>
            </w:r>
          </w:p>
        </w:tc>
      </w:tr>
      <w:tr w14:paraId="6A206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restart"/>
            <w:tcBorders>
              <w:bottom w:val="nil"/>
            </w:tcBorders>
            <w:vAlign w:val="top"/>
          </w:tcPr>
          <w:p w14:paraId="22895DCA">
            <w:pPr>
              <w:keepNext w:val="0"/>
              <w:keepLines w:val="0"/>
              <w:suppressLineNumbers w:val="0"/>
              <w:spacing w:before="0" w:beforeAutospacing="0" w:after="0" w:afterAutospacing="0" w:line="319" w:lineRule="auto"/>
              <w:ind w:left="0" w:right="0"/>
              <w:rPr>
                <w:rFonts w:hint="default" w:ascii="Arial"/>
                <w:sz w:val="21"/>
              </w:rPr>
            </w:pPr>
          </w:p>
          <w:p w14:paraId="6F670F46">
            <w:pPr>
              <w:keepNext w:val="0"/>
              <w:keepLines w:val="0"/>
              <w:suppressLineNumbers w:val="0"/>
              <w:spacing w:before="0" w:beforeAutospacing="0" w:after="0" w:afterAutospacing="0" w:line="319" w:lineRule="auto"/>
              <w:ind w:left="0" w:right="0"/>
              <w:rPr>
                <w:rFonts w:hint="default" w:ascii="Arial"/>
                <w:sz w:val="21"/>
              </w:rPr>
            </w:pPr>
          </w:p>
          <w:p w14:paraId="45F7DA02">
            <w:pPr>
              <w:keepNext w:val="0"/>
              <w:keepLines w:val="0"/>
              <w:suppressLineNumbers w:val="0"/>
              <w:spacing w:before="0" w:beforeAutospacing="0" w:after="0" w:afterAutospacing="0" w:line="320" w:lineRule="auto"/>
              <w:ind w:left="0" w:right="0"/>
              <w:rPr>
                <w:rFonts w:hint="default" w:ascii="Arial"/>
                <w:sz w:val="21"/>
              </w:rPr>
            </w:pPr>
          </w:p>
          <w:p w14:paraId="00CD82D1">
            <w:pPr>
              <w:pStyle w:val="22"/>
              <w:keepNext w:val="0"/>
              <w:keepLines w:val="0"/>
              <w:suppressLineNumbers w:val="0"/>
              <w:spacing w:before="68" w:beforeAutospacing="0" w:after="0" w:afterAutospacing="0" w:line="183" w:lineRule="auto"/>
              <w:ind w:left="203" w:right="0"/>
              <w:rPr>
                <w:rFonts w:hint="default"/>
              </w:rPr>
            </w:pPr>
            <w:r>
              <w:rPr>
                <w:rFonts w:hint="default"/>
              </w:rPr>
              <w:t>1</w:t>
            </w:r>
          </w:p>
        </w:tc>
        <w:tc>
          <w:tcPr>
            <w:tcW w:w="1163" w:type="dxa"/>
            <w:gridSpan w:val="2"/>
            <w:vMerge w:val="restart"/>
            <w:tcBorders>
              <w:bottom w:val="nil"/>
            </w:tcBorders>
            <w:vAlign w:val="top"/>
          </w:tcPr>
          <w:p w14:paraId="27A6D1FC">
            <w:pPr>
              <w:keepNext w:val="0"/>
              <w:keepLines w:val="0"/>
              <w:suppressLineNumbers w:val="0"/>
              <w:spacing w:before="0" w:beforeAutospacing="0" w:after="0" w:afterAutospacing="0" w:line="263" w:lineRule="auto"/>
              <w:ind w:left="0" w:right="0"/>
              <w:rPr>
                <w:rFonts w:hint="default" w:ascii="Arial"/>
                <w:sz w:val="21"/>
              </w:rPr>
            </w:pPr>
          </w:p>
          <w:p w14:paraId="2A8D2FB2">
            <w:pPr>
              <w:keepNext w:val="0"/>
              <w:keepLines w:val="0"/>
              <w:suppressLineNumbers w:val="0"/>
              <w:spacing w:before="0" w:beforeAutospacing="0" w:after="0" w:afterAutospacing="0" w:line="264" w:lineRule="auto"/>
              <w:ind w:left="0" w:right="0"/>
              <w:rPr>
                <w:rFonts w:hint="default" w:ascii="Arial"/>
                <w:sz w:val="21"/>
              </w:rPr>
            </w:pPr>
          </w:p>
          <w:p w14:paraId="2A066B44">
            <w:pPr>
              <w:keepNext w:val="0"/>
              <w:keepLines w:val="0"/>
              <w:suppressLineNumbers w:val="0"/>
              <w:spacing w:before="0" w:beforeAutospacing="0" w:after="0" w:afterAutospacing="0" w:line="264" w:lineRule="auto"/>
              <w:ind w:left="0" w:right="0"/>
              <w:rPr>
                <w:rFonts w:hint="default" w:ascii="Arial"/>
                <w:sz w:val="21"/>
              </w:rPr>
            </w:pPr>
          </w:p>
          <w:p w14:paraId="3D93B162">
            <w:pPr>
              <w:pStyle w:val="22"/>
              <w:keepNext w:val="0"/>
              <w:keepLines w:val="0"/>
              <w:suppressLineNumbers w:val="0"/>
              <w:spacing w:before="68" w:beforeAutospacing="0" w:after="0" w:afterAutospacing="0" w:line="229" w:lineRule="auto"/>
              <w:ind w:left="375" w:right="160" w:hanging="187"/>
              <w:rPr>
                <w:rFonts w:hint="default"/>
              </w:rPr>
            </w:pPr>
            <w:r>
              <w:rPr>
                <w:rFonts w:hint="default"/>
                <w:spacing w:val="-8"/>
              </w:rPr>
              <w:t>电子级氢</w:t>
            </w:r>
            <w:r>
              <w:rPr>
                <w:rFonts w:hint="default"/>
              </w:rPr>
              <w:t xml:space="preserve"> </w:t>
            </w:r>
            <w:r>
              <w:rPr>
                <w:rFonts w:hint="default"/>
                <w:spacing w:val="-2"/>
              </w:rPr>
              <w:t>氟酸</w:t>
            </w:r>
          </w:p>
        </w:tc>
        <w:tc>
          <w:tcPr>
            <w:tcW w:w="933" w:type="dxa"/>
            <w:vMerge w:val="restart"/>
            <w:tcBorders>
              <w:bottom w:val="nil"/>
            </w:tcBorders>
            <w:vAlign w:val="top"/>
          </w:tcPr>
          <w:p w14:paraId="2DFB8567">
            <w:pPr>
              <w:keepNext w:val="0"/>
              <w:keepLines w:val="0"/>
              <w:suppressLineNumbers w:val="0"/>
              <w:spacing w:before="0" w:beforeAutospacing="0" w:after="0" w:afterAutospacing="0" w:line="319" w:lineRule="auto"/>
              <w:ind w:left="0" w:right="0"/>
              <w:rPr>
                <w:rFonts w:hint="default" w:ascii="Arial"/>
                <w:sz w:val="21"/>
              </w:rPr>
            </w:pPr>
          </w:p>
          <w:p w14:paraId="69B5DAE5">
            <w:pPr>
              <w:keepNext w:val="0"/>
              <w:keepLines w:val="0"/>
              <w:suppressLineNumbers w:val="0"/>
              <w:spacing w:before="0" w:beforeAutospacing="0" w:after="0" w:afterAutospacing="0" w:line="320" w:lineRule="auto"/>
              <w:ind w:left="0" w:right="0"/>
              <w:rPr>
                <w:rFonts w:hint="default" w:ascii="Arial"/>
                <w:sz w:val="21"/>
              </w:rPr>
            </w:pPr>
          </w:p>
          <w:p w14:paraId="26FDFBE8">
            <w:pPr>
              <w:keepNext w:val="0"/>
              <w:keepLines w:val="0"/>
              <w:suppressLineNumbers w:val="0"/>
              <w:spacing w:before="0" w:beforeAutospacing="0" w:after="0" w:afterAutospacing="0" w:line="320" w:lineRule="auto"/>
              <w:ind w:left="0" w:right="0"/>
              <w:rPr>
                <w:rFonts w:hint="default" w:ascii="Arial"/>
                <w:sz w:val="21"/>
              </w:rPr>
            </w:pPr>
          </w:p>
          <w:p w14:paraId="08CA8C31">
            <w:pPr>
              <w:pStyle w:val="22"/>
              <w:keepNext w:val="0"/>
              <w:keepLines w:val="0"/>
              <w:suppressLineNumbers w:val="0"/>
              <w:spacing w:before="68" w:beforeAutospacing="0" w:after="0" w:afterAutospacing="0" w:line="182" w:lineRule="auto"/>
              <w:ind w:left="365" w:right="0"/>
              <w:rPr>
                <w:rFonts w:hint="default"/>
              </w:rPr>
            </w:pPr>
            <w:r>
              <w:rPr>
                <w:rFonts w:hint="default"/>
                <w:spacing w:val="-2"/>
              </w:rPr>
              <w:t>49</w:t>
            </w:r>
          </w:p>
        </w:tc>
        <w:tc>
          <w:tcPr>
            <w:tcW w:w="468" w:type="dxa"/>
            <w:vMerge w:val="restart"/>
            <w:tcBorders>
              <w:bottom w:val="nil"/>
            </w:tcBorders>
            <w:vAlign w:val="top"/>
          </w:tcPr>
          <w:p w14:paraId="4D47E368">
            <w:pPr>
              <w:keepNext w:val="0"/>
              <w:keepLines w:val="0"/>
              <w:suppressLineNumbers w:val="0"/>
              <w:spacing w:before="0" w:beforeAutospacing="0" w:after="0" w:afterAutospacing="0" w:line="308" w:lineRule="auto"/>
              <w:ind w:left="0" w:right="0"/>
              <w:rPr>
                <w:rFonts w:hint="default" w:ascii="Arial"/>
                <w:sz w:val="21"/>
              </w:rPr>
            </w:pPr>
          </w:p>
          <w:p w14:paraId="3ADF6024">
            <w:pPr>
              <w:keepNext w:val="0"/>
              <w:keepLines w:val="0"/>
              <w:suppressLineNumbers w:val="0"/>
              <w:spacing w:before="0" w:beforeAutospacing="0" w:after="0" w:afterAutospacing="0" w:line="308" w:lineRule="auto"/>
              <w:ind w:left="0" w:right="0"/>
              <w:rPr>
                <w:rFonts w:hint="default" w:ascii="Arial"/>
                <w:sz w:val="21"/>
              </w:rPr>
            </w:pPr>
          </w:p>
          <w:p w14:paraId="30724E31">
            <w:pPr>
              <w:keepNext w:val="0"/>
              <w:keepLines w:val="0"/>
              <w:suppressLineNumbers w:val="0"/>
              <w:spacing w:before="0" w:beforeAutospacing="0" w:after="0" w:afterAutospacing="0" w:line="308" w:lineRule="auto"/>
              <w:ind w:left="0" w:right="0"/>
              <w:rPr>
                <w:rFonts w:hint="default" w:ascii="Arial"/>
                <w:sz w:val="21"/>
              </w:rPr>
            </w:pPr>
          </w:p>
          <w:p w14:paraId="4314F5FE">
            <w:pPr>
              <w:pStyle w:val="22"/>
              <w:keepNext w:val="0"/>
              <w:keepLines w:val="0"/>
              <w:suppressLineNumbers w:val="0"/>
              <w:spacing w:before="68" w:beforeAutospacing="0" w:after="0" w:afterAutospacing="0" w:line="221" w:lineRule="auto"/>
              <w:ind w:left="133" w:right="0"/>
              <w:rPr>
                <w:rFonts w:hint="default"/>
              </w:rPr>
            </w:pPr>
            <w:r>
              <w:rPr>
                <w:rFonts w:hint="default"/>
              </w:rPr>
              <w:t>液</w:t>
            </w:r>
          </w:p>
        </w:tc>
        <w:tc>
          <w:tcPr>
            <w:tcW w:w="1055" w:type="dxa"/>
            <w:vMerge w:val="restart"/>
            <w:tcBorders>
              <w:bottom w:val="nil"/>
            </w:tcBorders>
            <w:vAlign w:val="top"/>
          </w:tcPr>
          <w:p w14:paraId="374DB84C">
            <w:pPr>
              <w:keepNext w:val="0"/>
              <w:keepLines w:val="0"/>
              <w:suppressLineNumbers w:val="0"/>
              <w:spacing w:before="0" w:beforeAutospacing="0" w:after="0" w:afterAutospacing="0" w:line="319" w:lineRule="auto"/>
              <w:ind w:left="0" w:right="0"/>
              <w:rPr>
                <w:rFonts w:hint="default" w:ascii="Arial"/>
                <w:sz w:val="21"/>
              </w:rPr>
            </w:pPr>
          </w:p>
          <w:p w14:paraId="5191C4EE">
            <w:pPr>
              <w:keepNext w:val="0"/>
              <w:keepLines w:val="0"/>
              <w:suppressLineNumbers w:val="0"/>
              <w:spacing w:before="0" w:beforeAutospacing="0" w:after="0" w:afterAutospacing="0" w:line="319" w:lineRule="auto"/>
              <w:ind w:left="0" w:right="0"/>
              <w:rPr>
                <w:rFonts w:hint="default" w:ascii="Arial"/>
                <w:sz w:val="21"/>
              </w:rPr>
            </w:pPr>
          </w:p>
          <w:p w14:paraId="7FCC464B">
            <w:pPr>
              <w:keepNext w:val="0"/>
              <w:keepLines w:val="0"/>
              <w:suppressLineNumbers w:val="0"/>
              <w:spacing w:before="0" w:beforeAutospacing="0" w:after="0" w:afterAutospacing="0" w:line="320" w:lineRule="auto"/>
              <w:ind w:left="0" w:right="0"/>
              <w:rPr>
                <w:rFonts w:hint="default" w:ascii="Arial"/>
                <w:sz w:val="21"/>
              </w:rPr>
            </w:pPr>
          </w:p>
          <w:p w14:paraId="3F1DC66C">
            <w:pPr>
              <w:pStyle w:val="22"/>
              <w:keepNext w:val="0"/>
              <w:keepLines w:val="0"/>
              <w:suppressLineNumbers w:val="0"/>
              <w:spacing w:before="68" w:beforeAutospacing="0" w:after="0" w:afterAutospacing="0" w:line="183" w:lineRule="auto"/>
              <w:ind w:left="337" w:right="0"/>
              <w:rPr>
                <w:rFonts w:hint="default"/>
              </w:rPr>
            </w:pPr>
            <w:r>
              <w:rPr>
                <w:rFonts w:hint="default"/>
                <w:spacing w:val="-6"/>
              </w:rPr>
              <w:t>1790</w:t>
            </w:r>
          </w:p>
        </w:tc>
        <w:tc>
          <w:tcPr>
            <w:tcW w:w="1397" w:type="dxa"/>
            <w:gridSpan w:val="2"/>
            <w:vAlign w:val="top"/>
          </w:tcPr>
          <w:p w14:paraId="25383948">
            <w:pPr>
              <w:pStyle w:val="22"/>
              <w:keepNext w:val="0"/>
              <w:keepLines w:val="0"/>
              <w:suppressLineNumbers w:val="0"/>
              <w:spacing w:before="201" w:beforeAutospacing="0" w:after="0" w:afterAutospacing="0" w:line="183" w:lineRule="auto"/>
              <w:ind w:left="458" w:right="0"/>
              <w:rPr>
                <w:rFonts w:hint="default"/>
              </w:rPr>
            </w:pPr>
            <w:r>
              <w:rPr>
                <w:rFonts w:hint="default"/>
                <w:spacing w:val="-4"/>
              </w:rPr>
              <w:t>125.5</w:t>
            </w:r>
          </w:p>
        </w:tc>
        <w:tc>
          <w:tcPr>
            <w:tcW w:w="818" w:type="dxa"/>
            <w:gridSpan w:val="2"/>
            <w:vMerge w:val="restart"/>
            <w:tcBorders>
              <w:bottom w:val="nil"/>
            </w:tcBorders>
            <w:vAlign w:val="top"/>
          </w:tcPr>
          <w:p w14:paraId="71D7BA27">
            <w:pPr>
              <w:keepNext w:val="0"/>
              <w:keepLines w:val="0"/>
              <w:suppressLineNumbers w:val="0"/>
              <w:spacing w:before="0" w:beforeAutospacing="0" w:after="0" w:afterAutospacing="0" w:line="319" w:lineRule="auto"/>
              <w:ind w:left="0" w:right="0"/>
              <w:rPr>
                <w:rFonts w:hint="default" w:ascii="Arial"/>
                <w:sz w:val="21"/>
              </w:rPr>
            </w:pPr>
          </w:p>
          <w:p w14:paraId="4311C20B">
            <w:pPr>
              <w:keepNext w:val="0"/>
              <w:keepLines w:val="0"/>
              <w:suppressLineNumbers w:val="0"/>
              <w:spacing w:before="0" w:beforeAutospacing="0" w:after="0" w:afterAutospacing="0" w:line="319" w:lineRule="auto"/>
              <w:ind w:left="0" w:right="0"/>
              <w:rPr>
                <w:rFonts w:hint="default" w:ascii="Arial"/>
                <w:sz w:val="21"/>
              </w:rPr>
            </w:pPr>
          </w:p>
          <w:p w14:paraId="301D9F7E">
            <w:pPr>
              <w:keepNext w:val="0"/>
              <w:keepLines w:val="0"/>
              <w:suppressLineNumbers w:val="0"/>
              <w:spacing w:before="0" w:beforeAutospacing="0" w:after="0" w:afterAutospacing="0" w:line="320" w:lineRule="auto"/>
              <w:ind w:left="0" w:right="0"/>
              <w:rPr>
                <w:rFonts w:hint="default" w:ascii="Arial"/>
                <w:sz w:val="21"/>
              </w:rPr>
            </w:pPr>
          </w:p>
          <w:p w14:paraId="35750E02">
            <w:pPr>
              <w:pStyle w:val="22"/>
              <w:keepNext w:val="0"/>
              <w:keepLines w:val="0"/>
              <w:suppressLineNumbers w:val="0"/>
              <w:spacing w:before="68" w:beforeAutospacing="0" w:after="0" w:afterAutospacing="0" w:line="183" w:lineRule="auto"/>
              <w:ind w:left="223" w:right="0"/>
              <w:rPr>
                <w:rFonts w:hint="default"/>
              </w:rPr>
            </w:pPr>
            <w:r>
              <w:rPr>
                <w:rFonts w:hint="default"/>
                <w:spacing w:val="-5"/>
              </w:rPr>
              <w:t>18.5</w:t>
            </w:r>
          </w:p>
        </w:tc>
        <w:tc>
          <w:tcPr>
            <w:tcW w:w="712" w:type="dxa"/>
            <w:gridSpan w:val="2"/>
            <w:vMerge w:val="restart"/>
            <w:tcBorders>
              <w:bottom w:val="nil"/>
            </w:tcBorders>
            <w:vAlign w:val="top"/>
          </w:tcPr>
          <w:p w14:paraId="7CF3C930">
            <w:pPr>
              <w:keepNext w:val="0"/>
              <w:keepLines w:val="0"/>
              <w:suppressLineNumbers w:val="0"/>
              <w:spacing w:before="0" w:beforeAutospacing="0" w:after="0" w:afterAutospacing="0" w:line="263" w:lineRule="auto"/>
              <w:ind w:left="0" w:right="0"/>
              <w:rPr>
                <w:rFonts w:hint="default" w:ascii="Arial"/>
                <w:sz w:val="21"/>
              </w:rPr>
            </w:pPr>
          </w:p>
          <w:p w14:paraId="1E931AC0">
            <w:pPr>
              <w:keepNext w:val="0"/>
              <w:keepLines w:val="0"/>
              <w:suppressLineNumbers w:val="0"/>
              <w:spacing w:before="0" w:beforeAutospacing="0" w:after="0" w:afterAutospacing="0" w:line="264" w:lineRule="auto"/>
              <w:ind w:left="0" w:right="0"/>
              <w:rPr>
                <w:rFonts w:hint="default" w:ascii="Arial"/>
                <w:sz w:val="21"/>
              </w:rPr>
            </w:pPr>
          </w:p>
          <w:p w14:paraId="0F4F0173">
            <w:pPr>
              <w:keepNext w:val="0"/>
              <w:keepLines w:val="0"/>
              <w:suppressLineNumbers w:val="0"/>
              <w:spacing w:before="0" w:beforeAutospacing="0" w:after="0" w:afterAutospacing="0" w:line="264" w:lineRule="auto"/>
              <w:ind w:left="0" w:right="0"/>
              <w:rPr>
                <w:rFonts w:hint="default" w:ascii="Arial"/>
                <w:sz w:val="21"/>
              </w:rPr>
            </w:pPr>
          </w:p>
          <w:p w14:paraId="529238D4">
            <w:pPr>
              <w:pStyle w:val="22"/>
              <w:keepNext w:val="0"/>
              <w:keepLines w:val="0"/>
              <w:suppressLineNumbers w:val="0"/>
              <w:spacing w:before="68" w:beforeAutospacing="0" w:after="0" w:afterAutospacing="0" w:line="229" w:lineRule="auto"/>
              <w:ind w:left="258" w:right="139" w:hanging="103"/>
              <w:rPr>
                <w:rFonts w:hint="default"/>
              </w:rPr>
            </w:pPr>
            <w:r>
              <w:rPr>
                <w:rFonts w:hint="default"/>
                <w:spacing w:val="-3"/>
              </w:rPr>
              <w:t>2#仓</w:t>
            </w:r>
            <w:r>
              <w:rPr>
                <w:rFonts w:hint="default"/>
              </w:rPr>
              <w:t xml:space="preserve"> 库</w:t>
            </w:r>
          </w:p>
        </w:tc>
        <w:tc>
          <w:tcPr>
            <w:tcW w:w="629" w:type="dxa"/>
            <w:gridSpan w:val="2"/>
            <w:vMerge w:val="restart"/>
            <w:tcBorders>
              <w:bottom w:val="nil"/>
            </w:tcBorders>
            <w:textDirection w:val="tbRlV"/>
            <w:vAlign w:val="top"/>
          </w:tcPr>
          <w:p w14:paraId="55DE0236">
            <w:pPr>
              <w:pStyle w:val="22"/>
              <w:keepNext w:val="0"/>
              <w:keepLines w:val="0"/>
              <w:suppressLineNumbers w:val="0"/>
              <w:spacing w:before="204" w:beforeAutospacing="0" w:after="0" w:afterAutospacing="0" w:line="209" w:lineRule="auto"/>
              <w:ind w:left="863" w:right="0"/>
              <w:rPr>
                <w:rFonts w:hint="default"/>
              </w:rPr>
            </w:pPr>
            <w:r>
              <w:rPr>
                <w:rFonts w:hint="default"/>
                <w:spacing w:val="31"/>
              </w:rPr>
              <w:t>桶装</w:t>
            </w:r>
          </w:p>
        </w:tc>
        <w:tc>
          <w:tcPr>
            <w:tcW w:w="703" w:type="dxa"/>
            <w:gridSpan w:val="2"/>
            <w:vMerge w:val="restart"/>
            <w:tcBorders>
              <w:bottom w:val="nil"/>
            </w:tcBorders>
            <w:vAlign w:val="top"/>
          </w:tcPr>
          <w:p w14:paraId="2339769F">
            <w:pPr>
              <w:keepNext w:val="0"/>
              <w:keepLines w:val="0"/>
              <w:suppressLineNumbers w:val="0"/>
              <w:spacing w:before="0" w:beforeAutospacing="0" w:after="0" w:afterAutospacing="0" w:line="308" w:lineRule="auto"/>
              <w:ind w:left="0" w:right="0"/>
              <w:rPr>
                <w:rFonts w:hint="default" w:ascii="Arial"/>
                <w:sz w:val="21"/>
              </w:rPr>
            </w:pPr>
          </w:p>
          <w:p w14:paraId="63BFFE69">
            <w:pPr>
              <w:keepNext w:val="0"/>
              <w:keepLines w:val="0"/>
              <w:suppressLineNumbers w:val="0"/>
              <w:spacing w:before="0" w:beforeAutospacing="0" w:after="0" w:afterAutospacing="0" w:line="308" w:lineRule="auto"/>
              <w:ind w:left="0" w:right="0"/>
              <w:rPr>
                <w:rFonts w:hint="default" w:ascii="Arial"/>
                <w:sz w:val="21"/>
              </w:rPr>
            </w:pPr>
          </w:p>
          <w:p w14:paraId="15FAD772">
            <w:pPr>
              <w:keepNext w:val="0"/>
              <w:keepLines w:val="0"/>
              <w:suppressLineNumbers w:val="0"/>
              <w:spacing w:before="0" w:beforeAutospacing="0" w:after="0" w:afterAutospacing="0" w:line="308" w:lineRule="auto"/>
              <w:ind w:left="0" w:right="0"/>
              <w:rPr>
                <w:rFonts w:hint="default" w:ascii="Arial"/>
                <w:sz w:val="21"/>
              </w:rPr>
            </w:pPr>
          </w:p>
          <w:p w14:paraId="497C4EB0">
            <w:pPr>
              <w:pStyle w:val="22"/>
              <w:keepNext w:val="0"/>
              <w:keepLines w:val="0"/>
              <w:suppressLineNumbers w:val="0"/>
              <w:spacing w:before="68"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31589062">
            <w:pPr>
              <w:pStyle w:val="22"/>
              <w:keepNext w:val="0"/>
              <w:keepLines w:val="0"/>
              <w:suppressLineNumbers w:val="0"/>
              <w:spacing w:before="31"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蚀刻液1</w:t>
            </w:r>
          </w:p>
        </w:tc>
      </w:tr>
      <w:tr w14:paraId="5136C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bottom w:val="nil"/>
            </w:tcBorders>
            <w:vAlign w:val="top"/>
          </w:tcPr>
          <w:p w14:paraId="46E949A5">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bottom w:val="nil"/>
            </w:tcBorders>
            <w:vAlign w:val="top"/>
          </w:tcPr>
          <w:p w14:paraId="6D3A7B58">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bottom w:val="nil"/>
            </w:tcBorders>
            <w:vAlign w:val="top"/>
          </w:tcPr>
          <w:p w14:paraId="050AD2F6">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bottom w:val="nil"/>
            </w:tcBorders>
            <w:vAlign w:val="top"/>
          </w:tcPr>
          <w:p w14:paraId="78CA4271">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bottom w:val="nil"/>
            </w:tcBorders>
            <w:vAlign w:val="top"/>
          </w:tcPr>
          <w:p w14:paraId="19CEF0D7">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43634948">
            <w:pPr>
              <w:pStyle w:val="22"/>
              <w:keepNext w:val="0"/>
              <w:keepLines w:val="0"/>
              <w:suppressLineNumbers w:val="0"/>
              <w:spacing w:before="202" w:beforeAutospacing="0" w:after="0" w:afterAutospacing="0" w:line="183" w:lineRule="auto"/>
              <w:ind w:left="458" w:right="0"/>
              <w:rPr>
                <w:rFonts w:hint="default"/>
              </w:rPr>
            </w:pPr>
            <w:r>
              <w:rPr>
                <w:rFonts w:hint="default"/>
                <w:spacing w:val="-4"/>
              </w:rPr>
              <w:t>125.5</w:t>
            </w:r>
          </w:p>
        </w:tc>
        <w:tc>
          <w:tcPr>
            <w:tcW w:w="818" w:type="dxa"/>
            <w:gridSpan w:val="2"/>
            <w:vMerge w:val="continue"/>
            <w:tcBorders>
              <w:top w:val="nil"/>
              <w:bottom w:val="nil"/>
            </w:tcBorders>
            <w:vAlign w:val="top"/>
          </w:tcPr>
          <w:p w14:paraId="331B56B7">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bottom w:val="nil"/>
            </w:tcBorders>
            <w:vAlign w:val="top"/>
          </w:tcPr>
          <w:p w14:paraId="3F47D76C">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bottom w:val="nil"/>
            </w:tcBorders>
            <w:textDirection w:val="tbRlV"/>
            <w:vAlign w:val="top"/>
          </w:tcPr>
          <w:p w14:paraId="62E8105A">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bottom w:val="nil"/>
            </w:tcBorders>
            <w:vAlign w:val="top"/>
          </w:tcPr>
          <w:p w14:paraId="39A32AC3">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66F773CA">
            <w:pPr>
              <w:pStyle w:val="22"/>
              <w:keepNext w:val="0"/>
              <w:keepLines w:val="0"/>
              <w:suppressLineNumbers w:val="0"/>
              <w:spacing w:before="31" w:beforeAutospacing="0" w:after="0" w:afterAutospacing="0" w:line="223" w:lineRule="auto"/>
              <w:ind w:left="165" w:right="157" w:firstLine="56"/>
              <w:rPr>
                <w:rFonts w:hint="default"/>
              </w:rPr>
            </w:pPr>
            <w:r>
              <w:rPr>
                <w:rFonts w:hint="default"/>
                <w:spacing w:val="-2"/>
              </w:rPr>
              <w:t>2500/a</w:t>
            </w:r>
            <w:r>
              <w:rPr>
                <w:rFonts w:hint="default"/>
                <w:spacing w:val="3"/>
              </w:rPr>
              <w:t xml:space="preserve"> </w:t>
            </w:r>
            <w:r>
              <w:rPr>
                <w:rFonts w:hint="default"/>
                <w:spacing w:val="-2"/>
              </w:rPr>
              <w:t>蚀刻液2</w:t>
            </w:r>
          </w:p>
        </w:tc>
      </w:tr>
      <w:tr w14:paraId="5FDB9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bottom w:val="nil"/>
            </w:tcBorders>
            <w:vAlign w:val="top"/>
          </w:tcPr>
          <w:p w14:paraId="32D217C7">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bottom w:val="nil"/>
            </w:tcBorders>
            <w:vAlign w:val="top"/>
          </w:tcPr>
          <w:p w14:paraId="0E4B8539">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bottom w:val="nil"/>
            </w:tcBorders>
            <w:vAlign w:val="top"/>
          </w:tcPr>
          <w:p w14:paraId="31485C3C">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bottom w:val="nil"/>
            </w:tcBorders>
            <w:vAlign w:val="top"/>
          </w:tcPr>
          <w:p w14:paraId="4D372B86">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bottom w:val="nil"/>
            </w:tcBorders>
            <w:vAlign w:val="top"/>
          </w:tcPr>
          <w:p w14:paraId="595E6198">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09A001A7">
            <w:pPr>
              <w:pStyle w:val="22"/>
              <w:keepNext w:val="0"/>
              <w:keepLines w:val="0"/>
              <w:suppressLineNumbers w:val="0"/>
              <w:spacing w:before="203" w:beforeAutospacing="0" w:after="0" w:afterAutospacing="0" w:line="182" w:lineRule="auto"/>
              <w:ind w:left="500" w:right="0"/>
              <w:rPr>
                <w:rFonts w:hint="default"/>
              </w:rPr>
            </w:pPr>
            <w:r>
              <w:rPr>
                <w:rFonts w:hint="default"/>
                <w:spacing w:val="-2"/>
              </w:rPr>
              <w:t>50.5</w:t>
            </w:r>
          </w:p>
        </w:tc>
        <w:tc>
          <w:tcPr>
            <w:tcW w:w="818" w:type="dxa"/>
            <w:gridSpan w:val="2"/>
            <w:vMerge w:val="continue"/>
            <w:tcBorders>
              <w:top w:val="nil"/>
              <w:bottom w:val="nil"/>
            </w:tcBorders>
            <w:vAlign w:val="top"/>
          </w:tcPr>
          <w:p w14:paraId="0A38D50B">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bottom w:val="nil"/>
            </w:tcBorders>
            <w:vAlign w:val="top"/>
          </w:tcPr>
          <w:p w14:paraId="20AF79AC">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bottom w:val="nil"/>
            </w:tcBorders>
            <w:textDirection w:val="tbRlV"/>
            <w:vAlign w:val="top"/>
          </w:tcPr>
          <w:p w14:paraId="279F87FB">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bottom w:val="nil"/>
            </w:tcBorders>
            <w:vAlign w:val="top"/>
          </w:tcPr>
          <w:p w14:paraId="7BCBA86F">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33785ED4">
            <w:pPr>
              <w:pStyle w:val="22"/>
              <w:keepNext w:val="0"/>
              <w:keepLines w:val="0"/>
              <w:suppressLineNumbers w:val="0"/>
              <w:spacing w:before="31"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蚀刻液3</w:t>
            </w:r>
          </w:p>
        </w:tc>
      </w:tr>
      <w:tr w14:paraId="75F89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tcBorders>
            <w:vAlign w:val="top"/>
          </w:tcPr>
          <w:p w14:paraId="21E40032">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tcBorders>
            <w:vAlign w:val="top"/>
          </w:tcPr>
          <w:p w14:paraId="7255B757">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tcBorders>
            <w:vAlign w:val="top"/>
          </w:tcPr>
          <w:p w14:paraId="469DECC5">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tcBorders>
            <w:vAlign w:val="top"/>
          </w:tcPr>
          <w:p w14:paraId="75C56971">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tcBorders>
            <w:vAlign w:val="top"/>
          </w:tcPr>
          <w:p w14:paraId="32391184">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0AC77CFA">
            <w:pPr>
              <w:pStyle w:val="22"/>
              <w:keepNext w:val="0"/>
              <w:keepLines w:val="0"/>
              <w:suppressLineNumbers w:val="0"/>
              <w:spacing w:before="203" w:beforeAutospacing="0" w:after="0" w:afterAutospacing="0" w:line="183" w:lineRule="auto"/>
              <w:ind w:left="458" w:right="0"/>
              <w:rPr>
                <w:rFonts w:hint="default"/>
              </w:rPr>
            </w:pPr>
            <w:r>
              <w:rPr>
                <w:rFonts w:hint="default"/>
                <w:spacing w:val="-4"/>
              </w:rPr>
              <w:t>150.5</w:t>
            </w:r>
          </w:p>
        </w:tc>
        <w:tc>
          <w:tcPr>
            <w:tcW w:w="818" w:type="dxa"/>
            <w:gridSpan w:val="2"/>
            <w:vMerge w:val="continue"/>
            <w:tcBorders>
              <w:top w:val="nil"/>
            </w:tcBorders>
            <w:vAlign w:val="top"/>
          </w:tcPr>
          <w:p w14:paraId="26E022EC">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tcBorders>
            <w:vAlign w:val="top"/>
          </w:tcPr>
          <w:p w14:paraId="05ACC163">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tcBorders>
            <w:textDirection w:val="tbRlV"/>
            <w:vAlign w:val="top"/>
          </w:tcPr>
          <w:p w14:paraId="0C88F6A2">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tcBorders>
            <w:vAlign w:val="top"/>
          </w:tcPr>
          <w:p w14:paraId="0636837D">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445F981C">
            <w:pPr>
              <w:pStyle w:val="22"/>
              <w:keepNext w:val="0"/>
              <w:keepLines w:val="0"/>
              <w:suppressLineNumbers w:val="0"/>
              <w:spacing w:before="31"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蚀刻液4</w:t>
            </w:r>
          </w:p>
        </w:tc>
      </w:tr>
      <w:tr w14:paraId="5F172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71" w:type="dxa"/>
            <w:gridSpan w:val="2"/>
            <w:vMerge w:val="restart"/>
            <w:tcBorders>
              <w:bottom w:val="nil"/>
            </w:tcBorders>
            <w:vAlign w:val="top"/>
          </w:tcPr>
          <w:p w14:paraId="6AE923A0">
            <w:pPr>
              <w:keepNext w:val="0"/>
              <w:keepLines w:val="0"/>
              <w:suppressLineNumbers w:val="0"/>
              <w:spacing w:before="0" w:beforeAutospacing="0" w:after="0" w:afterAutospacing="0" w:line="412" w:lineRule="auto"/>
              <w:ind w:left="0" w:right="0"/>
              <w:rPr>
                <w:rFonts w:hint="default" w:ascii="Arial"/>
                <w:sz w:val="21"/>
              </w:rPr>
            </w:pPr>
          </w:p>
          <w:p w14:paraId="64359FBA">
            <w:pPr>
              <w:pStyle w:val="22"/>
              <w:keepNext w:val="0"/>
              <w:keepLines w:val="0"/>
              <w:suppressLineNumbers w:val="0"/>
              <w:spacing w:before="68" w:beforeAutospacing="0" w:after="0" w:afterAutospacing="0" w:line="182" w:lineRule="auto"/>
              <w:ind w:left="190" w:right="0"/>
              <w:rPr>
                <w:rFonts w:hint="default"/>
              </w:rPr>
            </w:pPr>
            <w:r>
              <w:rPr>
                <w:rFonts w:hint="default"/>
              </w:rPr>
              <w:t>2</w:t>
            </w:r>
          </w:p>
        </w:tc>
        <w:tc>
          <w:tcPr>
            <w:tcW w:w="1163" w:type="dxa"/>
            <w:gridSpan w:val="2"/>
            <w:vMerge w:val="restart"/>
            <w:tcBorders>
              <w:bottom w:val="nil"/>
            </w:tcBorders>
            <w:vAlign w:val="top"/>
          </w:tcPr>
          <w:p w14:paraId="22135C7D">
            <w:pPr>
              <w:keepNext w:val="0"/>
              <w:keepLines w:val="0"/>
              <w:suppressLineNumbers w:val="0"/>
              <w:spacing w:before="0" w:beforeAutospacing="0" w:after="0" w:afterAutospacing="0" w:line="242" w:lineRule="auto"/>
              <w:ind w:left="0" w:right="0"/>
              <w:rPr>
                <w:rFonts w:hint="default" w:ascii="Arial"/>
                <w:sz w:val="21"/>
              </w:rPr>
            </w:pPr>
          </w:p>
          <w:p w14:paraId="0E39DC74">
            <w:pPr>
              <w:pStyle w:val="22"/>
              <w:keepNext w:val="0"/>
              <w:keepLines w:val="0"/>
              <w:suppressLineNumbers w:val="0"/>
              <w:spacing w:before="68" w:beforeAutospacing="0" w:after="0" w:afterAutospacing="0" w:line="231" w:lineRule="auto"/>
              <w:ind w:left="478" w:right="160" w:hanging="290"/>
              <w:rPr>
                <w:rFonts w:hint="default"/>
              </w:rPr>
            </w:pPr>
            <w:r>
              <w:rPr>
                <w:rFonts w:hint="default"/>
                <w:spacing w:val="-8"/>
              </w:rPr>
              <w:t>电子级硝</w:t>
            </w:r>
            <w:r>
              <w:rPr>
                <w:rFonts w:hint="default"/>
              </w:rPr>
              <w:t xml:space="preserve"> 酸</w:t>
            </w:r>
          </w:p>
        </w:tc>
        <w:tc>
          <w:tcPr>
            <w:tcW w:w="933" w:type="dxa"/>
            <w:vMerge w:val="restart"/>
            <w:tcBorders>
              <w:bottom w:val="nil"/>
            </w:tcBorders>
            <w:vAlign w:val="top"/>
          </w:tcPr>
          <w:p w14:paraId="195A2724">
            <w:pPr>
              <w:keepNext w:val="0"/>
              <w:keepLines w:val="0"/>
              <w:suppressLineNumbers w:val="0"/>
              <w:spacing w:before="0" w:beforeAutospacing="0" w:after="0" w:afterAutospacing="0" w:line="412" w:lineRule="auto"/>
              <w:ind w:left="0" w:right="0"/>
              <w:rPr>
                <w:rFonts w:hint="default" w:ascii="Arial"/>
                <w:sz w:val="21"/>
              </w:rPr>
            </w:pPr>
          </w:p>
          <w:p w14:paraId="0D128DCD">
            <w:pPr>
              <w:pStyle w:val="22"/>
              <w:keepNext w:val="0"/>
              <w:keepLines w:val="0"/>
              <w:suppressLineNumbers w:val="0"/>
              <w:spacing w:before="69" w:beforeAutospacing="0" w:after="0" w:afterAutospacing="0" w:line="182" w:lineRule="auto"/>
              <w:ind w:left="368" w:right="0"/>
              <w:rPr>
                <w:rFonts w:hint="default"/>
              </w:rPr>
            </w:pPr>
            <w:r>
              <w:rPr>
                <w:rFonts w:hint="default"/>
                <w:spacing w:val="-3"/>
              </w:rPr>
              <w:t>69</w:t>
            </w:r>
          </w:p>
        </w:tc>
        <w:tc>
          <w:tcPr>
            <w:tcW w:w="468" w:type="dxa"/>
            <w:vMerge w:val="restart"/>
            <w:tcBorders>
              <w:bottom w:val="nil"/>
            </w:tcBorders>
            <w:vAlign w:val="top"/>
          </w:tcPr>
          <w:p w14:paraId="69019F8B">
            <w:pPr>
              <w:keepNext w:val="0"/>
              <w:keepLines w:val="0"/>
              <w:suppressLineNumbers w:val="0"/>
              <w:spacing w:before="0" w:beforeAutospacing="0" w:after="0" w:afterAutospacing="0" w:line="377" w:lineRule="auto"/>
              <w:ind w:left="0" w:right="0"/>
              <w:rPr>
                <w:rFonts w:hint="default" w:ascii="Arial"/>
                <w:sz w:val="21"/>
              </w:rPr>
            </w:pPr>
          </w:p>
          <w:p w14:paraId="63D4E5B1">
            <w:pPr>
              <w:pStyle w:val="22"/>
              <w:keepNext w:val="0"/>
              <w:keepLines w:val="0"/>
              <w:suppressLineNumbers w:val="0"/>
              <w:spacing w:before="69" w:beforeAutospacing="0" w:after="0" w:afterAutospacing="0" w:line="221" w:lineRule="auto"/>
              <w:ind w:left="133" w:right="0"/>
              <w:rPr>
                <w:rFonts w:hint="default"/>
              </w:rPr>
            </w:pPr>
            <w:r>
              <w:rPr>
                <w:rFonts w:hint="default"/>
              </w:rPr>
              <w:t>液</w:t>
            </w:r>
          </w:p>
        </w:tc>
        <w:tc>
          <w:tcPr>
            <w:tcW w:w="1055" w:type="dxa"/>
            <w:vMerge w:val="restart"/>
            <w:tcBorders>
              <w:bottom w:val="nil"/>
            </w:tcBorders>
            <w:vAlign w:val="top"/>
          </w:tcPr>
          <w:p w14:paraId="5EF3A8ED">
            <w:pPr>
              <w:keepNext w:val="0"/>
              <w:keepLines w:val="0"/>
              <w:suppressLineNumbers w:val="0"/>
              <w:spacing w:before="0" w:beforeAutospacing="0" w:after="0" w:afterAutospacing="0" w:line="411" w:lineRule="auto"/>
              <w:ind w:left="0" w:right="0"/>
              <w:rPr>
                <w:rFonts w:hint="default" w:ascii="Arial"/>
                <w:sz w:val="21"/>
              </w:rPr>
            </w:pPr>
          </w:p>
          <w:p w14:paraId="48ACA00F">
            <w:pPr>
              <w:pStyle w:val="22"/>
              <w:keepNext w:val="0"/>
              <w:keepLines w:val="0"/>
              <w:suppressLineNumbers w:val="0"/>
              <w:spacing w:before="68" w:beforeAutospacing="0" w:after="0" w:afterAutospacing="0" w:line="183" w:lineRule="auto"/>
              <w:ind w:left="324" w:right="0"/>
              <w:rPr>
                <w:rFonts w:hint="default"/>
              </w:rPr>
            </w:pPr>
            <w:r>
              <w:rPr>
                <w:rFonts w:hint="default"/>
                <w:spacing w:val="-3"/>
              </w:rPr>
              <w:t>2031</w:t>
            </w:r>
          </w:p>
        </w:tc>
        <w:tc>
          <w:tcPr>
            <w:tcW w:w="1397" w:type="dxa"/>
            <w:gridSpan w:val="2"/>
            <w:vAlign w:val="top"/>
          </w:tcPr>
          <w:p w14:paraId="62136BE7">
            <w:pPr>
              <w:pStyle w:val="22"/>
              <w:keepNext w:val="0"/>
              <w:keepLines w:val="0"/>
              <w:suppressLineNumbers w:val="0"/>
              <w:spacing w:before="204" w:beforeAutospacing="0" w:after="0" w:afterAutospacing="0" w:line="183" w:lineRule="auto"/>
              <w:ind w:left="405" w:right="0"/>
              <w:rPr>
                <w:rFonts w:hint="default"/>
              </w:rPr>
            </w:pPr>
            <w:r>
              <w:rPr>
                <w:rFonts w:hint="default"/>
                <w:spacing w:val="-3"/>
              </w:rPr>
              <w:t>1250.5</w:t>
            </w:r>
          </w:p>
        </w:tc>
        <w:tc>
          <w:tcPr>
            <w:tcW w:w="818" w:type="dxa"/>
            <w:gridSpan w:val="2"/>
            <w:vMerge w:val="restart"/>
            <w:tcBorders>
              <w:bottom w:val="nil"/>
            </w:tcBorders>
            <w:vAlign w:val="top"/>
          </w:tcPr>
          <w:p w14:paraId="3601FC1B">
            <w:pPr>
              <w:keepNext w:val="0"/>
              <w:keepLines w:val="0"/>
              <w:suppressLineNumbers w:val="0"/>
              <w:spacing w:before="0" w:beforeAutospacing="0" w:after="0" w:afterAutospacing="0" w:line="411" w:lineRule="auto"/>
              <w:ind w:left="0" w:right="0"/>
              <w:rPr>
                <w:rFonts w:hint="default" w:ascii="Arial"/>
                <w:sz w:val="21"/>
              </w:rPr>
            </w:pPr>
          </w:p>
          <w:p w14:paraId="2101E0AA">
            <w:pPr>
              <w:pStyle w:val="22"/>
              <w:keepNext w:val="0"/>
              <w:keepLines w:val="0"/>
              <w:suppressLineNumbers w:val="0"/>
              <w:spacing w:before="68" w:beforeAutospacing="0" w:after="0" w:afterAutospacing="0" w:line="183" w:lineRule="auto"/>
              <w:ind w:left="326" w:right="0"/>
              <w:rPr>
                <w:rFonts w:hint="default"/>
              </w:rPr>
            </w:pPr>
            <w:r>
              <w:rPr>
                <w:rFonts w:hint="default"/>
                <w:spacing w:val="-6"/>
              </w:rPr>
              <w:t>10</w:t>
            </w:r>
          </w:p>
        </w:tc>
        <w:tc>
          <w:tcPr>
            <w:tcW w:w="712" w:type="dxa"/>
            <w:gridSpan w:val="2"/>
            <w:vMerge w:val="restart"/>
            <w:tcBorders>
              <w:bottom w:val="nil"/>
            </w:tcBorders>
            <w:vAlign w:val="top"/>
          </w:tcPr>
          <w:p w14:paraId="520D6F2C">
            <w:pPr>
              <w:keepNext w:val="0"/>
              <w:keepLines w:val="0"/>
              <w:suppressLineNumbers w:val="0"/>
              <w:spacing w:before="0" w:beforeAutospacing="0" w:after="0" w:afterAutospacing="0"/>
              <w:ind w:left="0" w:right="0"/>
              <w:rPr>
                <w:rFonts w:hint="default" w:ascii="Arial"/>
                <w:sz w:val="21"/>
              </w:rPr>
            </w:pPr>
          </w:p>
          <w:p w14:paraId="268044EA">
            <w:pPr>
              <w:pStyle w:val="22"/>
              <w:keepNext w:val="0"/>
              <w:keepLines w:val="0"/>
              <w:suppressLineNumbers w:val="0"/>
              <w:spacing w:before="68" w:beforeAutospacing="0" w:after="0" w:afterAutospacing="0" w:line="231" w:lineRule="auto"/>
              <w:ind w:left="258" w:right="139" w:hanging="90"/>
              <w:rPr>
                <w:rFonts w:hint="default"/>
              </w:rPr>
            </w:pPr>
            <w:r>
              <w:rPr>
                <w:rFonts w:hint="default"/>
                <w:spacing w:val="-8"/>
              </w:rPr>
              <w:t>1#仓</w:t>
            </w:r>
            <w:r>
              <w:rPr>
                <w:rFonts w:hint="default"/>
                <w:spacing w:val="1"/>
              </w:rPr>
              <w:t xml:space="preserve"> </w:t>
            </w:r>
            <w:r>
              <w:rPr>
                <w:rFonts w:hint="default"/>
              </w:rPr>
              <w:t>库</w:t>
            </w:r>
          </w:p>
        </w:tc>
        <w:tc>
          <w:tcPr>
            <w:tcW w:w="629" w:type="dxa"/>
            <w:gridSpan w:val="2"/>
            <w:vMerge w:val="restart"/>
            <w:tcBorders>
              <w:bottom w:val="nil"/>
            </w:tcBorders>
            <w:textDirection w:val="tbRlV"/>
            <w:vAlign w:val="top"/>
          </w:tcPr>
          <w:p w14:paraId="3A19FEDF">
            <w:pPr>
              <w:pStyle w:val="22"/>
              <w:keepNext w:val="0"/>
              <w:keepLines w:val="0"/>
              <w:suppressLineNumbers w:val="0"/>
              <w:spacing w:before="204" w:beforeAutospacing="0" w:after="0" w:afterAutospacing="0" w:line="209" w:lineRule="auto"/>
              <w:ind w:left="311" w:right="0"/>
              <w:rPr>
                <w:rFonts w:hint="default"/>
              </w:rPr>
            </w:pPr>
            <w:r>
              <w:rPr>
                <w:rFonts w:hint="default"/>
                <w:spacing w:val="1"/>
              </w:rPr>
              <w:t>桶</w:t>
            </w:r>
            <w:r>
              <w:rPr>
                <w:rFonts w:hint="default"/>
                <w:spacing w:val="-43"/>
              </w:rPr>
              <w:t xml:space="preserve"> </w:t>
            </w:r>
            <w:r>
              <w:rPr>
                <w:rFonts w:hint="default"/>
                <w:spacing w:val="1"/>
              </w:rPr>
              <w:t>装</w:t>
            </w:r>
          </w:p>
        </w:tc>
        <w:tc>
          <w:tcPr>
            <w:tcW w:w="703" w:type="dxa"/>
            <w:gridSpan w:val="2"/>
            <w:vMerge w:val="restart"/>
            <w:tcBorders>
              <w:bottom w:val="nil"/>
            </w:tcBorders>
            <w:vAlign w:val="top"/>
          </w:tcPr>
          <w:p w14:paraId="2709A521">
            <w:pPr>
              <w:keepNext w:val="0"/>
              <w:keepLines w:val="0"/>
              <w:suppressLineNumbers w:val="0"/>
              <w:spacing w:before="0" w:beforeAutospacing="0" w:after="0" w:afterAutospacing="0" w:line="377" w:lineRule="auto"/>
              <w:ind w:left="0" w:right="0"/>
              <w:rPr>
                <w:rFonts w:hint="default" w:ascii="Arial"/>
                <w:sz w:val="21"/>
              </w:rPr>
            </w:pPr>
          </w:p>
          <w:p w14:paraId="6E223180">
            <w:pPr>
              <w:pStyle w:val="22"/>
              <w:keepNext w:val="0"/>
              <w:keepLines w:val="0"/>
              <w:suppressLineNumbers w:val="0"/>
              <w:spacing w:before="69"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06665F06">
            <w:pPr>
              <w:pStyle w:val="22"/>
              <w:keepNext w:val="0"/>
              <w:keepLines w:val="0"/>
              <w:suppressLineNumbers w:val="0"/>
              <w:spacing w:before="34"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蚀刻液1</w:t>
            </w:r>
          </w:p>
        </w:tc>
      </w:tr>
      <w:tr w14:paraId="5D632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71" w:type="dxa"/>
            <w:gridSpan w:val="2"/>
            <w:vMerge w:val="continue"/>
            <w:tcBorders>
              <w:top w:val="nil"/>
            </w:tcBorders>
            <w:vAlign w:val="top"/>
          </w:tcPr>
          <w:p w14:paraId="683BE0E1">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tcBorders>
            <w:vAlign w:val="top"/>
          </w:tcPr>
          <w:p w14:paraId="0A7A66B6">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tcBorders>
            <w:vAlign w:val="top"/>
          </w:tcPr>
          <w:p w14:paraId="2659F388">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tcBorders>
            <w:vAlign w:val="top"/>
          </w:tcPr>
          <w:p w14:paraId="0AE8F614">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tcBorders>
            <w:vAlign w:val="top"/>
          </w:tcPr>
          <w:p w14:paraId="28B4C36B">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0BFACD50">
            <w:pPr>
              <w:pStyle w:val="22"/>
              <w:keepNext w:val="0"/>
              <w:keepLines w:val="0"/>
              <w:suppressLineNumbers w:val="0"/>
              <w:spacing w:before="203" w:beforeAutospacing="0" w:after="0" w:afterAutospacing="0" w:line="183" w:lineRule="auto"/>
              <w:ind w:left="405" w:right="0"/>
              <w:rPr>
                <w:rFonts w:hint="default"/>
              </w:rPr>
            </w:pPr>
            <w:r>
              <w:rPr>
                <w:rFonts w:hint="default"/>
                <w:spacing w:val="-3"/>
              </w:rPr>
              <w:t>1625.5</w:t>
            </w:r>
          </w:p>
        </w:tc>
        <w:tc>
          <w:tcPr>
            <w:tcW w:w="818" w:type="dxa"/>
            <w:gridSpan w:val="2"/>
            <w:vMerge w:val="continue"/>
            <w:tcBorders>
              <w:top w:val="nil"/>
            </w:tcBorders>
            <w:vAlign w:val="top"/>
          </w:tcPr>
          <w:p w14:paraId="2B891FA1">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tcBorders>
            <w:vAlign w:val="top"/>
          </w:tcPr>
          <w:p w14:paraId="6239108E">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tcBorders>
            <w:textDirection w:val="tbRlV"/>
            <w:vAlign w:val="top"/>
          </w:tcPr>
          <w:p w14:paraId="69E8783D">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tcBorders>
            <w:vAlign w:val="top"/>
          </w:tcPr>
          <w:p w14:paraId="564C8212">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35D17F3D">
            <w:pPr>
              <w:pStyle w:val="22"/>
              <w:keepNext w:val="0"/>
              <w:keepLines w:val="0"/>
              <w:suppressLineNumbers w:val="0"/>
              <w:spacing w:before="34"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蚀刻液3</w:t>
            </w:r>
          </w:p>
        </w:tc>
      </w:tr>
      <w:tr w14:paraId="44B6F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Align w:val="top"/>
          </w:tcPr>
          <w:p w14:paraId="5D68AFCC">
            <w:pPr>
              <w:pStyle w:val="22"/>
              <w:keepNext w:val="0"/>
              <w:keepLines w:val="0"/>
              <w:suppressLineNumbers w:val="0"/>
              <w:spacing w:before="201" w:beforeAutospacing="0" w:after="0" w:afterAutospacing="0" w:line="182" w:lineRule="auto"/>
              <w:ind w:left="192" w:right="0"/>
              <w:rPr>
                <w:rFonts w:hint="default"/>
              </w:rPr>
            </w:pPr>
            <w:r>
              <w:rPr>
                <w:rFonts w:hint="default"/>
              </w:rPr>
              <w:t>3</w:t>
            </w:r>
          </w:p>
        </w:tc>
        <w:tc>
          <w:tcPr>
            <w:tcW w:w="1163" w:type="dxa"/>
            <w:gridSpan w:val="2"/>
            <w:vAlign w:val="top"/>
          </w:tcPr>
          <w:p w14:paraId="4E02E893">
            <w:pPr>
              <w:pStyle w:val="22"/>
              <w:keepNext w:val="0"/>
              <w:keepLines w:val="0"/>
              <w:suppressLineNumbers w:val="0"/>
              <w:spacing w:before="31" w:beforeAutospacing="0" w:after="0" w:afterAutospacing="0" w:line="223" w:lineRule="auto"/>
              <w:ind w:left="375" w:right="160" w:hanging="187"/>
              <w:rPr>
                <w:rFonts w:hint="default"/>
              </w:rPr>
            </w:pPr>
            <w:r>
              <w:rPr>
                <w:rFonts w:hint="default"/>
                <w:spacing w:val="-8"/>
              </w:rPr>
              <w:t>电子级氟</w:t>
            </w:r>
            <w:r>
              <w:rPr>
                <w:rFonts w:hint="default"/>
              </w:rPr>
              <w:t xml:space="preserve"> </w:t>
            </w:r>
            <w:r>
              <w:rPr>
                <w:rFonts w:hint="default"/>
                <w:spacing w:val="-2"/>
              </w:rPr>
              <w:t>化铵</w:t>
            </w:r>
          </w:p>
        </w:tc>
        <w:tc>
          <w:tcPr>
            <w:tcW w:w="933" w:type="dxa"/>
            <w:vAlign w:val="top"/>
          </w:tcPr>
          <w:p w14:paraId="414E1D56">
            <w:pPr>
              <w:pStyle w:val="22"/>
              <w:keepNext w:val="0"/>
              <w:keepLines w:val="0"/>
              <w:suppressLineNumbers w:val="0"/>
              <w:spacing w:before="201" w:beforeAutospacing="0" w:after="0" w:afterAutospacing="0" w:line="182" w:lineRule="auto"/>
              <w:ind w:left="365" w:right="0"/>
              <w:rPr>
                <w:rFonts w:hint="default"/>
              </w:rPr>
            </w:pPr>
            <w:r>
              <w:rPr>
                <w:rFonts w:hint="default"/>
                <w:spacing w:val="-2"/>
              </w:rPr>
              <w:t>40</w:t>
            </w:r>
          </w:p>
        </w:tc>
        <w:tc>
          <w:tcPr>
            <w:tcW w:w="468" w:type="dxa"/>
            <w:vAlign w:val="top"/>
          </w:tcPr>
          <w:p w14:paraId="259F207F">
            <w:pPr>
              <w:pStyle w:val="22"/>
              <w:keepNext w:val="0"/>
              <w:keepLines w:val="0"/>
              <w:suppressLineNumbers w:val="0"/>
              <w:spacing w:before="166" w:beforeAutospacing="0" w:after="0" w:afterAutospacing="0" w:line="221" w:lineRule="auto"/>
              <w:ind w:left="133" w:right="0"/>
              <w:rPr>
                <w:rFonts w:hint="default"/>
              </w:rPr>
            </w:pPr>
            <w:r>
              <w:rPr>
                <w:rFonts w:hint="default"/>
              </w:rPr>
              <w:t>液</w:t>
            </w:r>
          </w:p>
        </w:tc>
        <w:tc>
          <w:tcPr>
            <w:tcW w:w="1055" w:type="dxa"/>
            <w:vAlign w:val="top"/>
          </w:tcPr>
          <w:p w14:paraId="37400523">
            <w:pPr>
              <w:pStyle w:val="22"/>
              <w:keepNext w:val="0"/>
              <w:keepLines w:val="0"/>
              <w:suppressLineNumbers w:val="0"/>
              <w:spacing w:before="201" w:beforeAutospacing="0" w:after="0" w:afterAutospacing="0" w:line="182" w:lineRule="auto"/>
              <w:ind w:left="324" w:right="0"/>
              <w:rPr>
                <w:rFonts w:hint="default"/>
              </w:rPr>
            </w:pPr>
            <w:r>
              <w:rPr>
                <w:rFonts w:hint="default"/>
                <w:spacing w:val="-3"/>
              </w:rPr>
              <w:t>2505</w:t>
            </w:r>
          </w:p>
        </w:tc>
        <w:tc>
          <w:tcPr>
            <w:tcW w:w="1397" w:type="dxa"/>
            <w:gridSpan w:val="2"/>
            <w:vAlign w:val="top"/>
          </w:tcPr>
          <w:p w14:paraId="4EACE127">
            <w:pPr>
              <w:pStyle w:val="22"/>
              <w:keepNext w:val="0"/>
              <w:keepLines w:val="0"/>
              <w:suppressLineNumbers w:val="0"/>
              <w:spacing w:before="201" w:beforeAutospacing="0" w:after="0" w:afterAutospacing="0" w:line="182" w:lineRule="auto"/>
              <w:ind w:left="447" w:right="0"/>
              <w:rPr>
                <w:rFonts w:hint="default"/>
              </w:rPr>
            </w:pPr>
            <w:r>
              <w:rPr>
                <w:rFonts w:hint="default"/>
                <w:spacing w:val="-2"/>
              </w:rPr>
              <w:t>500.5</w:t>
            </w:r>
          </w:p>
        </w:tc>
        <w:tc>
          <w:tcPr>
            <w:tcW w:w="818" w:type="dxa"/>
            <w:gridSpan w:val="2"/>
            <w:vAlign w:val="top"/>
          </w:tcPr>
          <w:p w14:paraId="327421BD">
            <w:pPr>
              <w:pStyle w:val="22"/>
              <w:keepNext w:val="0"/>
              <w:keepLines w:val="0"/>
              <w:suppressLineNumbers w:val="0"/>
              <w:spacing w:before="203" w:beforeAutospacing="0" w:after="0" w:afterAutospacing="0" w:line="181" w:lineRule="auto"/>
              <w:ind w:left="368" w:right="0"/>
              <w:rPr>
                <w:rFonts w:hint="default"/>
              </w:rPr>
            </w:pPr>
            <w:r>
              <w:rPr>
                <w:rFonts w:hint="default"/>
              </w:rPr>
              <w:t>5</w:t>
            </w:r>
          </w:p>
        </w:tc>
        <w:tc>
          <w:tcPr>
            <w:tcW w:w="712" w:type="dxa"/>
            <w:gridSpan w:val="2"/>
            <w:vAlign w:val="top"/>
          </w:tcPr>
          <w:p w14:paraId="6B02A547">
            <w:pPr>
              <w:pStyle w:val="22"/>
              <w:keepNext w:val="0"/>
              <w:keepLines w:val="0"/>
              <w:suppressLineNumbers w:val="0"/>
              <w:spacing w:before="31" w:beforeAutospacing="0" w:after="0" w:afterAutospacing="0" w:line="223"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37F818D7">
            <w:pPr>
              <w:pStyle w:val="22"/>
              <w:keepNext w:val="0"/>
              <w:keepLines w:val="0"/>
              <w:suppressLineNumbers w:val="0"/>
              <w:spacing w:before="204" w:beforeAutospacing="0" w:after="0" w:afterAutospacing="0" w:line="209" w:lineRule="auto"/>
              <w:ind w:left="32" w:right="0"/>
              <w:rPr>
                <w:rFonts w:hint="default"/>
              </w:rPr>
            </w:pPr>
            <w:r>
              <w:rPr>
                <w:rFonts w:hint="default"/>
                <w:spacing w:val="31"/>
              </w:rPr>
              <w:t>桶装</w:t>
            </w:r>
          </w:p>
        </w:tc>
        <w:tc>
          <w:tcPr>
            <w:tcW w:w="703" w:type="dxa"/>
            <w:gridSpan w:val="2"/>
            <w:vAlign w:val="top"/>
          </w:tcPr>
          <w:p w14:paraId="1DF9F759">
            <w:pPr>
              <w:pStyle w:val="22"/>
              <w:keepNext w:val="0"/>
              <w:keepLines w:val="0"/>
              <w:suppressLineNumbers w:val="0"/>
              <w:spacing w:before="166"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57AD1B0E">
            <w:pPr>
              <w:pStyle w:val="22"/>
              <w:keepNext w:val="0"/>
              <w:keepLines w:val="0"/>
              <w:suppressLineNumbers w:val="0"/>
              <w:spacing w:before="31"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蚀刻液2</w:t>
            </w:r>
          </w:p>
        </w:tc>
      </w:tr>
      <w:tr w14:paraId="197FF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Align w:val="top"/>
          </w:tcPr>
          <w:p w14:paraId="484AAE90">
            <w:pPr>
              <w:pStyle w:val="22"/>
              <w:keepNext w:val="0"/>
              <w:keepLines w:val="0"/>
              <w:suppressLineNumbers w:val="0"/>
              <w:spacing w:before="204" w:beforeAutospacing="0" w:after="0" w:afterAutospacing="0" w:line="182" w:lineRule="auto"/>
              <w:ind w:left="187" w:right="0"/>
              <w:rPr>
                <w:rFonts w:hint="default"/>
              </w:rPr>
            </w:pPr>
            <w:r>
              <w:rPr>
                <w:rFonts w:hint="default"/>
              </w:rPr>
              <w:t>4</w:t>
            </w:r>
          </w:p>
        </w:tc>
        <w:tc>
          <w:tcPr>
            <w:tcW w:w="1163" w:type="dxa"/>
            <w:gridSpan w:val="2"/>
            <w:vAlign w:val="top"/>
          </w:tcPr>
          <w:p w14:paraId="7FD54288">
            <w:pPr>
              <w:pStyle w:val="22"/>
              <w:keepNext w:val="0"/>
              <w:keepLines w:val="0"/>
              <w:suppressLineNumbers w:val="0"/>
              <w:spacing w:before="31" w:beforeAutospacing="0" w:after="0" w:afterAutospacing="0" w:line="223" w:lineRule="auto"/>
              <w:ind w:left="478" w:right="160" w:hanging="290"/>
              <w:rPr>
                <w:rFonts w:hint="default"/>
              </w:rPr>
            </w:pPr>
            <w:r>
              <w:rPr>
                <w:rFonts w:hint="default"/>
                <w:spacing w:val="-8"/>
              </w:rPr>
              <w:t>电子级乙</w:t>
            </w:r>
            <w:r>
              <w:rPr>
                <w:rFonts w:hint="default"/>
              </w:rPr>
              <w:t xml:space="preserve"> 酸</w:t>
            </w:r>
          </w:p>
        </w:tc>
        <w:tc>
          <w:tcPr>
            <w:tcW w:w="933" w:type="dxa"/>
            <w:vAlign w:val="top"/>
          </w:tcPr>
          <w:p w14:paraId="20B52565">
            <w:pPr>
              <w:pStyle w:val="22"/>
              <w:keepNext w:val="0"/>
              <w:keepLines w:val="0"/>
              <w:suppressLineNumbers w:val="0"/>
              <w:spacing w:before="204" w:beforeAutospacing="0" w:after="0" w:afterAutospacing="0" w:line="182" w:lineRule="auto"/>
              <w:ind w:left="264" w:right="0"/>
              <w:rPr>
                <w:rFonts w:hint="default"/>
              </w:rPr>
            </w:pPr>
            <w:r>
              <w:rPr>
                <w:rFonts w:hint="default"/>
                <w:spacing w:val="-2"/>
              </w:rPr>
              <w:t>99.7</w:t>
            </w:r>
          </w:p>
        </w:tc>
        <w:tc>
          <w:tcPr>
            <w:tcW w:w="468" w:type="dxa"/>
            <w:vAlign w:val="top"/>
          </w:tcPr>
          <w:p w14:paraId="0B7F49BA">
            <w:pPr>
              <w:pStyle w:val="22"/>
              <w:keepNext w:val="0"/>
              <w:keepLines w:val="0"/>
              <w:suppressLineNumbers w:val="0"/>
              <w:spacing w:before="169" w:beforeAutospacing="0" w:after="0" w:afterAutospacing="0" w:line="221" w:lineRule="auto"/>
              <w:ind w:left="133" w:right="0"/>
              <w:rPr>
                <w:rFonts w:hint="default"/>
              </w:rPr>
            </w:pPr>
            <w:r>
              <w:rPr>
                <w:rFonts w:hint="default"/>
              </w:rPr>
              <w:t>液</w:t>
            </w:r>
          </w:p>
        </w:tc>
        <w:tc>
          <w:tcPr>
            <w:tcW w:w="1055" w:type="dxa"/>
            <w:vAlign w:val="top"/>
          </w:tcPr>
          <w:p w14:paraId="74F0EAAE">
            <w:pPr>
              <w:pStyle w:val="22"/>
              <w:keepNext w:val="0"/>
              <w:keepLines w:val="0"/>
              <w:suppressLineNumbers w:val="0"/>
              <w:spacing w:before="203" w:beforeAutospacing="0" w:after="0" w:afterAutospacing="0" w:line="183" w:lineRule="auto"/>
              <w:ind w:left="337" w:right="0"/>
              <w:rPr>
                <w:rFonts w:hint="default"/>
              </w:rPr>
            </w:pPr>
            <w:r>
              <w:rPr>
                <w:rFonts w:hint="default"/>
                <w:spacing w:val="-5"/>
              </w:rPr>
              <w:t>1792</w:t>
            </w:r>
          </w:p>
        </w:tc>
        <w:tc>
          <w:tcPr>
            <w:tcW w:w="1397" w:type="dxa"/>
            <w:gridSpan w:val="2"/>
            <w:vAlign w:val="top"/>
          </w:tcPr>
          <w:p w14:paraId="0FB2F2D4">
            <w:pPr>
              <w:pStyle w:val="22"/>
              <w:keepNext w:val="0"/>
              <w:keepLines w:val="0"/>
              <w:suppressLineNumbers w:val="0"/>
              <w:spacing w:before="203" w:beforeAutospacing="0" w:after="0" w:afterAutospacing="0" w:line="183" w:lineRule="auto"/>
              <w:ind w:left="458" w:right="0"/>
              <w:rPr>
                <w:rFonts w:hint="default"/>
              </w:rPr>
            </w:pPr>
            <w:r>
              <w:rPr>
                <w:rFonts w:hint="default"/>
                <w:spacing w:val="-4"/>
              </w:rPr>
              <w:t>125.5</w:t>
            </w:r>
          </w:p>
        </w:tc>
        <w:tc>
          <w:tcPr>
            <w:tcW w:w="818" w:type="dxa"/>
            <w:gridSpan w:val="2"/>
            <w:vAlign w:val="top"/>
          </w:tcPr>
          <w:p w14:paraId="0BFFCC11">
            <w:pPr>
              <w:pStyle w:val="22"/>
              <w:keepNext w:val="0"/>
              <w:keepLines w:val="0"/>
              <w:suppressLineNumbers w:val="0"/>
              <w:spacing w:before="204" w:beforeAutospacing="0" w:after="0" w:afterAutospacing="0" w:line="182" w:lineRule="auto"/>
              <w:ind w:left="368" w:right="0"/>
              <w:rPr>
                <w:rFonts w:hint="default"/>
              </w:rPr>
            </w:pPr>
            <w:r>
              <w:rPr>
                <w:rFonts w:hint="default"/>
              </w:rPr>
              <w:t>3</w:t>
            </w:r>
          </w:p>
        </w:tc>
        <w:tc>
          <w:tcPr>
            <w:tcW w:w="712" w:type="dxa"/>
            <w:gridSpan w:val="2"/>
            <w:vAlign w:val="top"/>
          </w:tcPr>
          <w:p w14:paraId="3B138B6C">
            <w:pPr>
              <w:pStyle w:val="22"/>
              <w:keepNext w:val="0"/>
              <w:keepLines w:val="0"/>
              <w:suppressLineNumbers w:val="0"/>
              <w:spacing w:before="31" w:beforeAutospacing="0" w:after="0" w:afterAutospacing="0" w:line="223" w:lineRule="auto"/>
              <w:ind w:left="259" w:right="139" w:hanging="102"/>
              <w:rPr>
                <w:rFonts w:hint="default"/>
              </w:rPr>
            </w:pPr>
            <w:r>
              <w:rPr>
                <w:rFonts w:hint="default"/>
                <w:spacing w:val="-4"/>
              </w:rPr>
              <w:t>3#仓</w:t>
            </w:r>
            <w:r>
              <w:rPr>
                <w:rFonts w:hint="default"/>
              </w:rPr>
              <w:t xml:space="preserve"> 库</w:t>
            </w:r>
          </w:p>
        </w:tc>
        <w:tc>
          <w:tcPr>
            <w:tcW w:w="629" w:type="dxa"/>
            <w:gridSpan w:val="2"/>
            <w:textDirection w:val="tbRlV"/>
            <w:vAlign w:val="top"/>
          </w:tcPr>
          <w:p w14:paraId="517D6DC7">
            <w:pPr>
              <w:pStyle w:val="22"/>
              <w:keepNext w:val="0"/>
              <w:keepLines w:val="0"/>
              <w:suppressLineNumbers w:val="0"/>
              <w:spacing w:before="204" w:beforeAutospacing="0" w:after="0" w:afterAutospacing="0" w:line="209" w:lineRule="auto"/>
              <w:ind w:left="32" w:right="0"/>
              <w:rPr>
                <w:rFonts w:hint="default"/>
              </w:rPr>
            </w:pPr>
            <w:r>
              <w:rPr>
                <w:rFonts w:hint="default"/>
                <w:spacing w:val="31"/>
              </w:rPr>
              <w:t>桶装</w:t>
            </w:r>
          </w:p>
        </w:tc>
        <w:tc>
          <w:tcPr>
            <w:tcW w:w="703" w:type="dxa"/>
            <w:gridSpan w:val="2"/>
            <w:vAlign w:val="top"/>
          </w:tcPr>
          <w:p w14:paraId="75E0D7B8">
            <w:pPr>
              <w:pStyle w:val="22"/>
              <w:keepNext w:val="0"/>
              <w:keepLines w:val="0"/>
              <w:suppressLineNumbers w:val="0"/>
              <w:spacing w:before="169"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57F415FE">
            <w:pPr>
              <w:pStyle w:val="22"/>
              <w:keepNext w:val="0"/>
              <w:keepLines w:val="0"/>
              <w:suppressLineNumbers w:val="0"/>
              <w:spacing w:before="31"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蚀刻液3</w:t>
            </w:r>
          </w:p>
        </w:tc>
      </w:tr>
      <w:tr w14:paraId="41380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71" w:type="dxa"/>
            <w:gridSpan w:val="2"/>
            <w:vAlign w:val="top"/>
          </w:tcPr>
          <w:p w14:paraId="76371AB4">
            <w:pPr>
              <w:keepNext w:val="0"/>
              <w:keepLines w:val="0"/>
              <w:suppressLineNumbers w:val="0"/>
              <w:spacing w:before="0" w:beforeAutospacing="0" w:after="0" w:afterAutospacing="0" w:line="270" w:lineRule="auto"/>
              <w:ind w:left="0" w:right="0"/>
              <w:rPr>
                <w:rFonts w:hint="default" w:ascii="Arial"/>
                <w:sz w:val="21"/>
              </w:rPr>
            </w:pPr>
          </w:p>
          <w:p w14:paraId="26F010BD">
            <w:pPr>
              <w:pStyle w:val="22"/>
              <w:keepNext w:val="0"/>
              <w:keepLines w:val="0"/>
              <w:suppressLineNumbers w:val="0"/>
              <w:spacing w:before="69" w:beforeAutospacing="0" w:after="0" w:afterAutospacing="0" w:line="181" w:lineRule="auto"/>
              <w:ind w:left="192" w:right="0"/>
              <w:rPr>
                <w:rFonts w:hint="default"/>
              </w:rPr>
            </w:pPr>
            <w:r>
              <w:rPr>
                <w:rFonts w:hint="default"/>
              </w:rPr>
              <w:t>5</w:t>
            </w:r>
          </w:p>
        </w:tc>
        <w:tc>
          <w:tcPr>
            <w:tcW w:w="1163" w:type="dxa"/>
            <w:gridSpan w:val="2"/>
            <w:vAlign w:val="top"/>
          </w:tcPr>
          <w:p w14:paraId="1AF6DCC1">
            <w:pPr>
              <w:pStyle w:val="22"/>
              <w:keepNext w:val="0"/>
              <w:keepLines w:val="0"/>
              <w:suppressLineNumbers w:val="0"/>
              <w:spacing w:before="170" w:beforeAutospacing="0" w:after="0" w:afterAutospacing="0" w:line="229" w:lineRule="auto"/>
              <w:ind w:left="375" w:right="160" w:hanging="187"/>
              <w:rPr>
                <w:rFonts w:hint="default"/>
              </w:rPr>
            </w:pPr>
            <w:r>
              <w:rPr>
                <w:rFonts w:hint="default"/>
                <w:spacing w:val="-8"/>
              </w:rPr>
              <w:t>电子级双</w:t>
            </w:r>
            <w:r>
              <w:rPr>
                <w:rFonts w:hint="default"/>
              </w:rPr>
              <w:t xml:space="preserve"> </w:t>
            </w:r>
            <w:r>
              <w:rPr>
                <w:rFonts w:hint="default"/>
                <w:spacing w:val="-2"/>
              </w:rPr>
              <w:t>氧水</w:t>
            </w:r>
          </w:p>
        </w:tc>
        <w:tc>
          <w:tcPr>
            <w:tcW w:w="933" w:type="dxa"/>
            <w:vAlign w:val="top"/>
          </w:tcPr>
          <w:p w14:paraId="5B59AA46">
            <w:pPr>
              <w:keepNext w:val="0"/>
              <w:keepLines w:val="0"/>
              <w:suppressLineNumbers w:val="0"/>
              <w:spacing w:before="0" w:beforeAutospacing="0" w:after="0" w:afterAutospacing="0" w:line="268" w:lineRule="auto"/>
              <w:ind w:left="0" w:right="0"/>
              <w:rPr>
                <w:rFonts w:hint="default" w:ascii="Arial"/>
                <w:sz w:val="21"/>
              </w:rPr>
            </w:pPr>
          </w:p>
          <w:p w14:paraId="253B3280">
            <w:pPr>
              <w:pStyle w:val="22"/>
              <w:keepNext w:val="0"/>
              <w:keepLines w:val="0"/>
              <w:suppressLineNumbers w:val="0"/>
              <w:spacing w:before="68" w:beforeAutospacing="0" w:after="0" w:afterAutospacing="0" w:line="183" w:lineRule="auto"/>
              <w:ind w:left="370" w:right="0"/>
              <w:rPr>
                <w:rFonts w:hint="default"/>
              </w:rPr>
            </w:pPr>
            <w:r>
              <w:rPr>
                <w:rFonts w:hint="default"/>
                <w:spacing w:val="-3"/>
              </w:rPr>
              <w:t>31</w:t>
            </w:r>
          </w:p>
        </w:tc>
        <w:tc>
          <w:tcPr>
            <w:tcW w:w="468" w:type="dxa"/>
            <w:vAlign w:val="top"/>
          </w:tcPr>
          <w:p w14:paraId="46985090">
            <w:pPr>
              <w:pStyle w:val="22"/>
              <w:keepNext w:val="0"/>
              <w:keepLines w:val="0"/>
              <w:suppressLineNumbers w:val="0"/>
              <w:spacing w:before="304" w:beforeAutospacing="0" w:after="0" w:afterAutospacing="0" w:line="221" w:lineRule="auto"/>
              <w:ind w:left="133" w:right="0"/>
              <w:rPr>
                <w:rFonts w:hint="default"/>
              </w:rPr>
            </w:pPr>
            <w:r>
              <w:rPr>
                <w:rFonts w:hint="default"/>
              </w:rPr>
              <w:t>液</w:t>
            </w:r>
          </w:p>
        </w:tc>
        <w:tc>
          <w:tcPr>
            <w:tcW w:w="1055" w:type="dxa"/>
            <w:vAlign w:val="top"/>
          </w:tcPr>
          <w:p w14:paraId="0EBB955C">
            <w:pPr>
              <w:keepNext w:val="0"/>
              <w:keepLines w:val="0"/>
              <w:suppressLineNumbers w:val="0"/>
              <w:spacing w:before="0" w:beforeAutospacing="0" w:after="0" w:afterAutospacing="0" w:line="268" w:lineRule="auto"/>
              <w:ind w:left="0" w:right="0"/>
              <w:rPr>
                <w:rFonts w:hint="default" w:ascii="Arial"/>
                <w:sz w:val="21"/>
              </w:rPr>
            </w:pPr>
          </w:p>
          <w:p w14:paraId="3D4BD438">
            <w:pPr>
              <w:pStyle w:val="22"/>
              <w:keepNext w:val="0"/>
              <w:keepLines w:val="0"/>
              <w:suppressLineNumbers w:val="0"/>
              <w:spacing w:before="68" w:beforeAutospacing="0" w:after="0" w:afterAutospacing="0" w:line="183" w:lineRule="auto"/>
              <w:ind w:left="324" w:right="0"/>
              <w:rPr>
                <w:rFonts w:hint="default"/>
              </w:rPr>
            </w:pPr>
            <w:r>
              <w:rPr>
                <w:rFonts w:hint="default"/>
                <w:spacing w:val="-2"/>
              </w:rPr>
              <w:t>2014</w:t>
            </w:r>
          </w:p>
        </w:tc>
        <w:tc>
          <w:tcPr>
            <w:tcW w:w="1397" w:type="dxa"/>
            <w:gridSpan w:val="2"/>
            <w:vAlign w:val="top"/>
          </w:tcPr>
          <w:p w14:paraId="7384CFFF">
            <w:pPr>
              <w:keepNext w:val="0"/>
              <w:keepLines w:val="0"/>
              <w:suppressLineNumbers w:val="0"/>
              <w:spacing w:before="0" w:beforeAutospacing="0" w:after="0" w:afterAutospacing="0" w:line="269" w:lineRule="auto"/>
              <w:ind w:left="0" w:right="0"/>
              <w:rPr>
                <w:rFonts w:hint="default" w:ascii="Arial"/>
                <w:sz w:val="21"/>
              </w:rPr>
            </w:pPr>
          </w:p>
          <w:p w14:paraId="6BD7E7BC">
            <w:pPr>
              <w:pStyle w:val="22"/>
              <w:keepNext w:val="0"/>
              <w:keepLines w:val="0"/>
              <w:suppressLineNumbers w:val="0"/>
              <w:spacing w:before="68" w:beforeAutospacing="0" w:after="0" w:afterAutospacing="0" w:line="182" w:lineRule="auto"/>
              <w:ind w:left="442" w:right="0"/>
              <w:rPr>
                <w:rFonts w:hint="default"/>
              </w:rPr>
            </w:pPr>
            <w:r>
              <w:rPr>
                <w:rFonts w:hint="default"/>
                <w:spacing w:val="-1"/>
              </w:rPr>
              <w:t>425.5</w:t>
            </w:r>
          </w:p>
        </w:tc>
        <w:tc>
          <w:tcPr>
            <w:tcW w:w="818" w:type="dxa"/>
            <w:gridSpan w:val="2"/>
            <w:vAlign w:val="top"/>
          </w:tcPr>
          <w:p w14:paraId="3C758D42">
            <w:pPr>
              <w:keepNext w:val="0"/>
              <w:keepLines w:val="0"/>
              <w:suppressLineNumbers w:val="0"/>
              <w:spacing w:before="0" w:beforeAutospacing="0" w:after="0" w:afterAutospacing="0" w:line="268" w:lineRule="auto"/>
              <w:ind w:left="0" w:right="0"/>
              <w:rPr>
                <w:rFonts w:hint="default" w:ascii="Arial"/>
                <w:sz w:val="21"/>
              </w:rPr>
            </w:pPr>
          </w:p>
          <w:p w14:paraId="494A3686">
            <w:pPr>
              <w:pStyle w:val="22"/>
              <w:keepNext w:val="0"/>
              <w:keepLines w:val="0"/>
              <w:suppressLineNumbers w:val="0"/>
              <w:spacing w:before="68" w:beforeAutospacing="0" w:after="0" w:afterAutospacing="0" w:line="183" w:lineRule="auto"/>
              <w:ind w:left="276" w:right="0"/>
              <w:rPr>
                <w:rFonts w:hint="default"/>
              </w:rPr>
            </w:pPr>
            <w:r>
              <w:rPr>
                <w:rFonts w:hint="default"/>
                <w:spacing w:val="-5"/>
              </w:rPr>
              <w:t>110</w:t>
            </w:r>
          </w:p>
        </w:tc>
        <w:tc>
          <w:tcPr>
            <w:tcW w:w="712" w:type="dxa"/>
            <w:gridSpan w:val="2"/>
            <w:vAlign w:val="top"/>
          </w:tcPr>
          <w:p w14:paraId="1ED130B6">
            <w:pPr>
              <w:pStyle w:val="22"/>
              <w:keepNext w:val="0"/>
              <w:keepLines w:val="0"/>
              <w:suppressLineNumbers w:val="0"/>
              <w:spacing w:before="170" w:beforeAutospacing="0" w:after="0" w:afterAutospacing="0" w:line="229" w:lineRule="auto"/>
              <w:ind w:left="258" w:right="139" w:hanging="90"/>
              <w:rPr>
                <w:rFonts w:hint="default"/>
              </w:rPr>
            </w:pPr>
            <w:r>
              <w:rPr>
                <w:rFonts w:hint="default"/>
                <w:spacing w:val="-8"/>
              </w:rPr>
              <w:t>1#仓</w:t>
            </w:r>
            <w:r>
              <w:rPr>
                <w:rFonts w:hint="default"/>
                <w:spacing w:val="1"/>
              </w:rPr>
              <w:t xml:space="preserve"> </w:t>
            </w:r>
            <w:r>
              <w:rPr>
                <w:rFonts w:hint="default"/>
              </w:rPr>
              <w:t>库</w:t>
            </w:r>
          </w:p>
        </w:tc>
        <w:tc>
          <w:tcPr>
            <w:tcW w:w="629" w:type="dxa"/>
            <w:gridSpan w:val="2"/>
            <w:textDirection w:val="tbRlV"/>
            <w:vAlign w:val="top"/>
          </w:tcPr>
          <w:p w14:paraId="19898007">
            <w:pPr>
              <w:pStyle w:val="22"/>
              <w:keepNext w:val="0"/>
              <w:keepLines w:val="0"/>
              <w:suppressLineNumbers w:val="0"/>
              <w:spacing w:before="204" w:beforeAutospacing="0" w:after="0" w:afterAutospacing="0" w:line="209" w:lineRule="auto"/>
              <w:ind w:left="169" w:right="0"/>
              <w:rPr>
                <w:rFonts w:hint="default"/>
              </w:rPr>
            </w:pPr>
            <w:r>
              <w:rPr>
                <w:rFonts w:hint="default"/>
                <w:spacing w:val="31"/>
              </w:rPr>
              <w:t>桶装</w:t>
            </w:r>
          </w:p>
        </w:tc>
        <w:tc>
          <w:tcPr>
            <w:tcW w:w="703" w:type="dxa"/>
            <w:gridSpan w:val="2"/>
            <w:vAlign w:val="top"/>
          </w:tcPr>
          <w:p w14:paraId="3A735148">
            <w:pPr>
              <w:pStyle w:val="22"/>
              <w:keepNext w:val="0"/>
              <w:keepLines w:val="0"/>
              <w:suppressLineNumbers w:val="0"/>
              <w:spacing w:before="304"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378A0CA3">
            <w:pPr>
              <w:pStyle w:val="22"/>
              <w:keepNext w:val="0"/>
              <w:keepLines w:val="0"/>
              <w:suppressLineNumbers w:val="0"/>
              <w:spacing w:before="32" w:beforeAutospacing="0" w:after="0" w:afterAutospacing="0" w:line="220" w:lineRule="auto"/>
              <w:ind w:left="254" w:right="0"/>
              <w:rPr>
                <w:rFonts w:hint="default"/>
              </w:rPr>
            </w:pPr>
            <w:r>
              <w:rPr>
                <w:rFonts w:hint="default"/>
                <w:spacing w:val="-20"/>
              </w:rPr>
              <w:t>自供，</w:t>
            </w:r>
          </w:p>
          <w:p w14:paraId="1D38A455">
            <w:pPr>
              <w:pStyle w:val="22"/>
              <w:keepNext w:val="0"/>
              <w:keepLines w:val="0"/>
              <w:suppressLineNumbers w:val="0"/>
              <w:spacing w:before="21"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蚀刻液3</w:t>
            </w:r>
          </w:p>
        </w:tc>
      </w:tr>
      <w:tr w14:paraId="3BFDB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71" w:type="dxa"/>
            <w:gridSpan w:val="2"/>
            <w:vAlign w:val="top"/>
          </w:tcPr>
          <w:p w14:paraId="7E9A46ED">
            <w:pPr>
              <w:pStyle w:val="22"/>
              <w:keepNext w:val="0"/>
              <w:keepLines w:val="0"/>
              <w:suppressLineNumbers w:val="0"/>
              <w:spacing w:before="205" w:beforeAutospacing="0" w:after="0" w:afterAutospacing="0" w:line="182" w:lineRule="auto"/>
              <w:ind w:left="189" w:right="0"/>
              <w:rPr>
                <w:rFonts w:hint="default"/>
              </w:rPr>
            </w:pPr>
            <w:r>
              <w:rPr>
                <w:rFonts w:hint="default"/>
              </w:rPr>
              <w:t>6</w:t>
            </w:r>
          </w:p>
        </w:tc>
        <w:tc>
          <w:tcPr>
            <w:tcW w:w="1163" w:type="dxa"/>
            <w:gridSpan w:val="2"/>
            <w:vAlign w:val="top"/>
          </w:tcPr>
          <w:p w14:paraId="1C16A3A1">
            <w:pPr>
              <w:pStyle w:val="22"/>
              <w:keepNext w:val="0"/>
              <w:keepLines w:val="0"/>
              <w:suppressLineNumbers w:val="0"/>
              <w:spacing w:before="36" w:beforeAutospacing="0" w:after="0" w:afterAutospacing="0" w:line="222" w:lineRule="auto"/>
              <w:ind w:left="478" w:right="160" w:hanging="290"/>
              <w:rPr>
                <w:rFonts w:hint="default"/>
              </w:rPr>
            </w:pPr>
            <w:r>
              <w:rPr>
                <w:rFonts w:hint="default"/>
                <w:spacing w:val="-8"/>
              </w:rPr>
              <w:t>电子级硫</w:t>
            </w:r>
            <w:r>
              <w:rPr>
                <w:rFonts w:hint="default"/>
              </w:rPr>
              <w:t xml:space="preserve"> 酸</w:t>
            </w:r>
          </w:p>
        </w:tc>
        <w:tc>
          <w:tcPr>
            <w:tcW w:w="933" w:type="dxa"/>
            <w:vAlign w:val="top"/>
          </w:tcPr>
          <w:p w14:paraId="0504C243">
            <w:pPr>
              <w:pStyle w:val="22"/>
              <w:keepNext w:val="0"/>
              <w:keepLines w:val="0"/>
              <w:suppressLineNumbers w:val="0"/>
              <w:spacing w:before="205" w:beforeAutospacing="0" w:after="0" w:afterAutospacing="0" w:line="182" w:lineRule="auto"/>
              <w:ind w:left="367" w:right="0"/>
              <w:rPr>
                <w:rFonts w:hint="default"/>
              </w:rPr>
            </w:pPr>
            <w:r>
              <w:rPr>
                <w:rFonts w:hint="default"/>
                <w:spacing w:val="-2"/>
              </w:rPr>
              <w:t>98</w:t>
            </w:r>
          </w:p>
        </w:tc>
        <w:tc>
          <w:tcPr>
            <w:tcW w:w="468" w:type="dxa"/>
            <w:vAlign w:val="top"/>
          </w:tcPr>
          <w:p w14:paraId="1CC98DA8">
            <w:pPr>
              <w:pStyle w:val="22"/>
              <w:keepNext w:val="0"/>
              <w:keepLines w:val="0"/>
              <w:suppressLineNumbers w:val="0"/>
              <w:spacing w:before="170" w:beforeAutospacing="0" w:after="0" w:afterAutospacing="0" w:line="221" w:lineRule="auto"/>
              <w:ind w:left="133" w:right="0"/>
              <w:rPr>
                <w:rFonts w:hint="default"/>
              </w:rPr>
            </w:pPr>
            <w:r>
              <w:rPr>
                <w:rFonts w:hint="default"/>
              </w:rPr>
              <w:t>液</w:t>
            </w:r>
          </w:p>
        </w:tc>
        <w:tc>
          <w:tcPr>
            <w:tcW w:w="1055" w:type="dxa"/>
            <w:vAlign w:val="top"/>
          </w:tcPr>
          <w:p w14:paraId="1618C6A5">
            <w:pPr>
              <w:pStyle w:val="22"/>
              <w:keepNext w:val="0"/>
              <w:keepLines w:val="0"/>
              <w:suppressLineNumbers w:val="0"/>
              <w:spacing w:before="204" w:beforeAutospacing="0" w:after="0" w:afterAutospacing="0" w:line="183" w:lineRule="auto"/>
              <w:ind w:left="337" w:right="0"/>
              <w:rPr>
                <w:rFonts w:hint="default"/>
              </w:rPr>
            </w:pPr>
            <w:r>
              <w:rPr>
                <w:rFonts w:hint="default"/>
                <w:spacing w:val="-5"/>
              </w:rPr>
              <w:t>1830</w:t>
            </w:r>
          </w:p>
        </w:tc>
        <w:tc>
          <w:tcPr>
            <w:tcW w:w="1397" w:type="dxa"/>
            <w:gridSpan w:val="2"/>
            <w:vAlign w:val="top"/>
          </w:tcPr>
          <w:p w14:paraId="2ED1D4C0">
            <w:pPr>
              <w:pStyle w:val="22"/>
              <w:keepNext w:val="0"/>
              <w:keepLines w:val="0"/>
              <w:suppressLineNumbers w:val="0"/>
              <w:spacing w:before="205" w:beforeAutospacing="0" w:after="0" w:afterAutospacing="0" w:line="182" w:lineRule="auto"/>
              <w:ind w:left="442" w:right="0"/>
              <w:rPr>
                <w:rFonts w:hint="default"/>
              </w:rPr>
            </w:pPr>
            <w:r>
              <w:rPr>
                <w:rFonts w:hint="default"/>
                <w:spacing w:val="-1"/>
              </w:rPr>
              <w:t>450.5</w:t>
            </w:r>
          </w:p>
        </w:tc>
        <w:tc>
          <w:tcPr>
            <w:tcW w:w="818" w:type="dxa"/>
            <w:gridSpan w:val="2"/>
            <w:vAlign w:val="top"/>
          </w:tcPr>
          <w:p w14:paraId="62366D2D">
            <w:pPr>
              <w:pStyle w:val="22"/>
              <w:keepNext w:val="0"/>
              <w:keepLines w:val="0"/>
              <w:suppressLineNumbers w:val="0"/>
              <w:spacing w:before="206" w:beforeAutospacing="0" w:after="0" w:afterAutospacing="0" w:line="181" w:lineRule="auto"/>
              <w:ind w:left="368" w:right="0"/>
              <w:rPr>
                <w:rFonts w:hint="default"/>
              </w:rPr>
            </w:pPr>
            <w:r>
              <w:rPr>
                <w:rFonts w:hint="default"/>
              </w:rPr>
              <w:t>5</w:t>
            </w:r>
          </w:p>
        </w:tc>
        <w:tc>
          <w:tcPr>
            <w:tcW w:w="712" w:type="dxa"/>
            <w:gridSpan w:val="2"/>
            <w:vAlign w:val="top"/>
          </w:tcPr>
          <w:p w14:paraId="7BB83C70">
            <w:pPr>
              <w:pStyle w:val="22"/>
              <w:keepNext w:val="0"/>
              <w:keepLines w:val="0"/>
              <w:suppressLineNumbers w:val="0"/>
              <w:spacing w:before="36" w:beforeAutospacing="0" w:after="0" w:afterAutospacing="0" w:line="222"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2533CB1A">
            <w:pPr>
              <w:pStyle w:val="22"/>
              <w:keepNext w:val="0"/>
              <w:keepLines w:val="0"/>
              <w:suppressLineNumbers w:val="0"/>
              <w:spacing w:before="204" w:beforeAutospacing="0" w:after="0" w:afterAutospacing="0" w:line="209" w:lineRule="auto"/>
              <w:ind w:left="35" w:right="0"/>
              <w:rPr>
                <w:rFonts w:hint="default"/>
              </w:rPr>
            </w:pPr>
            <w:r>
              <w:rPr>
                <w:rFonts w:hint="default"/>
                <w:spacing w:val="31"/>
              </w:rPr>
              <w:t>桶装</w:t>
            </w:r>
          </w:p>
        </w:tc>
        <w:tc>
          <w:tcPr>
            <w:tcW w:w="703" w:type="dxa"/>
            <w:gridSpan w:val="2"/>
            <w:vAlign w:val="top"/>
          </w:tcPr>
          <w:p w14:paraId="286AB368">
            <w:pPr>
              <w:pStyle w:val="22"/>
              <w:keepNext w:val="0"/>
              <w:keepLines w:val="0"/>
              <w:suppressLineNumbers w:val="0"/>
              <w:spacing w:before="170"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675601AD">
            <w:pPr>
              <w:pStyle w:val="22"/>
              <w:keepNext w:val="0"/>
              <w:keepLines w:val="0"/>
              <w:suppressLineNumbers w:val="0"/>
              <w:spacing w:before="36"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蚀刻液4</w:t>
            </w:r>
          </w:p>
        </w:tc>
      </w:tr>
      <w:tr w14:paraId="482F3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71" w:type="dxa"/>
            <w:gridSpan w:val="2"/>
            <w:vMerge w:val="restart"/>
            <w:tcBorders>
              <w:bottom w:val="nil"/>
            </w:tcBorders>
            <w:vAlign w:val="top"/>
          </w:tcPr>
          <w:p w14:paraId="7158119C">
            <w:pPr>
              <w:keepNext w:val="0"/>
              <w:keepLines w:val="0"/>
              <w:suppressLineNumbers w:val="0"/>
              <w:spacing w:before="0" w:beforeAutospacing="0" w:after="0" w:afterAutospacing="0"/>
              <w:ind w:left="0" w:right="0"/>
              <w:rPr>
                <w:rFonts w:hint="default" w:ascii="Arial"/>
                <w:sz w:val="21"/>
              </w:rPr>
            </w:pPr>
          </w:p>
          <w:p w14:paraId="17A96FCC">
            <w:pPr>
              <w:keepNext w:val="0"/>
              <w:keepLines w:val="0"/>
              <w:suppressLineNumbers w:val="0"/>
              <w:spacing w:before="0" w:beforeAutospacing="0" w:after="0" w:afterAutospacing="0" w:line="241" w:lineRule="auto"/>
              <w:ind w:left="0" w:right="0"/>
              <w:rPr>
                <w:rFonts w:hint="default" w:ascii="Arial"/>
                <w:sz w:val="21"/>
              </w:rPr>
            </w:pPr>
          </w:p>
          <w:p w14:paraId="473333A1">
            <w:pPr>
              <w:keepNext w:val="0"/>
              <w:keepLines w:val="0"/>
              <w:suppressLineNumbers w:val="0"/>
              <w:spacing w:before="0" w:beforeAutospacing="0" w:after="0" w:afterAutospacing="0" w:line="241" w:lineRule="auto"/>
              <w:ind w:left="0" w:right="0"/>
              <w:rPr>
                <w:rFonts w:hint="default" w:ascii="Arial"/>
                <w:sz w:val="21"/>
              </w:rPr>
            </w:pPr>
          </w:p>
          <w:p w14:paraId="40F112F5">
            <w:pPr>
              <w:keepNext w:val="0"/>
              <w:keepLines w:val="0"/>
              <w:suppressLineNumbers w:val="0"/>
              <w:spacing w:before="0" w:beforeAutospacing="0" w:after="0" w:afterAutospacing="0" w:line="241" w:lineRule="auto"/>
              <w:ind w:left="0" w:right="0"/>
              <w:rPr>
                <w:rFonts w:hint="default" w:ascii="Arial"/>
                <w:sz w:val="21"/>
              </w:rPr>
            </w:pPr>
          </w:p>
          <w:p w14:paraId="362CB861">
            <w:pPr>
              <w:pStyle w:val="22"/>
              <w:keepNext w:val="0"/>
              <w:keepLines w:val="0"/>
              <w:suppressLineNumbers w:val="0"/>
              <w:spacing w:before="68" w:beforeAutospacing="0" w:after="0" w:afterAutospacing="0" w:line="181" w:lineRule="auto"/>
              <w:ind w:left="193" w:right="0"/>
              <w:rPr>
                <w:rFonts w:hint="default"/>
              </w:rPr>
            </w:pPr>
            <w:r>
              <w:rPr>
                <w:rFonts w:hint="default"/>
              </w:rPr>
              <w:t>7</w:t>
            </w:r>
          </w:p>
        </w:tc>
        <w:tc>
          <w:tcPr>
            <w:tcW w:w="1163" w:type="dxa"/>
            <w:gridSpan w:val="2"/>
            <w:vMerge w:val="restart"/>
            <w:tcBorders>
              <w:bottom w:val="nil"/>
            </w:tcBorders>
            <w:vAlign w:val="top"/>
          </w:tcPr>
          <w:p w14:paraId="10ECD9DE">
            <w:pPr>
              <w:keepNext w:val="0"/>
              <w:keepLines w:val="0"/>
              <w:suppressLineNumbers w:val="0"/>
              <w:spacing w:before="0" w:beforeAutospacing="0" w:after="0" w:afterAutospacing="0" w:line="308" w:lineRule="auto"/>
              <w:ind w:left="0" w:right="0"/>
              <w:rPr>
                <w:rFonts w:hint="default" w:ascii="Arial"/>
                <w:sz w:val="21"/>
              </w:rPr>
            </w:pPr>
          </w:p>
          <w:p w14:paraId="786070AA">
            <w:pPr>
              <w:keepNext w:val="0"/>
              <w:keepLines w:val="0"/>
              <w:suppressLineNumbers w:val="0"/>
              <w:spacing w:before="0" w:beforeAutospacing="0" w:after="0" w:afterAutospacing="0" w:line="309" w:lineRule="auto"/>
              <w:ind w:left="0" w:right="0"/>
              <w:rPr>
                <w:rFonts w:hint="default" w:ascii="Arial"/>
                <w:sz w:val="21"/>
              </w:rPr>
            </w:pPr>
          </w:p>
          <w:p w14:paraId="4BAF7FCA">
            <w:pPr>
              <w:keepNext w:val="0"/>
              <w:keepLines w:val="0"/>
              <w:suppressLineNumbers w:val="0"/>
              <w:spacing w:before="0" w:beforeAutospacing="0" w:after="0" w:afterAutospacing="0" w:line="309" w:lineRule="auto"/>
              <w:ind w:left="0" w:right="0"/>
              <w:rPr>
                <w:rFonts w:hint="default" w:ascii="Arial"/>
                <w:sz w:val="21"/>
              </w:rPr>
            </w:pPr>
          </w:p>
          <w:p w14:paraId="58BA9E86">
            <w:pPr>
              <w:pStyle w:val="22"/>
              <w:keepNext w:val="0"/>
              <w:keepLines w:val="0"/>
              <w:suppressLineNumbers w:val="0"/>
              <w:spacing w:before="68" w:beforeAutospacing="0" w:after="0" w:afterAutospacing="0" w:line="221" w:lineRule="auto"/>
              <w:ind w:left="268" w:right="0"/>
              <w:rPr>
                <w:rFonts w:hint="default"/>
              </w:rPr>
            </w:pPr>
            <w:r>
              <w:rPr>
                <w:rFonts w:hint="default"/>
                <w:spacing w:val="-1"/>
              </w:rPr>
              <w:t>超纯水</w:t>
            </w:r>
          </w:p>
        </w:tc>
        <w:tc>
          <w:tcPr>
            <w:tcW w:w="933" w:type="dxa"/>
            <w:vMerge w:val="restart"/>
            <w:tcBorders>
              <w:bottom w:val="nil"/>
            </w:tcBorders>
            <w:vAlign w:val="top"/>
          </w:tcPr>
          <w:p w14:paraId="5874C361">
            <w:pPr>
              <w:keepNext w:val="0"/>
              <w:keepLines w:val="0"/>
              <w:suppressLineNumbers w:val="0"/>
              <w:spacing w:before="0" w:beforeAutospacing="0" w:after="0" w:afterAutospacing="0" w:line="256" w:lineRule="auto"/>
              <w:ind w:left="0" w:right="0"/>
              <w:rPr>
                <w:rFonts w:hint="default" w:ascii="Arial"/>
                <w:sz w:val="21"/>
              </w:rPr>
            </w:pPr>
          </w:p>
          <w:p w14:paraId="5BA30A86">
            <w:pPr>
              <w:keepNext w:val="0"/>
              <w:keepLines w:val="0"/>
              <w:suppressLineNumbers w:val="0"/>
              <w:spacing w:before="0" w:beforeAutospacing="0" w:after="0" w:afterAutospacing="0" w:line="256" w:lineRule="auto"/>
              <w:ind w:left="0" w:right="0"/>
              <w:rPr>
                <w:rFonts w:hint="default" w:ascii="Arial"/>
                <w:sz w:val="21"/>
              </w:rPr>
            </w:pPr>
          </w:p>
          <w:p w14:paraId="54B23591">
            <w:pPr>
              <w:keepNext w:val="0"/>
              <w:keepLines w:val="0"/>
              <w:suppressLineNumbers w:val="0"/>
              <w:spacing w:before="0" w:beforeAutospacing="0" w:after="0" w:afterAutospacing="0" w:line="256" w:lineRule="auto"/>
              <w:ind w:left="0" w:right="0"/>
              <w:rPr>
                <w:rFonts w:hint="default" w:ascii="Arial"/>
                <w:sz w:val="21"/>
              </w:rPr>
            </w:pPr>
          </w:p>
          <w:p w14:paraId="5B0B5506">
            <w:pPr>
              <w:keepNext w:val="0"/>
              <w:keepLines w:val="0"/>
              <w:suppressLineNumbers w:val="0"/>
              <w:spacing w:before="0" w:beforeAutospacing="0" w:after="0" w:afterAutospacing="0" w:line="257" w:lineRule="auto"/>
              <w:ind w:left="0" w:right="0"/>
              <w:rPr>
                <w:rFonts w:hint="default" w:ascii="Arial"/>
                <w:sz w:val="21"/>
              </w:rPr>
            </w:pPr>
          </w:p>
          <w:p w14:paraId="71F13F64">
            <w:pPr>
              <w:pStyle w:val="22"/>
              <w:keepNext w:val="0"/>
              <w:keepLines w:val="0"/>
              <w:suppressLineNumbers w:val="0"/>
              <w:spacing w:before="69" w:beforeAutospacing="0" w:after="0" w:afterAutospacing="0" w:line="142" w:lineRule="exact"/>
              <w:ind w:left="364" w:right="0"/>
              <w:rPr>
                <w:rFonts w:hint="default"/>
              </w:rPr>
            </w:pPr>
            <w:r>
              <w:rPr>
                <w:rFonts w:hint="default"/>
                <w:position w:val="-3"/>
              </w:rPr>
              <w:t>—</w:t>
            </w:r>
          </w:p>
        </w:tc>
        <w:tc>
          <w:tcPr>
            <w:tcW w:w="468" w:type="dxa"/>
            <w:vMerge w:val="restart"/>
            <w:tcBorders>
              <w:bottom w:val="nil"/>
            </w:tcBorders>
            <w:vAlign w:val="top"/>
          </w:tcPr>
          <w:p w14:paraId="1AB38898">
            <w:pPr>
              <w:keepNext w:val="0"/>
              <w:keepLines w:val="0"/>
              <w:suppressLineNumbers w:val="0"/>
              <w:spacing w:before="0" w:beforeAutospacing="0" w:after="0" w:afterAutospacing="0" w:line="256" w:lineRule="auto"/>
              <w:ind w:left="0" w:right="0"/>
              <w:rPr>
                <w:rFonts w:hint="default" w:ascii="Arial"/>
                <w:sz w:val="21"/>
              </w:rPr>
            </w:pPr>
          </w:p>
          <w:p w14:paraId="27BEE644">
            <w:pPr>
              <w:keepNext w:val="0"/>
              <w:keepLines w:val="0"/>
              <w:suppressLineNumbers w:val="0"/>
              <w:spacing w:before="0" w:beforeAutospacing="0" w:after="0" w:afterAutospacing="0" w:line="256" w:lineRule="auto"/>
              <w:ind w:left="0" w:right="0"/>
              <w:rPr>
                <w:rFonts w:hint="default" w:ascii="Arial"/>
                <w:sz w:val="21"/>
              </w:rPr>
            </w:pPr>
          </w:p>
          <w:p w14:paraId="5F18D255">
            <w:pPr>
              <w:keepNext w:val="0"/>
              <w:keepLines w:val="0"/>
              <w:suppressLineNumbers w:val="0"/>
              <w:spacing w:before="0" w:beforeAutospacing="0" w:after="0" w:afterAutospacing="0" w:line="256" w:lineRule="auto"/>
              <w:ind w:left="0" w:right="0"/>
              <w:rPr>
                <w:rFonts w:hint="default" w:ascii="Arial"/>
                <w:sz w:val="21"/>
              </w:rPr>
            </w:pPr>
          </w:p>
          <w:p w14:paraId="6ACD827C">
            <w:pPr>
              <w:keepNext w:val="0"/>
              <w:keepLines w:val="0"/>
              <w:suppressLineNumbers w:val="0"/>
              <w:spacing w:before="0" w:beforeAutospacing="0" w:after="0" w:afterAutospacing="0" w:line="257" w:lineRule="auto"/>
              <w:ind w:left="0" w:right="0"/>
              <w:rPr>
                <w:rFonts w:hint="default" w:ascii="Arial"/>
                <w:sz w:val="21"/>
              </w:rPr>
            </w:pPr>
          </w:p>
          <w:p w14:paraId="33373B80">
            <w:pPr>
              <w:pStyle w:val="22"/>
              <w:keepNext w:val="0"/>
              <w:keepLines w:val="0"/>
              <w:suppressLineNumbers w:val="0"/>
              <w:spacing w:before="69" w:beforeAutospacing="0" w:after="0" w:afterAutospacing="0" w:line="142" w:lineRule="exact"/>
              <w:ind w:left="130" w:right="0"/>
              <w:rPr>
                <w:rFonts w:hint="default"/>
              </w:rPr>
            </w:pPr>
            <w:r>
              <w:rPr>
                <w:rFonts w:hint="default"/>
                <w:position w:val="-3"/>
              </w:rPr>
              <w:t>—</w:t>
            </w:r>
          </w:p>
        </w:tc>
        <w:tc>
          <w:tcPr>
            <w:tcW w:w="1055" w:type="dxa"/>
            <w:vMerge w:val="restart"/>
            <w:tcBorders>
              <w:bottom w:val="nil"/>
            </w:tcBorders>
            <w:vAlign w:val="top"/>
          </w:tcPr>
          <w:p w14:paraId="1657F270">
            <w:pPr>
              <w:keepNext w:val="0"/>
              <w:keepLines w:val="0"/>
              <w:suppressLineNumbers w:val="0"/>
              <w:spacing w:before="0" w:beforeAutospacing="0" w:after="0" w:afterAutospacing="0" w:line="256" w:lineRule="auto"/>
              <w:ind w:left="0" w:right="0"/>
              <w:rPr>
                <w:rFonts w:hint="default" w:ascii="Arial"/>
                <w:sz w:val="21"/>
              </w:rPr>
            </w:pPr>
          </w:p>
          <w:p w14:paraId="43926A43">
            <w:pPr>
              <w:keepNext w:val="0"/>
              <w:keepLines w:val="0"/>
              <w:suppressLineNumbers w:val="0"/>
              <w:spacing w:before="0" w:beforeAutospacing="0" w:after="0" w:afterAutospacing="0" w:line="256" w:lineRule="auto"/>
              <w:ind w:left="0" w:right="0"/>
              <w:rPr>
                <w:rFonts w:hint="default" w:ascii="Arial"/>
                <w:sz w:val="21"/>
              </w:rPr>
            </w:pPr>
          </w:p>
          <w:p w14:paraId="3F5FEBC3">
            <w:pPr>
              <w:keepNext w:val="0"/>
              <w:keepLines w:val="0"/>
              <w:suppressLineNumbers w:val="0"/>
              <w:spacing w:before="0" w:beforeAutospacing="0" w:after="0" w:afterAutospacing="0" w:line="256" w:lineRule="auto"/>
              <w:ind w:left="0" w:right="0"/>
              <w:rPr>
                <w:rFonts w:hint="default" w:ascii="Arial"/>
                <w:sz w:val="21"/>
              </w:rPr>
            </w:pPr>
          </w:p>
          <w:p w14:paraId="4D78C35B">
            <w:pPr>
              <w:keepNext w:val="0"/>
              <w:keepLines w:val="0"/>
              <w:suppressLineNumbers w:val="0"/>
              <w:spacing w:before="0" w:beforeAutospacing="0" w:after="0" w:afterAutospacing="0" w:line="257" w:lineRule="auto"/>
              <w:ind w:left="0" w:right="0"/>
              <w:rPr>
                <w:rFonts w:hint="default" w:ascii="Arial"/>
                <w:sz w:val="21"/>
              </w:rPr>
            </w:pPr>
          </w:p>
          <w:p w14:paraId="7443F560">
            <w:pPr>
              <w:pStyle w:val="22"/>
              <w:keepNext w:val="0"/>
              <w:keepLines w:val="0"/>
              <w:suppressLineNumbers w:val="0"/>
              <w:spacing w:before="69" w:beforeAutospacing="0" w:after="0" w:afterAutospacing="0" w:line="142" w:lineRule="exact"/>
              <w:ind w:left="425" w:right="0"/>
              <w:rPr>
                <w:rFonts w:hint="default"/>
              </w:rPr>
            </w:pPr>
            <w:r>
              <w:rPr>
                <w:rFonts w:hint="default"/>
                <w:position w:val="-3"/>
              </w:rPr>
              <w:t>—</w:t>
            </w:r>
          </w:p>
        </w:tc>
        <w:tc>
          <w:tcPr>
            <w:tcW w:w="1397" w:type="dxa"/>
            <w:gridSpan w:val="2"/>
            <w:vAlign w:val="top"/>
          </w:tcPr>
          <w:p w14:paraId="2E72BE4B">
            <w:pPr>
              <w:pStyle w:val="22"/>
              <w:keepNext w:val="0"/>
              <w:keepLines w:val="0"/>
              <w:suppressLineNumbers w:val="0"/>
              <w:spacing w:before="202" w:beforeAutospacing="0" w:after="0" w:afterAutospacing="0" w:line="183" w:lineRule="auto"/>
              <w:ind w:left="353" w:right="0"/>
              <w:rPr>
                <w:rFonts w:hint="default"/>
              </w:rPr>
            </w:pPr>
            <w:r>
              <w:rPr>
                <w:rFonts w:hint="default"/>
                <w:spacing w:val="-3"/>
              </w:rPr>
              <w:t>1132.75</w:t>
            </w:r>
          </w:p>
        </w:tc>
        <w:tc>
          <w:tcPr>
            <w:tcW w:w="818" w:type="dxa"/>
            <w:gridSpan w:val="2"/>
            <w:vMerge w:val="restart"/>
            <w:tcBorders>
              <w:bottom w:val="nil"/>
            </w:tcBorders>
            <w:vAlign w:val="top"/>
          </w:tcPr>
          <w:p w14:paraId="640A25BD">
            <w:pPr>
              <w:keepNext w:val="0"/>
              <w:keepLines w:val="0"/>
              <w:suppressLineNumbers w:val="0"/>
              <w:spacing w:before="0" w:beforeAutospacing="0" w:after="0" w:afterAutospacing="0" w:line="308" w:lineRule="auto"/>
              <w:ind w:left="0" w:right="0"/>
              <w:rPr>
                <w:rFonts w:hint="default" w:ascii="Arial"/>
                <w:sz w:val="21"/>
              </w:rPr>
            </w:pPr>
          </w:p>
          <w:p w14:paraId="6933BC2B">
            <w:pPr>
              <w:keepNext w:val="0"/>
              <w:keepLines w:val="0"/>
              <w:suppressLineNumbers w:val="0"/>
              <w:spacing w:before="0" w:beforeAutospacing="0" w:after="0" w:afterAutospacing="0" w:line="309" w:lineRule="auto"/>
              <w:ind w:left="0" w:right="0"/>
              <w:rPr>
                <w:rFonts w:hint="default" w:ascii="Arial"/>
                <w:sz w:val="21"/>
              </w:rPr>
            </w:pPr>
          </w:p>
          <w:p w14:paraId="4F70910B">
            <w:pPr>
              <w:keepNext w:val="0"/>
              <w:keepLines w:val="0"/>
              <w:suppressLineNumbers w:val="0"/>
              <w:spacing w:before="0" w:beforeAutospacing="0" w:after="0" w:afterAutospacing="0" w:line="309" w:lineRule="auto"/>
              <w:ind w:left="0" w:right="0"/>
              <w:rPr>
                <w:rFonts w:hint="default" w:ascii="Arial"/>
                <w:sz w:val="21"/>
              </w:rPr>
            </w:pPr>
          </w:p>
          <w:p w14:paraId="7EB7E26F">
            <w:pPr>
              <w:pStyle w:val="22"/>
              <w:keepNext w:val="0"/>
              <w:keepLines w:val="0"/>
              <w:suppressLineNumbers w:val="0"/>
              <w:spacing w:before="68" w:beforeAutospacing="0" w:after="0" w:afterAutospacing="0" w:line="221" w:lineRule="auto"/>
              <w:ind w:left="242" w:right="0"/>
              <w:rPr>
                <w:rFonts w:hint="default"/>
              </w:rPr>
            </w:pPr>
            <w:r>
              <w:rPr>
                <w:rFonts w:hint="default"/>
                <w:spacing w:val="-11"/>
              </w:rPr>
              <w:t>自产</w:t>
            </w:r>
          </w:p>
        </w:tc>
        <w:tc>
          <w:tcPr>
            <w:tcW w:w="712" w:type="dxa"/>
            <w:gridSpan w:val="2"/>
            <w:vMerge w:val="restart"/>
            <w:tcBorders>
              <w:bottom w:val="nil"/>
            </w:tcBorders>
            <w:vAlign w:val="top"/>
          </w:tcPr>
          <w:p w14:paraId="63AB2908">
            <w:pPr>
              <w:keepNext w:val="0"/>
              <w:keepLines w:val="0"/>
              <w:suppressLineNumbers w:val="0"/>
              <w:spacing w:before="0" w:beforeAutospacing="0" w:after="0" w:afterAutospacing="0"/>
              <w:ind w:left="0" w:right="0"/>
              <w:rPr>
                <w:rFonts w:hint="default" w:ascii="Arial"/>
                <w:sz w:val="21"/>
              </w:rPr>
            </w:pPr>
          </w:p>
        </w:tc>
        <w:tc>
          <w:tcPr>
            <w:tcW w:w="629" w:type="dxa"/>
            <w:gridSpan w:val="2"/>
            <w:vMerge w:val="restart"/>
            <w:tcBorders>
              <w:bottom w:val="nil"/>
            </w:tcBorders>
            <w:vAlign w:val="top"/>
          </w:tcPr>
          <w:p w14:paraId="16A9F69B">
            <w:pPr>
              <w:keepNext w:val="0"/>
              <w:keepLines w:val="0"/>
              <w:suppressLineNumbers w:val="0"/>
              <w:spacing w:before="0" w:beforeAutospacing="0" w:after="0" w:afterAutospacing="0"/>
              <w:ind w:left="0" w:right="0"/>
              <w:rPr>
                <w:rFonts w:hint="default" w:ascii="Arial"/>
                <w:sz w:val="21"/>
              </w:rPr>
            </w:pPr>
          </w:p>
        </w:tc>
        <w:tc>
          <w:tcPr>
            <w:tcW w:w="703" w:type="dxa"/>
            <w:gridSpan w:val="2"/>
            <w:vMerge w:val="restart"/>
            <w:tcBorders>
              <w:bottom w:val="nil"/>
            </w:tcBorders>
            <w:vAlign w:val="top"/>
          </w:tcPr>
          <w:p w14:paraId="52C3C685">
            <w:pPr>
              <w:keepNext w:val="0"/>
              <w:keepLines w:val="0"/>
              <w:suppressLineNumbers w:val="0"/>
              <w:spacing w:before="0" w:beforeAutospacing="0" w:after="0" w:afterAutospacing="0" w:line="329" w:lineRule="auto"/>
              <w:ind w:left="0" w:right="0"/>
              <w:rPr>
                <w:rFonts w:hint="default" w:ascii="Arial"/>
                <w:sz w:val="21"/>
              </w:rPr>
            </w:pPr>
          </w:p>
          <w:p w14:paraId="307F8BCA">
            <w:pPr>
              <w:keepNext w:val="0"/>
              <w:keepLines w:val="0"/>
              <w:suppressLineNumbers w:val="0"/>
              <w:spacing w:before="0" w:beforeAutospacing="0" w:after="0" w:afterAutospacing="0" w:line="329" w:lineRule="auto"/>
              <w:ind w:left="0" w:right="0"/>
              <w:rPr>
                <w:rFonts w:hint="default" w:ascii="Arial"/>
                <w:sz w:val="21"/>
              </w:rPr>
            </w:pPr>
          </w:p>
          <w:p w14:paraId="2D89B3AA">
            <w:pPr>
              <w:pStyle w:val="22"/>
              <w:keepNext w:val="0"/>
              <w:keepLines w:val="0"/>
              <w:suppressLineNumbers w:val="0"/>
              <w:spacing w:before="68" w:beforeAutospacing="0" w:after="0" w:afterAutospacing="0" w:line="233" w:lineRule="auto"/>
              <w:ind w:left="155" w:right="134" w:hanging="1"/>
              <w:jc w:val="both"/>
              <w:rPr>
                <w:rFonts w:hint="default"/>
              </w:rPr>
            </w:pPr>
            <w:r>
              <w:rPr>
                <w:rFonts w:hint="default"/>
                <w:spacing w:val="-6"/>
              </w:rPr>
              <w:t>管道</w:t>
            </w:r>
            <w:r>
              <w:rPr>
                <w:rFonts w:hint="default"/>
              </w:rPr>
              <w:t xml:space="preserve"> </w:t>
            </w:r>
            <w:r>
              <w:rPr>
                <w:rFonts w:hint="default"/>
                <w:spacing w:val="-13"/>
              </w:rPr>
              <w:t>（厂</w:t>
            </w:r>
            <w:r>
              <w:rPr>
                <w:rFonts w:hint="default"/>
              </w:rPr>
              <w:t xml:space="preserve"> </w:t>
            </w:r>
            <w:r>
              <w:rPr>
                <w:rFonts w:hint="default"/>
                <w:spacing w:val="-7"/>
              </w:rPr>
              <w:t>内）</w:t>
            </w:r>
          </w:p>
        </w:tc>
        <w:tc>
          <w:tcPr>
            <w:tcW w:w="1058" w:type="dxa"/>
            <w:gridSpan w:val="2"/>
            <w:vAlign w:val="top"/>
          </w:tcPr>
          <w:p w14:paraId="4E4F785C">
            <w:pPr>
              <w:pStyle w:val="22"/>
              <w:keepNext w:val="0"/>
              <w:keepLines w:val="0"/>
              <w:suppressLineNumbers w:val="0"/>
              <w:spacing w:before="32" w:beforeAutospacing="0" w:after="0" w:afterAutospacing="0" w:line="223"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蚀刻液1</w:t>
            </w:r>
          </w:p>
        </w:tc>
      </w:tr>
      <w:tr w14:paraId="32C1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bottom w:val="nil"/>
            </w:tcBorders>
            <w:vAlign w:val="top"/>
          </w:tcPr>
          <w:p w14:paraId="5211922E">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bottom w:val="nil"/>
            </w:tcBorders>
            <w:vAlign w:val="top"/>
          </w:tcPr>
          <w:p w14:paraId="756CC9CC">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bottom w:val="nil"/>
            </w:tcBorders>
            <w:vAlign w:val="top"/>
          </w:tcPr>
          <w:p w14:paraId="01ED52DA">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bottom w:val="nil"/>
            </w:tcBorders>
            <w:vAlign w:val="top"/>
          </w:tcPr>
          <w:p w14:paraId="19BC41E3">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bottom w:val="nil"/>
            </w:tcBorders>
            <w:vAlign w:val="top"/>
          </w:tcPr>
          <w:p w14:paraId="740612DF">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1757C0A8">
            <w:pPr>
              <w:pStyle w:val="22"/>
              <w:keepNext w:val="0"/>
              <w:keepLines w:val="0"/>
              <w:suppressLineNumbers w:val="0"/>
              <w:spacing w:before="204" w:beforeAutospacing="0" w:after="0" w:afterAutospacing="0" w:line="183" w:lineRule="auto"/>
              <w:ind w:left="353" w:right="0"/>
              <w:rPr>
                <w:rFonts w:hint="default"/>
              </w:rPr>
            </w:pPr>
            <w:r>
              <w:rPr>
                <w:rFonts w:hint="default"/>
                <w:spacing w:val="-3"/>
              </w:rPr>
              <w:t>1882.75</w:t>
            </w:r>
          </w:p>
        </w:tc>
        <w:tc>
          <w:tcPr>
            <w:tcW w:w="818" w:type="dxa"/>
            <w:gridSpan w:val="2"/>
            <w:vMerge w:val="continue"/>
            <w:tcBorders>
              <w:top w:val="nil"/>
              <w:bottom w:val="nil"/>
            </w:tcBorders>
            <w:vAlign w:val="top"/>
          </w:tcPr>
          <w:p w14:paraId="653968BD">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bottom w:val="nil"/>
            </w:tcBorders>
            <w:vAlign w:val="top"/>
          </w:tcPr>
          <w:p w14:paraId="62F27242">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bottom w:val="nil"/>
            </w:tcBorders>
            <w:vAlign w:val="top"/>
          </w:tcPr>
          <w:p w14:paraId="11F16CDA">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bottom w:val="nil"/>
            </w:tcBorders>
            <w:vAlign w:val="top"/>
          </w:tcPr>
          <w:p w14:paraId="3AA11E78">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7A66B5F4">
            <w:pPr>
              <w:pStyle w:val="22"/>
              <w:keepNext w:val="0"/>
              <w:keepLines w:val="0"/>
              <w:suppressLineNumbers w:val="0"/>
              <w:spacing w:before="33"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蚀刻液2</w:t>
            </w:r>
          </w:p>
        </w:tc>
      </w:tr>
      <w:tr w14:paraId="1C7E1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bottom w:val="nil"/>
            </w:tcBorders>
            <w:vAlign w:val="top"/>
          </w:tcPr>
          <w:p w14:paraId="74A3C731">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bottom w:val="nil"/>
            </w:tcBorders>
            <w:vAlign w:val="top"/>
          </w:tcPr>
          <w:p w14:paraId="54C91E88">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bottom w:val="nil"/>
            </w:tcBorders>
            <w:vAlign w:val="top"/>
          </w:tcPr>
          <w:p w14:paraId="732D113E">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bottom w:val="nil"/>
            </w:tcBorders>
            <w:vAlign w:val="top"/>
          </w:tcPr>
          <w:p w14:paraId="42C87BCB">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bottom w:val="nil"/>
            </w:tcBorders>
            <w:vAlign w:val="top"/>
          </w:tcPr>
          <w:p w14:paraId="67B6CAC1">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48194DB0">
            <w:pPr>
              <w:pStyle w:val="22"/>
              <w:keepNext w:val="0"/>
              <w:keepLines w:val="0"/>
              <w:suppressLineNumbers w:val="0"/>
              <w:spacing w:before="204" w:beforeAutospacing="0" w:after="0" w:afterAutospacing="0" w:line="183" w:lineRule="auto"/>
              <w:ind w:left="392" w:right="0"/>
              <w:rPr>
                <w:rFonts w:hint="default"/>
              </w:rPr>
            </w:pPr>
            <w:r>
              <w:rPr>
                <w:rFonts w:hint="default"/>
                <w:spacing w:val="-1"/>
              </w:rPr>
              <w:t>281.75</w:t>
            </w:r>
          </w:p>
        </w:tc>
        <w:tc>
          <w:tcPr>
            <w:tcW w:w="818" w:type="dxa"/>
            <w:gridSpan w:val="2"/>
            <w:vMerge w:val="continue"/>
            <w:tcBorders>
              <w:top w:val="nil"/>
              <w:bottom w:val="nil"/>
            </w:tcBorders>
            <w:vAlign w:val="top"/>
          </w:tcPr>
          <w:p w14:paraId="7D75876A">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bottom w:val="nil"/>
            </w:tcBorders>
            <w:vAlign w:val="top"/>
          </w:tcPr>
          <w:p w14:paraId="4C36EACF">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bottom w:val="nil"/>
            </w:tcBorders>
            <w:vAlign w:val="top"/>
          </w:tcPr>
          <w:p w14:paraId="7AF53C06">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bottom w:val="nil"/>
            </w:tcBorders>
            <w:vAlign w:val="top"/>
          </w:tcPr>
          <w:p w14:paraId="15224633">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6DCFEE16">
            <w:pPr>
              <w:pStyle w:val="22"/>
              <w:keepNext w:val="0"/>
              <w:keepLines w:val="0"/>
              <w:suppressLineNumbers w:val="0"/>
              <w:spacing w:before="33"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蚀刻液3</w:t>
            </w:r>
          </w:p>
        </w:tc>
      </w:tr>
      <w:tr w14:paraId="0BCF0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tcBorders>
            <w:vAlign w:val="top"/>
          </w:tcPr>
          <w:p w14:paraId="76DE0F80">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tcBorders>
            <w:vAlign w:val="top"/>
          </w:tcPr>
          <w:p w14:paraId="68AC423B">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tcBorders>
            <w:vAlign w:val="top"/>
          </w:tcPr>
          <w:p w14:paraId="4EB4B1C1">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tcBorders>
            <w:vAlign w:val="top"/>
          </w:tcPr>
          <w:p w14:paraId="6407EE23">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tcBorders>
            <w:vAlign w:val="top"/>
          </w:tcPr>
          <w:p w14:paraId="5772791B">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172382E8">
            <w:pPr>
              <w:pStyle w:val="22"/>
              <w:keepNext w:val="0"/>
              <w:keepLines w:val="0"/>
              <w:suppressLineNumbers w:val="0"/>
              <w:spacing w:before="205" w:beforeAutospacing="0" w:after="0" w:afterAutospacing="0" w:line="183" w:lineRule="auto"/>
              <w:ind w:left="353" w:right="0"/>
              <w:rPr>
                <w:rFonts w:hint="default"/>
              </w:rPr>
            </w:pPr>
            <w:r>
              <w:rPr>
                <w:rFonts w:hint="default"/>
                <w:spacing w:val="-3"/>
              </w:rPr>
              <w:t>1907.75</w:t>
            </w:r>
          </w:p>
        </w:tc>
        <w:tc>
          <w:tcPr>
            <w:tcW w:w="818" w:type="dxa"/>
            <w:gridSpan w:val="2"/>
            <w:vMerge w:val="continue"/>
            <w:tcBorders>
              <w:top w:val="nil"/>
            </w:tcBorders>
            <w:vAlign w:val="top"/>
          </w:tcPr>
          <w:p w14:paraId="38BDADC1">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tcBorders>
            <w:vAlign w:val="top"/>
          </w:tcPr>
          <w:p w14:paraId="752ABF4B">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tcBorders>
            <w:vAlign w:val="top"/>
          </w:tcPr>
          <w:p w14:paraId="40880791">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tcBorders>
            <w:vAlign w:val="top"/>
          </w:tcPr>
          <w:p w14:paraId="779C432D">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74C1D433">
            <w:pPr>
              <w:pStyle w:val="22"/>
              <w:keepNext w:val="0"/>
              <w:keepLines w:val="0"/>
              <w:suppressLineNumbers w:val="0"/>
              <w:spacing w:before="33" w:beforeAutospacing="0" w:after="0" w:afterAutospacing="0" w:line="222" w:lineRule="auto"/>
              <w:ind w:left="165" w:right="157" w:firstLine="3"/>
              <w:rPr>
                <w:rFonts w:hint="default"/>
              </w:rPr>
            </w:pPr>
            <w:r>
              <w:rPr>
                <w:rFonts w:hint="default"/>
                <w:spacing w:val="-2"/>
              </w:rPr>
              <w:t>2500t/a</w:t>
            </w:r>
            <w:r>
              <w:rPr>
                <w:rFonts w:hint="default"/>
                <w:spacing w:val="4"/>
              </w:rPr>
              <w:t xml:space="preserve"> </w:t>
            </w:r>
            <w:r>
              <w:rPr>
                <w:rFonts w:hint="default"/>
                <w:spacing w:val="-2"/>
              </w:rPr>
              <w:t>蚀刻液4</w:t>
            </w:r>
          </w:p>
        </w:tc>
      </w:tr>
      <w:tr w14:paraId="6AD99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Align w:val="top"/>
          </w:tcPr>
          <w:p w14:paraId="5629DD7C">
            <w:pPr>
              <w:pStyle w:val="22"/>
              <w:keepNext w:val="0"/>
              <w:keepLines w:val="0"/>
              <w:suppressLineNumbers w:val="0"/>
              <w:spacing w:before="170" w:beforeAutospacing="0" w:after="0" w:afterAutospacing="0" w:line="231" w:lineRule="auto"/>
              <w:ind w:left="138" w:right="0"/>
              <w:rPr>
                <w:rFonts w:hint="default"/>
              </w:rPr>
            </w:pPr>
            <w:r>
              <w:rPr>
                <w:rFonts w:hint="default"/>
              </w:rPr>
              <w:t>五</w:t>
            </w:r>
          </w:p>
        </w:tc>
        <w:tc>
          <w:tcPr>
            <w:tcW w:w="1163" w:type="dxa"/>
            <w:gridSpan w:val="2"/>
            <w:vAlign w:val="top"/>
          </w:tcPr>
          <w:p w14:paraId="5AA7F1E4">
            <w:pPr>
              <w:pStyle w:val="22"/>
              <w:keepNext w:val="0"/>
              <w:keepLines w:val="0"/>
              <w:suppressLineNumbers w:val="0"/>
              <w:spacing w:before="33" w:beforeAutospacing="0" w:after="0" w:afterAutospacing="0" w:line="222" w:lineRule="auto"/>
              <w:ind w:left="271" w:right="159" w:hanging="92"/>
              <w:rPr>
                <w:rFonts w:hint="default"/>
              </w:rPr>
            </w:pPr>
            <w:r>
              <w:rPr>
                <w:rFonts w:hint="default"/>
                <w:spacing w:val="-3"/>
              </w:rPr>
              <w:t>10000t/a</w:t>
            </w:r>
            <w:r>
              <w:rPr>
                <w:rFonts w:hint="default"/>
                <w:spacing w:val="1"/>
              </w:rPr>
              <w:t xml:space="preserve"> </w:t>
            </w:r>
            <w:r>
              <w:rPr>
                <w:rFonts w:hint="default"/>
                <w:spacing w:val="-2"/>
              </w:rPr>
              <w:t>剥离液</w:t>
            </w:r>
          </w:p>
        </w:tc>
        <w:tc>
          <w:tcPr>
            <w:tcW w:w="933" w:type="dxa"/>
            <w:vAlign w:val="top"/>
          </w:tcPr>
          <w:p w14:paraId="03CE8EB9">
            <w:pPr>
              <w:keepNext w:val="0"/>
              <w:keepLines w:val="0"/>
              <w:suppressLineNumbers w:val="0"/>
              <w:spacing w:before="0" w:beforeAutospacing="0" w:after="0" w:afterAutospacing="0"/>
              <w:ind w:left="0" w:right="0"/>
              <w:rPr>
                <w:rFonts w:hint="default" w:ascii="Arial"/>
                <w:sz w:val="21"/>
              </w:rPr>
            </w:pPr>
          </w:p>
        </w:tc>
        <w:tc>
          <w:tcPr>
            <w:tcW w:w="468" w:type="dxa"/>
            <w:vAlign w:val="top"/>
          </w:tcPr>
          <w:p w14:paraId="5497183D">
            <w:pPr>
              <w:pStyle w:val="22"/>
              <w:keepNext w:val="0"/>
              <w:keepLines w:val="0"/>
              <w:suppressLineNumbers w:val="0"/>
              <w:spacing w:before="171" w:beforeAutospacing="0" w:after="0" w:afterAutospacing="0" w:line="221" w:lineRule="auto"/>
              <w:ind w:left="133" w:right="0"/>
              <w:rPr>
                <w:rFonts w:hint="default"/>
              </w:rPr>
            </w:pPr>
            <w:r>
              <w:rPr>
                <w:rFonts w:hint="default"/>
              </w:rPr>
              <w:t>液</w:t>
            </w:r>
          </w:p>
        </w:tc>
        <w:tc>
          <w:tcPr>
            <w:tcW w:w="1055" w:type="dxa"/>
            <w:vAlign w:val="top"/>
          </w:tcPr>
          <w:p w14:paraId="155FA359">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57AE96F5">
            <w:pPr>
              <w:pStyle w:val="22"/>
              <w:keepNext w:val="0"/>
              <w:keepLines w:val="0"/>
              <w:suppressLineNumbers w:val="0"/>
              <w:spacing w:before="205" w:beforeAutospacing="0" w:after="0" w:afterAutospacing="0" w:line="183" w:lineRule="auto"/>
              <w:ind w:left="458" w:right="0"/>
              <w:rPr>
                <w:rFonts w:hint="default"/>
              </w:rPr>
            </w:pPr>
            <w:r>
              <w:rPr>
                <w:rFonts w:hint="default"/>
                <w:spacing w:val="-4"/>
              </w:rPr>
              <w:t>10000</w:t>
            </w:r>
          </w:p>
        </w:tc>
        <w:tc>
          <w:tcPr>
            <w:tcW w:w="818" w:type="dxa"/>
            <w:gridSpan w:val="2"/>
            <w:vAlign w:val="top"/>
          </w:tcPr>
          <w:p w14:paraId="550FDBD3">
            <w:pPr>
              <w:pStyle w:val="22"/>
              <w:keepNext w:val="0"/>
              <w:keepLines w:val="0"/>
              <w:suppressLineNumbers w:val="0"/>
              <w:spacing w:before="206" w:beforeAutospacing="0" w:after="0" w:afterAutospacing="0" w:line="182" w:lineRule="auto"/>
              <w:ind w:left="316" w:right="0"/>
              <w:rPr>
                <w:rFonts w:hint="default"/>
              </w:rPr>
            </w:pPr>
            <w:r>
              <w:rPr>
                <w:rFonts w:hint="default"/>
                <w:spacing w:val="-4"/>
              </w:rPr>
              <w:t>70</w:t>
            </w:r>
          </w:p>
        </w:tc>
        <w:tc>
          <w:tcPr>
            <w:tcW w:w="712" w:type="dxa"/>
            <w:gridSpan w:val="2"/>
            <w:vAlign w:val="top"/>
          </w:tcPr>
          <w:p w14:paraId="40F80BEB">
            <w:pPr>
              <w:pStyle w:val="22"/>
              <w:keepNext w:val="0"/>
              <w:keepLines w:val="0"/>
              <w:suppressLineNumbers w:val="0"/>
              <w:spacing w:before="33" w:beforeAutospacing="0" w:after="0" w:afterAutospacing="0" w:line="222"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6C4D592D">
            <w:pPr>
              <w:pStyle w:val="22"/>
              <w:keepNext w:val="0"/>
              <w:keepLines w:val="0"/>
              <w:suppressLineNumbers w:val="0"/>
              <w:spacing w:before="204" w:beforeAutospacing="0" w:after="0" w:afterAutospacing="0" w:line="209" w:lineRule="auto"/>
              <w:ind w:left="34" w:right="0"/>
              <w:rPr>
                <w:rFonts w:hint="default"/>
              </w:rPr>
            </w:pPr>
            <w:r>
              <w:rPr>
                <w:rFonts w:hint="default"/>
                <w:spacing w:val="1"/>
              </w:rPr>
              <w:t>桶</w:t>
            </w:r>
            <w:r>
              <w:rPr>
                <w:rFonts w:hint="default"/>
                <w:spacing w:val="-43"/>
              </w:rPr>
              <w:t xml:space="preserve"> </w:t>
            </w:r>
            <w:r>
              <w:rPr>
                <w:rFonts w:hint="default"/>
                <w:spacing w:val="1"/>
              </w:rPr>
              <w:t>装</w:t>
            </w:r>
          </w:p>
        </w:tc>
        <w:tc>
          <w:tcPr>
            <w:tcW w:w="703" w:type="dxa"/>
            <w:gridSpan w:val="2"/>
            <w:vAlign w:val="top"/>
          </w:tcPr>
          <w:p w14:paraId="08D5120E">
            <w:pPr>
              <w:pStyle w:val="22"/>
              <w:keepNext w:val="0"/>
              <w:keepLines w:val="0"/>
              <w:suppressLineNumbers w:val="0"/>
              <w:spacing w:before="171"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13052BAD">
            <w:pPr>
              <w:pStyle w:val="22"/>
              <w:keepNext w:val="0"/>
              <w:keepLines w:val="0"/>
              <w:suppressLineNumbers w:val="0"/>
              <w:spacing w:before="170" w:beforeAutospacing="0" w:after="0" w:afterAutospacing="0" w:line="221" w:lineRule="auto"/>
              <w:ind w:left="325" w:right="0"/>
              <w:rPr>
                <w:rFonts w:hint="default"/>
              </w:rPr>
            </w:pPr>
            <w:r>
              <w:rPr>
                <w:rFonts w:hint="default"/>
                <w:spacing w:val="-2"/>
              </w:rPr>
              <w:t>产品</w:t>
            </w:r>
          </w:p>
        </w:tc>
      </w:tr>
      <w:tr w14:paraId="4AB3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71" w:type="dxa"/>
            <w:gridSpan w:val="2"/>
            <w:vAlign w:val="top"/>
          </w:tcPr>
          <w:p w14:paraId="2EC8A284">
            <w:pPr>
              <w:keepNext w:val="0"/>
              <w:keepLines w:val="0"/>
              <w:suppressLineNumbers w:val="0"/>
              <w:spacing w:before="0" w:beforeAutospacing="0" w:after="0" w:afterAutospacing="0" w:line="408" w:lineRule="auto"/>
              <w:ind w:left="0" w:right="0"/>
              <w:rPr>
                <w:rFonts w:hint="default" w:ascii="Arial"/>
                <w:sz w:val="21"/>
              </w:rPr>
            </w:pPr>
          </w:p>
          <w:p w14:paraId="7C4F012D">
            <w:pPr>
              <w:pStyle w:val="22"/>
              <w:keepNext w:val="0"/>
              <w:keepLines w:val="0"/>
              <w:suppressLineNumbers w:val="0"/>
              <w:spacing w:before="68" w:beforeAutospacing="0" w:after="0" w:afterAutospacing="0" w:line="183" w:lineRule="auto"/>
              <w:ind w:left="203" w:right="0"/>
              <w:rPr>
                <w:rFonts w:hint="default"/>
              </w:rPr>
            </w:pPr>
            <w:r>
              <w:rPr>
                <w:rFonts w:hint="default"/>
              </w:rPr>
              <w:t>1</w:t>
            </w:r>
          </w:p>
        </w:tc>
        <w:tc>
          <w:tcPr>
            <w:tcW w:w="1163" w:type="dxa"/>
            <w:gridSpan w:val="2"/>
            <w:vAlign w:val="top"/>
          </w:tcPr>
          <w:p w14:paraId="1B0AC80D">
            <w:pPr>
              <w:pStyle w:val="22"/>
              <w:keepNext w:val="0"/>
              <w:keepLines w:val="0"/>
              <w:suppressLineNumbers w:val="0"/>
              <w:spacing w:before="32" w:beforeAutospacing="0" w:after="0" w:afterAutospacing="0" w:line="231" w:lineRule="auto"/>
              <w:ind w:left="111" w:right="105" w:firstLine="24"/>
              <w:jc w:val="both"/>
              <w:rPr>
                <w:rFonts w:hint="default"/>
              </w:rPr>
            </w:pPr>
            <w:r>
              <w:rPr>
                <w:rFonts w:hint="default"/>
                <w:spacing w:val="19"/>
              </w:rPr>
              <w:t>电子级电</w:t>
            </w:r>
            <w:r>
              <w:rPr>
                <w:rFonts w:hint="default"/>
              </w:rPr>
              <w:t xml:space="preserve"> </w:t>
            </w:r>
            <w:r>
              <w:rPr>
                <w:rFonts w:hint="default"/>
                <w:spacing w:val="25"/>
              </w:rPr>
              <w:t>子级四甲</w:t>
            </w:r>
            <w:r>
              <w:rPr>
                <w:rFonts w:hint="default"/>
              </w:rPr>
              <w:t xml:space="preserve"> </w:t>
            </w:r>
            <w:r>
              <w:rPr>
                <w:rFonts w:hint="default"/>
                <w:spacing w:val="25"/>
              </w:rPr>
              <w:t>基氢氧化</w:t>
            </w:r>
            <w:r>
              <w:rPr>
                <w:rFonts w:hint="default"/>
              </w:rPr>
              <w:t xml:space="preserve"> 铵</w:t>
            </w:r>
          </w:p>
        </w:tc>
        <w:tc>
          <w:tcPr>
            <w:tcW w:w="933" w:type="dxa"/>
            <w:vAlign w:val="top"/>
          </w:tcPr>
          <w:p w14:paraId="414C396E">
            <w:pPr>
              <w:keepNext w:val="0"/>
              <w:keepLines w:val="0"/>
              <w:suppressLineNumbers w:val="0"/>
              <w:spacing w:before="0" w:beforeAutospacing="0" w:after="0" w:afterAutospacing="0" w:line="409" w:lineRule="auto"/>
              <w:ind w:left="0" w:right="0"/>
              <w:rPr>
                <w:rFonts w:hint="default" w:ascii="Arial"/>
                <w:sz w:val="21"/>
              </w:rPr>
            </w:pPr>
          </w:p>
          <w:p w14:paraId="780F2E34">
            <w:pPr>
              <w:pStyle w:val="22"/>
              <w:keepNext w:val="0"/>
              <w:keepLines w:val="0"/>
              <w:suppressLineNumbers w:val="0"/>
              <w:spacing w:before="69" w:beforeAutospacing="0" w:after="0" w:afterAutospacing="0" w:line="182" w:lineRule="auto"/>
              <w:ind w:left="368" w:right="0"/>
              <w:rPr>
                <w:rFonts w:hint="default"/>
              </w:rPr>
            </w:pPr>
            <w:r>
              <w:rPr>
                <w:rFonts w:hint="default"/>
                <w:spacing w:val="-5"/>
              </w:rPr>
              <w:t>25</w:t>
            </w:r>
          </w:p>
        </w:tc>
        <w:tc>
          <w:tcPr>
            <w:tcW w:w="468" w:type="dxa"/>
            <w:vAlign w:val="top"/>
          </w:tcPr>
          <w:p w14:paraId="60A7D40F">
            <w:pPr>
              <w:keepNext w:val="0"/>
              <w:keepLines w:val="0"/>
              <w:suppressLineNumbers w:val="0"/>
              <w:spacing w:before="0" w:beforeAutospacing="0" w:after="0" w:afterAutospacing="0" w:line="374" w:lineRule="auto"/>
              <w:ind w:left="0" w:right="0"/>
              <w:rPr>
                <w:rFonts w:hint="default" w:ascii="Arial"/>
                <w:sz w:val="21"/>
              </w:rPr>
            </w:pPr>
          </w:p>
          <w:p w14:paraId="09608AFD">
            <w:pPr>
              <w:pStyle w:val="22"/>
              <w:keepNext w:val="0"/>
              <w:keepLines w:val="0"/>
              <w:suppressLineNumbers w:val="0"/>
              <w:spacing w:before="69" w:beforeAutospacing="0" w:after="0" w:afterAutospacing="0" w:line="221" w:lineRule="auto"/>
              <w:ind w:left="133" w:right="0"/>
              <w:rPr>
                <w:rFonts w:hint="default"/>
              </w:rPr>
            </w:pPr>
            <w:r>
              <w:rPr>
                <w:rFonts w:hint="default"/>
              </w:rPr>
              <w:t>液</w:t>
            </w:r>
          </w:p>
        </w:tc>
        <w:tc>
          <w:tcPr>
            <w:tcW w:w="1055" w:type="dxa"/>
            <w:vAlign w:val="top"/>
          </w:tcPr>
          <w:p w14:paraId="321A446D">
            <w:pPr>
              <w:keepNext w:val="0"/>
              <w:keepLines w:val="0"/>
              <w:suppressLineNumbers w:val="0"/>
              <w:spacing w:before="0" w:beforeAutospacing="0" w:after="0" w:afterAutospacing="0" w:line="408" w:lineRule="auto"/>
              <w:ind w:left="0" w:right="0"/>
              <w:rPr>
                <w:rFonts w:hint="default" w:ascii="Arial"/>
                <w:sz w:val="21"/>
              </w:rPr>
            </w:pPr>
          </w:p>
          <w:p w14:paraId="7D8C05F1">
            <w:pPr>
              <w:pStyle w:val="22"/>
              <w:keepNext w:val="0"/>
              <w:keepLines w:val="0"/>
              <w:suppressLineNumbers w:val="0"/>
              <w:spacing w:before="68" w:beforeAutospacing="0" w:after="0" w:afterAutospacing="0" w:line="183" w:lineRule="auto"/>
              <w:ind w:left="337" w:right="0"/>
              <w:rPr>
                <w:rFonts w:hint="default"/>
              </w:rPr>
            </w:pPr>
            <w:r>
              <w:rPr>
                <w:rFonts w:hint="default"/>
                <w:spacing w:val="-5"/>
              </w:rPr>
              <w:t>1835</w:t>
            </w:r>
          </w:p>
        </w:tc>
        <w:tc>
          <w:tcPr>
            <w:tcW w:w="1397" w:type="dxa"/>
            <w:gridSpan w:val="2"/>
            <w:vAlign w:val="top"/>
          </w:tcPr>
          <w:p w14:paraId="5F2A8938">
            <w:pPr>
              <w:keepNext w:val="0"/>
              <w:keepLines w:val="0"/>
              <w:suppressLineNumbers w:val="0"/>
              <w:spacing w:before="0" w:beforeAutospacing="0" w:after="0" w:afterAutospacing="0" w:line="409" w:lineRule="auto"/>
              <w:ind w:left="0" w:right="0"/>
              <w:rPr>
                <w:rFonts w:hint="default" w:ascii="Arial"/>
                <w:sz w:val="21"/>
              </w:rPr>
            </w:pPr>
          </w:p>
          <w:p w14:paraId="777A2135">
            <w:pPr>
              <w:pStyle w:val="22"/>
              <w:keepNext w:val="0"/>
              <w:keepLines w:val="0"/>
              <w:suppressLineNumbers w:val="0"/>
              <w:spacing w:before="69" w:beforeAutospacing="0" w:after="0" w:afterAutospacing="0" w:line="182" w:lineRule="auto"/>
              <w:ind w:left="445" w:right="0"/>
              <w:rPr>
                <w:rFonts w:hint="default"/>
              </w:rPr>
            </w:pPr>
            <w:r>
              <w:rPr>
                <w:rFonts w:hint="default"/>
                <w:spacing w:val="-2"/>
              </w:rPr>
              <w:t>250.5</w:t>
            </w:r>
          </w:p>
        </w:tc>
        <w:tc>
          <w:tcPr>
            <w:tcW w:w="818" w:type="dxa"/>
            <w:gridSpan w:val="2"/>
            <w:vAlign w:val="top"/>
          </w:tcPr>
          <w:p w14:paraId="75C8C4A7">
            <w:pPr>
              <w:keepNext w:val="0"/>
              <w:keepLines w:val="0"/>
              <w:suppressLineNumbers w:val="0"/>
              <w:spacing w:before="0" w:beforeAutospacing="0" w:after="0" w:afterAutospacing="0" w:line="409" w:lineRule="auto"/>
              <w:ind w:left="0" w:right="0"/>
              <w:rPr>
                <w:rFonts w:hint="default" w:ascii="Arial"/>
                <w:sz w:val="21"/>
              </w:rPr>
            </w:pPr>
          </w:p>
          <w:p w14:paraId="1464143A">
            <w:pPr>
              <w:pStyle w:val="22"/>
              <w:keepNext w:val="0"/>
              <w:keepLines w:val="0"/>
              <w:suppressLineNumbers w:val="0"/>
              <w:spacing w:before="69" w:beforeAutospacing="0" w:after="0" w:afterAutospacing="0" w:line="182" w:lineRule="auto"/>
              <w:ind w:left="316" w:right="0"/>
              <w:rPr>
                <w:rFonts w:hint="default"/>
              </w:rPr>
            </w:pPr>
            <w:r>
              <w:rPr>
                <w:rFonts w:hint="default"/>
                <w:spacing w:val="-4"/>
              </w:rPr>
              <w:t>70</w:t>
            </w:r>
          </w:p>
        </w:tc>
        <w:tc>
          <w:tcPr>
            <w:tcW w:w="712" w:type="dxa"/>
            <w:gridSpan w:val="2"/>
            <w:vAlign w:val="top"/>
          </w:tcPr>
          <w:p w14:paraId="6F6E08BE">
            <w:pPr>
              <w:pStyle w:val="22"/>
              <w:keepNext w:val="0"/>
              <w:keepLines w:val="0"/>
              <w:suppressLineNumbers w:val="0"/>
              <w:spacing w:before="309" w:beforeAutospacing="0" w:after="0" w:afterAutospacing="0" w:line="229" w:lineRule="auto"/>
              <w:ind w:left="259" w:right="139" w:hanging="102"/>
              <w:rPr>
                <w:rFonts w:hint="default"/>
              </w:rPr>
            </w:pPr>
            <w:r>
              <w:rPr>
                <w:rFonts w:hint="default"/>
                <w:spacing w:val="-4"/>
              </w:rPr>
              <w:t>3#仓</w:t>
            </w:r>
            <w:r>
              <w:rPr>
                <w:rFonts w:hint="default"/>
              </w:rPr>
              <w:t xml:space="preserve"> 库</w:t>
            </w:r>
          </w:p>
        </w:tc>
        <w:tc>
          <w:tcPr>
            <w:tcW w:w="629" w:type="dxa"/>
            <w:gridSpan w:val="2"/>
            <w:textDirection w:val="tbRlV"/>
            <w:vAlign w:val="top"/>
          </w:tcPr>
          <w:p w14:paraId="4E690FEF">
            <w:pPr>
              <w:pStyle w:val="22"/>
              <w:keepNext w:val="0"/>
              <w:keepLines w:val="0"/>
              <w:suppressLineNumbers w:val="0"/>
              <w:spacing w:before="204" w:beforeAutospacing="0" w:after="0" w:afterAutospacing="0" w:line="209" w:lineRule="auto"/>
              <w:ind w:left="308" w:right="0"/>
              <w:rPr>
                <w:rFonts w:hint="default"/>
              </w:rPr>
            </w:pPr>
            <w:r>
              <w:rPr>
                <w:rFonts w:hint="default"/>
                <w:spacing w:val="31"/>
              </w:rPr>
              <w:t>桶装</w:t>
            </w:r>
          </w:p>
        </w:tc>
        <w:tc>
          <w:tcPr>
            <w:tcW w:w="703" w:type="dxa"/>
            <w:gridSpan w:val="2"/>
            <w:vAlign w:val="top"/>
          </w:tcPr>
          <w:p w14:paraId="7694B2DA">
            <w:pPr>
              <w:keepNext w:val="0"/>
              <w:keepLines w:val="0"/>
              <w:suppressLineNumbers w:val="0"/>
              <w:spacing w:before="0" w:beforeAutospacing="0" w:after="0" w:afterAutospacing="0" w:line="374" w:lineRule="auto"/>
              <w:ind w:left="0" w:right="0"/>
              <w:rPr>
                <w:rFonts w:hint="default" w:ascii="Arial"/>
                <w:sz w:val="21"/>
              </w:rPr>
            </w:pPr>
          </w:p>
          <w:p w14:paraId="25FB482E">
            <w:pPr>
              <w:pStyle w:val="22"/>
              <w:keepNext w:val="0"/>
              <w:keepLines w:val="0"/>
              <w:suppressLineNumbers w:val="0"/>
              <w:spacing w:before="69"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13813A46">
            <w:pPr>
              <w:pStyle w:val="22"/>
              <w:keepNext w:val="0"/>
              <w:keepLines w:val="0"/>
              <w:suppressLineNumbers w:val="0"/>
              <w:spacing w:before="308" w:beforeAutospacing="0" w:after="0" w:afterAutospacing="0" w:line="230"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剥离液1</w:t>
            </w:r>
          </w:p>
        </w:tc>
      </w:tr>
      <w:tr w14:paraId="47723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71" w:type="dxa"/>
            <w:gridSpan w:val="2"/>
            <w:vMerge w:val="restart"/>
            <w:tcBorders>
              <w:bottom w:val="nil"/>
            </w:tcBorders>
            <w:vAlign w:val="top"/>
          </w:tcPr>
          <w:p w14:paraId="377F1FA7">
            <w:pPr>
              <w:keepNext w:val="0"/>
              <w:keepLines w:val="0"/>
              <w:suppressLineNumbers w:val="0"/>
              <w:spacing w:before="0" w:beforeAutospacing="0" w:after="0" w:afterAutospacing="0" w:line="415" w:lineRule="auto"/>
              <w:ind w:left="0" w:right="0"/>
              <w:rPr>
                <w:rFonts w:hint="default" w:ascii="Arial"/>
                <w:sz w:val="21"/>
              </w:rPr>
            </w:pPr>
          </w:p>
          <w:p w14:paraId="16659827">
            <w:pPr>
              <w:pStyle w:val="22"/>
              <w:keepNext w:val="0"/>
              <w:keepLines w:val="0"/>
              <w:suppressLineNumbers w:val="0"/>
              <w:spacing w:before="68" w:beforeAutospacing="0" w:after="0" w:afterAutospacing="0" w:line="182" w:lineRule="auto"/>
              <w:ind w:left="190" w:right="0"/>
              <w:rPr>
                <w:rFonts w:hint="default"/>
              </w:rPr>
            </w:pPr>
            <w:r>
              <w:rPr>
                <w:rFonts w:hint="default"/>
              </w:rPr>
              <w:t>2</w:t>
            </w:r>
          </w:p>
        </w:tc>
        <w:tc>
          <w:tcPr>
            <w:tcW w:w="1163" w:type="dxa"/>
            <w:gridSpan w:val="2"/>
            <w:vMerge w:val="restart"/>
            <w:tcBorders>
              <w:bottom w:val="nil"/>
            </w:tcBorders>
            <w:vAlign w:val="top"/>
          </w:tcPr>
          <w:p w14:paraId="197773B8">
            <w:pPr>
              <w:keepNext w:val="0"/>
              <w:keepLines w:val="0"/>
              <w:suppressLineNumbers w:val="0"/>
              <w:spacing w:before="0" w:beforeAutospacing="0" w:after="0" w:afterAutospacing="0" w:line="243" w:lineRule="auto"/>
              <w:ind w:left="0" w:right="0"/>
              <w:rPr>
                <w:rFonts w:hint="default" w:ascii="Arial"/>
                <w:sz w:val="21"/>
              </w:rPr>
            </w:pPr>
          </w:p>
          <w:p w14:paraId="2A3AF792">
            <w:pPr>
              <w:pStyle w:val="22"/>
              <w:keepNext w:val="0"/>
              <w:keepLines w:val="0"/>
              <w:suppressLineNumbers w:val="0"/>
              <w:spacing w:before="69" w:beforeAutospacing="0" w:after="0" w:afterAutospacing="0" w:line="230" w:lineRule="auto"/>
              <w:ind w:left="190" w:right="159" w:hanging="2"/>
              <w:rPr>
                <w:rFonts w:hint="default"/>
              </w:rPr>
            </w:pPr>
            <w:r>
              <w:rPr>
                <w:rFonts w:hint="default"/>
                <w:spacing w:val="-8"/>
              </w:rPr>
              <w:t>电子级二</w:t>
            </w:r>
            <w:r>
              <w:rPr>
                <w:rFonts w:hint="default"/>
              </w:rPr>
              <w:t xml:space="preserve"> </w:t>
            </w:r>
            <w:r>
              <w:rPr>
                <w:rFonts w:hint="default"/>
                <w:spacing w:val="-9"/>
              </w:rPr>
              <w:t>甲基亚砜</w:t>
            </w:r>
          </w:p>
        </w:tc>
        <w:tc>
          <w:tcPr>
            <w:tcW w:w="933" w:type="dxa"/>
            <w:vMerge w:val="restart"/>
            <w:tcBorders>
              <w:bottom w:val="nil"/>
            </w:tcBorders>
            <w:vAlign w:val="top"/>
          </w:tcPr>
          <w:p w14:paraId="03EDE4AD">
            <w:pPr>
              <w:keepNext w:val="0"/>
              <w:keepLines w:val="0"/>
              <w:suppressLineNumbers w:val="0"/>
              <w:spacing w:before="0" w:beforeAutospacing="0" w:after="0" w:afterAutospacing="0" w:line="411" w:lineRule="auto"/>
              <w:ind w:left="0" w:right="0"/>
              <w:rPr>
                <w:rFonts w:hint="default" w:ascii="Arial"/>
                <w:sz w:val="21"/>
              </w:rPr>
            </w:pPr>
          </w:p>
          <w:p w14:paraId="428B4A2C">
            <w:pPr>
              <w:pStyle w:val="22"/>
              <w:keepNext w:val="0"/>
              <w:keepLines w:val="0"/>
              <w:suppressLineNumbers w:val="0"/>
              <w:spacing w:before="69" w:beforeAutospacing="0" w:after="0" w:afterAutospacing="0" w:line="185" w:lineRule="auto"/>
              <w:ind w:left="216" w:right="0"/>
              <w:rPr>
                <w:rFonts w:hint="default"/>
              </w:rPr>
            </w:pPr>
            <w:r>
              <w:rPr>
                <w:rFonts w:hint="default"/>
                <w:spacing w:val="-3"/>
              </w:rPr>
              <w:t>&gt;99.7</w:t>
            </w:r>
          </w:p>
        </w:tc>
        <w:tc>
          <w:tcPr>
            <w:tcW w:w="468" w:type="dxa"/>
            <w:vMerge w:val="restart"/>
            <w:tcBorders>
              <w:bottom w:val="nil"/>
            </w:tcBorders>
            <w:vAlign w:val="top"/>
          </w:tcPr>
          <w:p w14:paraId="79931B9C">
            <w:pPr>
              <w:keepNext w:val="0"/>
              <w:keepLines w:val="0"/>
              <w:suppressLineNumbers w:val="0"/>
              <w:spacing w:before="0" w:beforeAutospacing="0" w:after="0" w:afterAutospacing="0" w:line="380" w:lineRule="auto"/>
              <w:ind w:left="0" w:right="0"/>
              <w:rPr>
                <w:rFonts w:hint="default" w:ascii="Arial"/>
                <w:sz w:val="21"/>
              </w:rPr>
            </w:pPr>
          </w:p>
          <w:p w14:paraId="4FD95D1E">
            <w:pPr>
              <w:pStyle w:val="22"/>
              <w:keepNext w:val="0"/>
              <w:keepLines w:val="0"/>
              <w:suppressLineNumbers w:val="0"/>
              <w:spacing w:before="68" w:beforeAutospacing="0" w:after="0" w:afterAutospacing="0" w:line="221" w:lineRule="auto"/>
              <w:ind w:left="133" w:right="0"/>
              <w:rPr>
                <w:rFonts w:hint="default"/>
              </w:rPr>
            </w:pPr>
            <w:r>
              <w:rPr>
                <w:rFonts w:hint="default"/>
              </w:rPr>
              <w:t>液</w:t>
            </w:r>
          </w:p>
        </w:tc>
        <w:tc>
          <w:tcPr>
            <w:tcW w:w="1055" w:type="dxa"/>
            <w:vMerge w:val="restart"/>
            <w:tcBorders>
              <w:bottom w:val="nil"/>
            </w:tcBorders>
            <w:vAlign w:val="top"/>
          </w:tcPr>
          <w:p w14:paraId="303EFD0C">
            <w:pPr>
              <w:keepNext w:val="0"/>
              <w:keepLines w:val="0"/>
              <w:suppressLineNumbers w:val="0"/>
              <w:spacing w:before="0" w:beforeAutospacing="0" w:after="0" w:afterAutospacing="0" w:line="380" w:lineRule="auto"/>
              <w:ind w:left="0" w:right="0"/>
              <w:rPr>
                <w:rFonts w:hint="default" w:ascii="Arial"/>
                <w:sz w:val="21"/>
              </w:rPr>
            </w:pPr>
          </w:p>
          <w:p w14:paraId="3DBE3391">
            <w:pPr>
              <w:pStyle w:val="22"/>
              <w:keepNext w:val="0"/>
              <w:keepLines w:val="0"/>
              <w:suppressLineNumbers w:val="0"/>
              <w:spacing w:before="68" w:beforeAutospacing="0" w:after="0" w:afterAutospacing="0" w:line="221" w:lineRule="auto"/>
              <w:ind w:left="218" w:right="0"/>
              <w:rPr>
                <w:rFonts w:hint="default"/>
              </w:rPr>
            </w:pPr>
            <w:r>
              <w:rPr>
                <w:rFonts w:hint="default"/>
                <w:spacing w:val="-2"/>
              </w:rPr>
              <w:t>无资料</w:t>
            </w:r>
          </w:p>
        </w:tc>
        <w:tc>
          <w:tcPr>
            <w:tcW w:w="1397" w:type="dxa"/>
            <w:gridSpan w:val="2"/>
            <w:vAlign w:val="top"/>
          </w:tcPr>
          <w:p w14:paraId="0C10C055">
            <w:pPr>
              <w:pStyle w:val="22"/>
              <w:keepNext w:val="0"/>
              <w:keepLines w:val="0"/>
              <w:suppressLineNumbers w:val="0"/>
              <w:spacing w:before="206" w:beforeAutospacing="0" w:after="0" w:afterAutospacing="0" w:line="183" w:lineRule="auto"/>
              <w:ind w:left="405" w:right="0"/>
              <w:rPr>
                <w:rFonts w:hint="default"/>
              </w:rPr>
            </w:pPr>
            <w:r>
              <w:rPr>
                <w:rFonts w:hint="default"/>
                <w:spacing w:val="-3"/>
              </w:rPr>
              <w:t>1250.5</w:t>
            </w:r>
          </w:p>
        </w:tc>
        <w:tc>
          <w:tcPr>
            <w:tcW w:w="818" w:type="dxa"/>
            <w:gridSpan w:val="2"/>
            <w:vMerge w:val="restart"/>
            <w:tcBorders>
              <w:bottom w:val="nil"/>
            </w:tcBorders>
            <w:vAlign w:val="top"/>
          </w:tcPr>
          <w:p w14:paraId="04CE2E47">
            <w:pPr>
              <w:keepNext w:val="0"/>
              <w:keepLines w:val="0"/>
              <w:suppressLineNumbers w:val="0"/>
              <w:spacing w:before="0" w:beforeAutospacing="0" w:after="0" w:afterAutospacing="0" w:line="415" w:lineRule="auto"/>
              <w:ind w:left="0" w:right="0"/>
              <w:rPr>
                <w:rFonts w:hint="default" w:ascii="Arial"/>
                <w:sz w:val="21"/>
              </w:rPr>
            </w:pPr>
          </w:p>
          <w:p w14:paraId="34DF55A3">
            <w:pPr>
              <w:pStyle w:val="22"/>
              <w:keepNext w:val="0"/>
              <w:keepLines w:val="0"/>
              <w:suppressLineNumbers w:val="0"/>
              <w:spacing w:before="68" w:beforeAutospacing="0" w:after="0" w:afterAutospacing="0" w:line="182" w:lineRule="auto"/>
              <w:ind w:left="316" w:right="0"/>
              <w:rPr>
                <w:rFonts w:hint="default"/>
              </w:rPr>
            </w:pPr>
            <w:r>
              <w:rPr>
                <w:rFonts w:hint="default"/>
                <w:spacing w:val="-4"/>
              </w:rPr>
              <w:t>70</w:t>
            </w:r>
          </w:p>
        </w:tc>
        <w:tc>
          <w:tcPr>
            <w:tcW w:w="712" w:type="dxa"/>
            <w:gridSpan w:val="2"/>
            <w:vMerge w:val="restart"/>
            <w:tcBorders>
              <w:bottom w:val="nil"/>
            </w:tcBorders>
            <w:vAlign w:val="top"/>
          </w:tcPr>
          <w:p w14:paraId="428953DE">
            <w:pPr>
              <w:keepNext w:val="0"/>
              <w:keepLines w:val="0"/>
              <w:suppressLineNumbers w:val="0"/>
              <w:spacing w:before="0" w:beforeAutospacing="0" w:after="0" w:afterAutospacing="0" w:line="245" w:lineRule="auto"/>
              <w:ind w:left="0" w:right="0"/>
              <w:rPr>
                <w:rFonts w:hint="default" w:ascii="Arial"/>
                <w:sz w:val="21"/>
              </w:rPr>
            </w:pPr>
          </w:p>
          <w:p w14:paraId="62AB9043">
            <w:pPr>
              <w:pStyle w:val="22"/>
              <w:keepNext w:val="0"/>
              <w:keepLines w:val="0"/>
              <w:suppressLineNumbers w:val="0"/>
              <w:spacing w:before="68" w:beforeAutospacing="0" w:after="0" w:afterAutospacing="0" w:line="229" w:lineRule="auto"/>
              <w:ind w:left="258" w:right="139" w:hanging="103"/>
              <w:rPr>
                <w:rFonts w:hint="default"/>
              </w:rPr>
            </w:pPr>
            <w:r>
              <w:rPr>
                <w:rFonts w:hint="default"/>
                <w:spacing w:val="-3"/>
              </w:rPr>
              <w:t>2#仓</w:t>
            </w:r>
            <w:r>
              <w:rPr>
                <w:rFonts w:hint="default"/>
              </w:rPr>
              <w:t xml:space="preserve"> 库</w:t>
            </w:r>
          </w:p>
        </w:tc>
        <w:tc>
          <w:tcPr>
            <w:tcW w:w="629" w:type="dxa"/>
            <w:gridSpan w:val="2"/>
            <w:vMerge w:val="restart"/>
            <w:tcBorders>
              <w:bottom w:val="nil"/>
            </w:tcBorders>
            <w:textDirection w:val="tbRlV"/>
            <w:vAlign w:val="top"/>
          </w:tcPr>
          <w:p w14:paraId="0FB4FC4B">
            <w:pPr>
              <w:pStyle w:val="22"/>
              <w:keepNext w:val="0"/>
              <w:keepLines w:val="0"/>
              <w:suppressLineNumbers w:val="0"/>
              <w:spacing w:before="204" w:beforeAutospacing="0" w:after="0" w:afterAutospacing="0" w:line="209" w:lineRule="auto"/>
              <w:ind w:left="313" w:right="0"/>
              <w:rPr>
                <w:rFonts w:hint="default"/>
              </w:rPr>
            </w:pPr>
            <w:r>
              <w:rPr>
                <w:rFonts w:hint="default"/>
                <w:spacing w:val="31"/>
              </w:rPr>
              <w:t>桶装</w:t>
            </w:r>
          </w:p>
        </w:tc>
        <w:tc>
          <w:tcPr>
            <w:tcW w:w="703" w:type="dxa"/>
            <w:gridSpan w:val="2"/>
            <w:vMerge w:val="restart"/>
            <w:tcBorders>
              <w:bottom w:val="nil"/>
            </w:tcBorders>
            <w:vAlign w:val="top"/>
          </w:tcPr>
          <w:p w14:paraId="1E5B7889">
            <w:pPr>
              <w:keepNext w:val="0"/>
              <w:keepLines w:val="0"/>
              <w:suppressLineNumbers w:val="0"/>
              <w:spacing w:before="0" w:beforeAutospacing="0" w:after="0" w:afterAutospacing="0" w:line="380" w:lineRule="auto"/>
              <w:ind w:left="0" w:right="0"/>
              <w:rPr>
                <w:rFonts w:hint="default" w:ascii="Arial"/>
                <w:sz w:val="21"/>
              </w:rPr>
            </w:pPr>
          </w:p>
          <w:p w14:paraId="7D133A80">
            <w:pPr>
              <w:pStyle w:val="22"/>
              <w:keepNext w:val="0"/>
              <w:keepLines w:val="0"/>
              <w:suppressLineNumbers w:val="0"/>
              <w:spacing w:before="68"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45899628">
            <w:pPr>
              <w:pStyle w:val="22"/>
              <w:keepNext w:val="0"/>
              <w:keepLines w:val="0"/>
              <w:suppressLineNumbers w:val="0"/>
              <w:spacing w:before="34" w:beforeAutospacing="0" w:after="0" w:afterAutospacing="0" w:line="222"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剥离液1</w:t>
            </w:r>
          </w:p>
        </w:tc>
      </w:tr>
      <w:tr w14:paraId="5C97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1" w:type="dxa"/>
            <w:gridSpan w:val="2"/>
            <w:vMerge w:val="continue"/>
            <w:tcBorders>
              <w:top w:val="nil"/>
            </w:tcBorders>
            <w:vAlign w:val="top"/>
          </w:tcPr>
          <w:p w14:paraId="38E7C694">
            <w:pPr>
              <w:keepNext w:val="0"/>
              <w:keepLines w:val="0"/>
              <w:suppressLineNumbers w:val="0"/>
              <w:spacing w:before="0" w:beforeAutospacing="0" w:after="0" w:afterAutospacing="0"/>
              <w:ind w:left="0" w:right="0"/>
              <w:rPr>
                <w:rFonts w:hint="default" w:ascii="Arial"/>
                <w:sz w:val="21"/>
              </w:rPr>
            </w:pPr>
          </w:p>
        </w:tc>
        <w:tc>
          <w:tcPr>
            <w:tcW w:w="1163" w:type="dxa"/>
            <w:gridSpan w:val="2"/>
            <w:vMerge w:val="continue"/>
            <w:tcBorders>
              <w:top w:val="nil"/>
            </w:tcBorders>
            <w:vAlign w:val="top"/>
          </w:tcPr>
          <w:p w14:paraId="54244E8A">
            <w:pPr>
              <w:keepNext w:val="0"/>
              <w:keepLines w:val="0"/>
              <w:suppressLineNumbers w:val="0"/>
              <w:spacing w:before="0" w:beforeAutospacing="0" w:after="0" w:afterAutospacing="0"/>
              <w:ind w:left="0" w:right="0"/>
              <w:rPr>
                <w:rFonts w:hint="default" w:ascii="Arial"/>
                <w:sz w:val="21"/>
              </w:rPr>
            </w:pPr>
          </w:p>
        </w:tc>
        <w:tc>
          <w:tcPr>
            <w:tcW w:w="933" w:type="dxa"/>
            <w:vMerge w:val="continue"/>
            <w:tcBorders>
              <w:top w:val="nil"/>
            </w:tcBorders>
            <w:vAlign w:val="top"/>
          </w:tcPr>
          <w:p w14:paraId="677B9DD8">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tcBorders>
            <w:vAlign w:val="top"/>
          </w:tcPr>
          <w:p w14:paraId="10D29906">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tcBorders>
            <w:vAlign w:val="top"/>
          </w:tcPr>
          <w:p w14:paraId="16035CB7">
            <w:pPr>
              <w:keepNext w:val="0"/>
              <w:keepLines w:val="0"/>
              <w:suppressLineNumbers w:val="0"/>
              <w:spacing w:before="0" w:beforeAutospacing="0" w:after="0" w:afterAutospacing="0"/>
              <w:ind w:left="0" w:right="0"/>
              <w:rPr>
                <w:rFonts w:hint="default" w:ascii="Arial"/>
                <w:sz w:val="21"/>
              </w:rPr>
            </w:pPr>
          </w:p>
        </w:tc>
        <w:tc>
          <w:tcPr>
            <w:tcW w:w="1397" w:type="dxa"/>
            <w:gridSpan w:val="2"/>
            <w:vAlign w:val="top"/>
          </w:tcPr>
          <w:p w14:paraId="2A2EC728">
            <w:pPr>
              <w:pStyle w:val="22"/>
              <w:keepNext w:val="0"/>
              <w:keepLines w:val="0"/>
              <w:suppressLineNumbers w:val="0"/>
              <w:spacing w:before="207" w:beforeAutospacing="0" w:after="0" w:afterAutospacing="0" w:line="182" w:lineRule="auto"/>
              <w:ind w:left="392" w:right="0"/>
              <w:rPr>
                <w:rFonts w:hint="default"/>
              </w:rPr>
            </w:pPr>
            <w:r>
              <w:rPr>
                <w:rFonts w:hint="default"/>
                <w:spacing w:val="-1"/>
              </w:rPr>
              <w:t>2250.5</w:t>
            </w:r>
          </w:p>
        </w:tc>
        <w:tc>
          <w:tcPr>
            <w:tcW w:w="818" w:type="dxa"/>
            <w:gridSpan w:val="2"/>
            <w:vMerge w:val="continue"/>
            <w:tcBorders>
              <w:top w:val="nil"/>
            </w:tcBorders>
            <w:vAlign w:val="top"/>
          </w:tcPr>
          <w:p w14:paraId="7B7E1B6C">
            <w:pPr>
              <w:keepNext w:val="0"/>
              <w:keepLines w:val="0"/>
              <w:suppressLineNumbers w:val="0"/>
              <w:spacing w:before="0" w:beforeAutospacing="0" w:after="0" w:afterAutospacing="0"/>
              <w:ind w:left="0" w:right="0"/>
              <w:rPr>
                <w:rFonts w:hint="default" w:ascii="Arial"/>
                <w:sz w:val="21"/>
              </w:rPr>
            </w:pPr>
          </w:p>
        </w:tc>
        <w:tc>
          <w:tcPr>
            <w:tcW w:w="712" w:type="dxa"/>
            <w:gridSpan w:val="2"/>
            <w:vMerge w:val="continue"/>
            <w:tcBorders>
              <w:top w:val="nil"/>
            </w:tcBorders>
            <w:vAlign w:val="top"/>
          </w:tcPr>
          <w:p w14:paraId="2EF21448">
            <w:pPr>
              <w:keepNext w:val="0"/>
              <w:keepLines w:val="0"/>
              <w:suppressLineNumbers w:val="0"/>
              <w:spacing w:before="0" w:beforeAutospacing="0" w:after="0" w:afterAutospacing="0"/>
              <w:ind w:left="0" w:right="0"/>
              <w:rPr>
                <w:rFonts w:hint="default" w:ascii="Arial"/>
                <w:sz w:val="21"/>
              </w:rPr>
            </w:pPr>
          </w:p>
        </w:tc>
        <w:tc>
          <w:tcPr>
            <w:tcW w:w="629" w:type="dxa"/>
            <w:gridSpan w:val="2"/>
            <w:vMerge w:val="continue"/>
            <w:tcBorders>
              <w:top w:val="nil"/>
            </w:tcBorders>
            <w:textDirection w:val="tbRlV"/>
            <w:vAlign w:val="top"/>
          </w:tcPr>
          <w:p w14:paraId="3CFB019F">
            <w:pPr>
              <w:keepNext w:val="0"/>
              <w:keepLines w:val="0"/>
              <w:suppressLineNumbers w:val="0"/>
              <w:spacing w:before="0" w:beforeAutospacing="0" w:after="0" w:afterAutospacing="0"/>
              <w:ind w:left="0" w:right="0"/>
              <w:rPr>
                <w:rFonts w:hint="default" w:ascii="Arial"/>
                <w:sz w:val="21"/>
              </w:rPr>
            </w:pPr>
          </w:p>
        </w:tc>
        <w:tc>
          <w:tcPr>
            <w:tcW w:w="703" w:type="dxa"/>
            <w:gridSpan w:val="2"/>
            <w:vMerge w:val="continue"/>
            <w:tcBorders>
              <w:top w:val="nil"/>
            </w:tcBorders>
            <w:vAlign w:val="top"/>
          </w:tcPr>
          <w:p w14:paraId="08CC8EF3">
            <w:pPr>
              <w:keepNext w:val="0"/>
              <w:keepLines w:val="0"/>
              <w:suppressLineNumbers w:val="0"/>
              <w:spacing w:before="0" w:beforeAutospacing="0" w:after="0" w:afterAutospacing="0"/>
              <w:ind w:left="0" w:right="0"/>
              <w:rPr>
                <w:rFonts w:hint="default" w:ascii="Arial"/>
                <w:sz w:val="21"/>
              </w:rPr>
            </w:pPr>
          </w:p>
        </w:tc>
        <w:tc>
          <w:tcPr>
            <w:tcW w:w="1058" w:type="dxa"/>
            <w:gridSpan w:val="2"/>
            <w:vAlign w:val="top"/>
          </w:tcPr>
          <w:p w14:paraId="200B6244">
            <w:pPr>
              <w:pStyle w:val="22"/>
              <w:keepNext w:val="0"/>
              <w:keepLines w:val="0"/>
              <w:suppressLineNumbers w:val="0"/>
              <w:spacing w:before="33" w:beforeAutospacing="0" w:after="0" w:afterAutospacing="0" w:line="222"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剥离液2</w:t>
            </w:r>
          </w:p>
        </w:tc>
      </w:tr>
      <w:tr w14:paraId="446DE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71" w:type="dxa"/>
            <w:gridSpan w:val="2"/>
            <w:vAlign w:val="top"/>
          </w:tcPr>
          <w:p w14:paraId="400314E8">
            <w:pPr>
              <w:keepNext w:val="0"/>
              <w:keepLines w:val="0"/>
              <w:suppressLineNumbers w:val="0"/>
              <w:spacing w:before="0" w:beforeAutospacing="0" w:after="0" w:afterAutospacing="0" w:line="274" w:lineRule="auto"/>
              <w:ind w:left="0" w:right="0"/>
              <w:rPr>
                <w:rFonts w:hint="default" w:ascii="Arial"/>
                <w:sz w:val="21"/>
              </w:rPr>
            </w:pPr>
          </w:p>
          <w:p w14:paraId="30230E4D">
            <w:pPr>
              <w:pStyle w:val="22"/>
              <w:keepNext w:val="0"/>
              <w:keepLines w:val="0"/>
              <w:suppressLineNumbers w:val="0"/>
              <w:spacing w:before="68" w:beforeAutospacing="0" w:after="0" w:afterAutospacing="0" w:line="182" w:lineRule="auto"/>
              <w:ind w:left="192" w:right="0"/>
              <w:rPr>
                <w:rFonts w:hint="default"/>
              </w:rPr>
            </w:pPr>
            <w:r>
              <w:rPr>
                <w:rFonts w:hint="default"/>
              </w:rPr>
              <w:t>3</w:t>
            </w:r>
          </w:p>
        </w:tc>
        <w:tc>
          <w:tcPr>
            <w:tcW w:w="1163" w:type="dxa"/>
            <w:gridSpan w:val="2"/>
            <w:vAlign w:val="top"/>
          </w:tcPr>
          <w:p w14:paraId="69BCD176">
            <w:pPr>
              <w:pStyle w:val="22"/>
              <w:keepNext w:val="0"/>
              <w:keepLines w:val="0"/>
              <w:suppressLineNumbers w:val="0"/>
              <w:spacing w:before="38" w:beforeAutospacing="0" w:after="0" w:afterAutospacing="0" w:line="221" w:lineRule="auto"/>
              <w:ind w:left="188" w:right="0"/>
              <w:rPr>
                <w:rFonts w:hint="default"/>
              </w:rPr>
            </w:pPr>
            <w:r>
              <w:rPr>
                <w:rFonts w:hint="default"/>
                <w:spacing w:val="-8"/>
              </w:rPr>
              <w:t>电子级甲</w:t>
            </w:r>
          </w:p>
          <w:p w14:paraId="61F1EE5A">
            <w:pPr>
              <w:pStyle w:val="22"/>
              <w:keepNext w:val="0"/>
              <w:keepLines w:val="0"/>
              <w:suppressLineNumbers w:val="0"/>
              <w:spacing w:before="19" w:beforeAutospacing="0" w:after="0" w:afterAutospacing="0" w:line="221" w:lineRule="auto"/>
              <w:ind w:left="163" w:right="0"/>
              <w:rPr>
                <w:rFonts w:hint="default"/>
              </w:rPr>
            </w:pPr>
            <w:r>
              <w:rPr>
                <w:rFonts w:hint="default"/>
                <w:spacing w:val="-2"/>
              </w:rPr>
              <w:t>基吡咯烷</w:t>
            </w:r>
          </w:p>
          <w:p w14:paraId="5D0FE652">
            <w:pPr>
              <w:pStyle w:val="22"/>
              <w:keepNext w:val="0"/>
              <w:keepLines w:val="0"/>
              <w:suppressLineNumbers w:val="0"/>
              <w:spacing w:before="21" w:beforeAutospacing="0" w:after="0" w:afterAutospacing="0" w:line="203" w:lineRule="auto"/>
              <w:ind w:left="480" w:right="0"/>
              <w:rPr>
                <w:rFonts w:hint="default"/>
              </w:rPr>
            </w:pPr>
            <w:r>
              <w:rPr>
                <w:rFonts w:hint="default"/>
              </w:rPr>
              <w:t>酮</w:t>
            </w:r>
          </w:p>
        </w:tc>
        <w:tc>
          <w:tcPr>
            <w:tcW w:w="933" w:type="dxa"/>
            <w:vAlign w:val="top"/>
          </w:tcPr>
          <w:p w14:paraId="274AD246">
            <w:pPr>
              <w:keepNext w:val="0"/>
              <w:keepLines w:val="0"/>
              <w:suppressLineNumbers w:val="0"/>
              <w:spacing w:before="0" w:beforeAutospacing="0" w:after="0" w:afterAutospacing="0" w:line="271" w:lineRule="auto"/>
              <w:ind w:left="0" w:right="0"/>
              <w:rPr>
                <w:rFonts w:hint="default" w:ascii="Arial"/>
                <w:sz w:val="21"/>
              </w:rPr>
            </w:pPr>
          </w:p>
          <w:p w14:paraId="4BA20027">
            <w:pPr>
              <w:pStyle w:val="22"/>
              <w:keepNext w:val="0"/>
              <w:keepLines w:val="0"/>
              <w:suppressLineNumbers w:val="0"/>
              <w:spacing w:before="68" w:beforeAutospacing="0" w:after="0" w:afterAutospacing="0" w:line="185" w:lineRule="auto"/>
              <w:ind w:left="216" w:right="0"/>
              <w:rPr>
                <w:rFonts w:hint="default"/>
              </w:rPr>
            </w:pPr>
            <w:r>
              <w:rPr>
                <w:rFonts w:hint="default"/>
                <w:spacing w:val="-3"/>
              </w:rPr>
              <w:t>&gt;99.7</w:t>
            </w:r>
          </w:p>
        </w:tc>
        <w:tc>
          <w:tcPr>
            <w:tcW w:w="468" w:type="dxa"/>
            <w:vAlign w:val="top"/>
          </w:tcPr>
          <w:p w14:paraId="45C01F91">
            <w:pPr>
              <w:pStyle w:val="22"/>
              <w:keepNext w:val="0"/>
              <w:keepLines w:val="0"/>
              <w:suppressLineNumbers w:val="0"/>
              <w:spacing w:before="309" w:beforeAutospacing="0" w:after="0" w:afterAutospacing="0" w:line="221" w:lineRule="auto"/>
              <w:ind w:left="133" w:right="0"/>
              <w:rPr>
                <w:rFonts w:hint="default"/>
              </w:rPr>
            </w:pPr>
            <w:r>
              <w:rPr>
                <w:rFonts w:hint="default"/>
              </w:rPr>
              <w:t>液</w:t>
            </w:r>
          </w:p>
        </w:tc>
        <w:tc>
          <w:tcPr>
            <w:tcW w:w="1055" w:type="dxa"/>
            <w:vAlign w:val="top"/>
          </w:tcPr>
          <w:p w14:paraId="7B26D5FC">
            <w:pPr>
              <w:pStyle w:val="22"/>
              <w:keepNext w:val="0"/>
              <w:keepLines w:val="0"/>
              <w:suppressLineNumbers w:val="0"/>
              <w:spacing w:before="309" w:beforeAutospacing="0" w:after="0" w:afterAutospacing="0" w:line="221" w:lineRule="auto"/>
              <w:ind w:left="218" w:right="0"/>
              <w:rPr>
                <w:rFonts w:hint="default"/>
              </w:rPr>
            </w:pPr>
            <w:r>
              <w:rPr>
                <w:rFonts w:hint="default"/>
                <w:spacing w:val="-2"/>
              </w:rPr>
              <w:t>无资料</w:t>
            </w:r>
          </w:p>
        </w:tc>
        <w:tc>
          <w:tcPr>
            <w:tcW w:w="1397" w:type="dxa"/>
            <w:gridSpan w:val="2"/>
            <w:vAlign w:val="top"/>
          </w:tcPr>
          <w:p w14:paraId="0AA33171">
            <w:pPr>
              <w:keepNext w:val="0"/>
              <w:keepLines w:val="0"/>
              <w:suppressLineNumbers w:val="0"/>
              <w:spacing w:before="0" w:beforeAutospacing="0" w:after="0" w:afterAutospacing="0" w:line="274" w:lineRule="auto"/>
              <w:ind w:left="0" w:right="0"/>
              <w:rPr>
                <w:rFonts w:hint="default" w:ascii="Arial"/>
                <w:sz w:val="21"/>
              </w:rPr>
            </w:pPr>
          </w:p>
          <w:p w14:paraId="1568655E">
            <w:pPr>
              <w:pStyle w:val="22"/>
              <w:keepNext w:val="0"/>
              <w:keepLines w:val="0"/>
              <w:suppressLineNumbers w:val="0"/>
              <w:spacing w:before="68" w:beforeAutospacing="0" w:after="0" w:afterAutospacing="0" w:line="182" w:lineRule="auto"/>
              <w:ind w:left="447" w:right="0"/>
              <w:rPr>
                <w:rFonts w:hint="default"/>
              </w:rPr>
            </w:pPr>
            <w:r>
              <w:rPr>
                <w:rFonts w:hint="default"/>
                <w:spacing w:val="-2"/>
              </w:rPr>
              <w:t>500.5</w:t>
            </w:r>
          </w:p>
        </w:tc>
        <w:tc>
          <w:tcPr>
            <w:tcW w:w="818" w:type="dxa"/>
            <w:gridSpan w:val="2"/>
            <w:vAlign w:val="top"/>
          </w:tcPr>
          <w:p w14:paraId="24C24D6A">
            <w:pPr>
              <w:keepNext w:val="0"/>
              <w:keepLines w:val="0"/>
              <w:suppressLineNumbers w:val="0"/>
              <w:spacing w:before="0" w:beforeAutospacing="0" w:after="0" w:afterAutospacing="0" w:line="273" w:lineRule="auto"/>
              <w:ind w:left="0" w:right="0"/>
              <w:rPr>
                <w:rFonts w:hint="default" w:ascii="Arial"/>
                <w:sz w:val="21"/>
              </w:rPr>
            </w:pPr>
          </w:p>
          <w:p w14:paraId="138BAAF3">
            <w:pPr>
              <w:pStyle w:val="22"/>
              <w:keepNext w:val="0"/>
              <w:keepLines w:val="0"/>
              <w:suppressLineNumbers w:val="0"/>
              <w:spacing w:before="68" w:beforeAutospacing="0" w:after="0" w:afterAutospacing="0" w:line="183" w:lineRule="auto"/>
              <w:ind w:left="326" w:right="0"/>
              <w:rPr>
                <w:rFonts w:hint="default"/>
              </w:rPr>
            </w:pPr>
            <w:r>
              <w:rPr>
                <w:rFonts w:hint="default"/>
                <w:spacing w:val="-6"/>
              </w:rPr>
              <w:t>10</w:t>
            </w:r>
          </w:p>
        </w:tc>
        <w:tc>
          <w:tcPr>
            <w:tcW w:w="712" w:type="dxa"/>
            <w:gridSpan w:val="2"/>
            <w:vAlign w:val="top"/>
          </w:tcPr>
          <w:p w14:paraId="2894697A">
            <w:pPr>
              <w:pStyle w:val="22"/>
              <w:keepNext w:val="0"/>
              <w:keepLines w:val="0"/>
              <w:suppressLineNumbers w:val="0"/>
              <w:spacing w:before="171" w:beforeAutospacing="0" w:after="0" w:afterAutospacing="0" w:line="231"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6857F902">
            <w:pPr>
              <w:pStyle w:val="22"/>
              <w:keepNext w:val="0"/>
              <w:keepLines w:val="0"/>
              <w:suppressLineNumbers w:val="0"/>
              <w:spacing w:before="204" w:beforeAutospacing="0" w:after="0" w:afterAutospacing="0" w:line="209" w:lineRule="auto"/>
              <w:ind w:left="172" w:right="0"/>
              <w:rPr>
                <w:rFonts w:hint="default"/>
              </w:rPr>
            </w:pPr>
            <w:r>
              <w:rPr>
                <w:rFonts w:hint="default"/>
                <w:spacing w:val="1"/>
              </w:rPr>
              <w:t>桶</w:t>
            </w:r>
            <w:r>
              <w:rPr>
                <w:rFonts w:hint="default"/>
                <w:spacing w:val="-43"/>
              </w:rPr>
              <w:t xml:space="preserve"> </w:t>
            </w:r>
            <w:r>
              <w:rPr>
                <w:rFonts w:hint="default"/>
                <w:spacing w:val="1"/>
              </w:rPr>
              <w:t>装</w:t>
            </w:r>
          </w:p>
        </w:tc>
        <w:tc>
          <w:tcPr>
            <w:tcW w:w="703" w:type="dxa"/>
            <w:gridSpan w:val="2"/>
            <w:vAlign w:val="top"/>
          </w:tcPr>
          <w:p w14:paraId="0FE26004">
            <w:pPr>
              <w:pStyle w:val="22"/>
              <w:keepNext w:val="0"/>
              <w:keepLines w:val="0"/>
              <w:suppressLineNumbers w:val="0"/>
              <w:spacing w:before="309"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4B37D645">
            <w:pPr>
              <w:pStyle w:val="22"/>
              <w:keepNext w:val="0"/>
              <w:keepLines w:val="0"/>
              <w:suppressLineNumbers w:val="0"/>
              <w:spacing w:before="171" w:beforeAutospacing="0" w:after="0" w:afterAutospacing="0" w:line="231"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剥离液1</w:t>
            </w:r>
          </w:p>
        </w:tc>
      </w:tr>
      <w:tr w14:paraId="209E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1" w:type="dxa"/>
            <w:gridSpan w:val="2"/>
            <w:vAlign w:val="top"/>
          </w:tcPr>
          <w:p w14:paraId="4B5B859A">
            <w:pPr>
              <w:pStyle w:val="22"/>
              <w:keepNext w:val="0"/>
              <w:keepLines w:val="0"/>
              <w:suppressLineNumbers w:val="0"/>
              <w:spacing w:before="207" w:beforeAutospacing="0" w:after="0" w:afterAutospacing="0" w:line="182" w:lineRule="auto"/>
              <w:ind w:left="187" w:right="0"/>
              <w:rPr>
                <w:rFonts w:hint="default"/>
              </w:rPr>
            </w:pPr>
            <w:r>
              <w:rPr>
                <w:rFonts w:hint="default"/>
              </w:rPr>
              <w:t>4</w:t>
            </w:r>
          </w:p>
        </w:tc>
        <w:tc>
          <w:tcPr>
            <w:tcW w:w="1163" w:type="dxa"/>
            <w:gridSpan w:val="2"/>
            <w:vAlign w:val="top"/>
          </w:tcPr>
          <w:p w14:paraId="5E910A5F">
            <w:pPr>
              <w:pStyle w:val="22"/>
              <w:keepNext w:val="0"/>
              <w:keepLines w:val="0"/>
              <w:suppressLineNumbers w:val="0"/>
              <w:spacing w:before="34" w:beforeAutospacing="0" w:after="0" w:afterAutospacing="0" w:line="224" w:lineRule="auto"/>
              <w:ind w:left="168" w:right="159" w:firstLine="20"/>
              <w:rPr>
                <w:rFonts w:hint="default"/>
              </w:rPr>
            </w:pPr>
            <w:r>
              <w:rPr>
                <w:rFonts w:hint="default"/>
                <w:spacing w:val="-8"/>
              </w:rPr>
              <w:t>电子级二</w:t>
            </w:r>
            <w:r>
              <w:rPr>
                <w:rFonts w:hint="default"/>
              </w:rPr>
              <w:t xml:space="preserve"> </w:t>
            </w:r>
            <w:r>
              <w:rPr>
                <w:rFonts w:hint="default"/>
                <w:spacing w:val="-3"/>
              </w:rPr>
              <w:t>丙二醇单</w:t>
            </w:r>
          </w:p>
        </w:tc>
        <w:tc>
          <w:tcPr>
            <w:tcW w:w="933" w:type="dxa"/>
            <w:vAlign w:val="top"/>
          </w:tcPr>
          <w:p w14:paraId="770102F9">
            <w:pPr>
              <w:pStyle w:val="22"/>
              <w:keepNext w:val="0"/>
              <w:keepLines w:val="0"/>
              <w:suppressLineNumbers w:val="0"/>
              <w:spacing w:before="204" w:beforeAutospacing="0" w:after="0" w:afterAutospacing="0" w:line="185" w:lineRule="auto"/>
              <w:ind w:left="216" w:right="0"/>
              <w:rPr>
                <w:rFonts w:hint="default"/>
              </w:rPr>
            </w:pPr>
            <w:r>
              <w:rPr>
                <w:rFonts w:hint="default"/>
                <w:spacing w:val="-3"/>
              </w:rPr>
              <w:t>&gt;99.7</w:t>
            </w:r>
          </w:p>
        </w:tc>
        <w:tc>
          <w:tcPr>
            <w:tcW w:w="468" w:type="dxa"/>
            <w:vAlign w:val="top"/>
          </w:tcPr>
          <w:p w14:paraId="3B79610E">
            <w:pPr>
              <w:pStyle w:val="22"/>
              <w:keepNext w:val="0"/>
              <w:keepLines w:val="0"/>
              <w:suppressLineNumbers w:val="0"/>
              <w:spacing w:before="172" w:beforeAutospacing="0" w:after="0" w:afterAutospacing="0" w:line="221" w:lineRule="auto"/>
              <w:ind w:left="133" w:right="0"/>
              <w:rPr>
                <w:rFonts w:hint="default"/>
              </w:rPr>
            </w:pPr>
            <w:r>
              <w:rPr>
                <w:rFonts w:hint="default"/>
              </w:rPr>
              <w:t>液</w:t>
            </w:r>
          </w:p>
        </w:tc>
        <w:tc>
          <w:tcPr>
            <w:tcW w:w="1055" w:type="dxa"/>
            <w:vAlign w:val="top"/>
          </w:tcPr>
          <w:p w14:paraId="6A09B1FE">
            <w:pPr>
              <w:pStyle w:val="22"/>
              <w:keepNext w:val="0"/>
              <w:keepLines w:val="0"/>
              <w:suppressLineNumbers w:val="0"/>
              <w:spacing w:before="172" w:beforeAutospacing="0" w:after="0" w:afterAutospacing="0" w:line="221" w:lineRule="auto"/>
              <w:ind w:left="218" w:right="0"/>
              <w:rPr>
                <w:rFonts w:hint="default"/>
              </w:rPr>
            </w:pPr>
            <w:r>
              <w:rPr>
                <w:rFonts w:hint="default"/>
                <w:spacing w:val="-2"/>
              </w:rPr>
              <w:t>无资料</w:t>
            </w:r>
          </w:p>
        </w:tc>
        <w:tc>
          <w:tcPr>
            <w:tcW w:w="1397" w:type="dxa"/>
            <w:gridSpan w:val="2"/>
            <w:vAlign w:val="top"/>
          </w:tcPr>
          <w:p w14:paraId="3E244FAC">
            <w:pPr>
              <w:pStyle w:val="22"/>
              <w:keepNext w:val="0"/>
              <w:keepLines w:val="0"/>
              <w:suppressLineNumbers w:val="0"/>
              <w:spacing w:before="206" w:beforeAutospacing="0" w:after="0" w:afterAutospacing="0" w:line="183" w:lineRule="auto"/>
              <w:ind w:left="405" w:right="0"/>
              <w:rPr>
                <w:rFonts w:hint="default"/>
              </w:rPr>
            </w:pPr>
            <w:r>
              <w:rPr>
                <w:rFonts w:hint="default"/>
                <w:spacing w:val="-3"/>
              </w:rPr>
              <w:t>1250.5</w:t>
            </w:r>
          </w:p>
        </w:tc>
        <w:tc>
          <w:tcPr>
            <w:tcW w:w="818" w:type="dxa"/>
            <w:gridSpan w:val="2"/>
            <w:vAlign w:val="top"/>
          </w:tcPr>
          <w:p w14:paraId="6A9892B8">
            <w:pPr>
              <w:pStyle w:val="22"/>
              <w:keepNext w:val="0"/>
              <w:keepLines w:val="0"/>
              <w:suppressLineNumbers w:val="0"/>
              <w:spacing w:before="207" w:beforeAutospacing="0" w:after="0" w:afterAutospacing="0" w:line="182" w:lineRule="auto"/>
              <w:ind w:left="313" w:right="0"/>
              <w:rPr>
                <w:rFonts w:hint="default"/>
              </w:rPr>
            </w:pPr>
            <w:r>
              <w:rPr>
                <w:rFonts w:hint="default"/>
                <w:spacing w:val="-3"/>
              </w:rPr>
              <w:t>25</w:t>
            </w:r>
          </w:p>
        </w:tc>
        <w:tc>
          <w:tcPr>
            <w:tcW w:w="712" w:type="dxa"/>
            <w:gridSpan w:val="2"/>
            <w:vAlign w:val="top"/>
          </w:tcPr>
          <w:p w14:paraId="3A4D826E">
            <w:pPr>
              <w:pStyle w:val="22"/>
              <w:keepNext w:val="0"/>
              <w:keepLines w:val="0"/>
              <w:suppressLineNumbers w:val="0"/>
              <w:spacing w:before="34" w:beforeAutospacing="0" w:after="0" w:afterAutospacing="0" w:line="224" w:lineRule="auto"/>
              <w:ind w:left="258" w:right="139" w:hanging="103"/>
              <w:rPr>
                <w:rFonts w:hint="default"/>
              </w:rPr>
            </w:pPr>
            <w:r>
              <w:rPr>
                <w:rFonts w:hint="default"/>
                <w:spacing w:val="-3"/>
              </w:rPr>
              <w:t>2#仓</w:t>
            </w:r>
            <w:r>
              <w:rPr>
                <w:rFonts w:hint="default"/>
              </w:rPr>
              <w:t xml:space="preserve"> 库</w:t>
            </w:r>
          </w:p>
        </w:tc>
        <w:tc>
          <w:tcPr>
            <w:tcW w:w="629" w:type="dxa"/>
            <w:gridSpan w:val="2"/>
            <w:textDirection w:val="tbRlV"/>
            <w:vAlign w:val="top"/>
          </w:tcPr>
          <w:p w14:paraId="5C781AF2">
            <w:pPr>
              <w:pStyle w:val="22"/>
              <w:keepNext w:val="0"/>
              <w:keepLines w:val="0"/>
              <w:suppressLineNumbers w:val="0"/>
              <w:spacing w:before="204" w:beforeAutospacing="0" w:after="0" w:afterAutospacing="0" w:line="209" w:lineRule="auto"/>
              <w:ind w:left="35" w:right="0"/>
              <w:rPr>
                <w:rFonts w:hint="default"/>
              </w:rPr>
            </w:pPr>
            <w:r>
              <w:rPr>
                <w:rFonts w:hint="default"/>
                <w:spacing w:val="1"/>
              </w:rPr>
              <w:t>桶</w:t>
            </w:r>
            <w:r>
              <w:rPr>
                <w:rFonts w:hint="default"/>
                <w:spacing w:val="-43"/>
              </w:rPr>
              <w:t xml:space="preserve"> </w:t>
            </w:r>
            <w:r>
              <w:rPr>
                <w:rFonts w:hint="default"/>
                <w:spacing w:val="1"/>
              </w:rPr>
              <w:t>装</w:t>
            </w:r>
          </w:p>
        </w:tc>
        <w:tc>
          <w:tcPr>
            <w:tcW w:w="703" w:type="dxa"/>
            <w:gridSpan w:val="2"/>
            <w:vAlign w:val="top"/>
          </w:tcPr>
          <w:p w14:paraId="63345DF6">
            <w:pPr>
              <w:pStyle w:val="22"/>
              <w:keepNext w:val="0"/>
              <w:keepLines w:val="0"/>
              <w:suppressLineNumbers w:val="0"/>
              <w:spacing w:before="172" w:beforeAutospacing="0" w:after="0" w:afterAutospacing="0" w:line="224" w:lineRule="auto"/>
              <w:ind w:left="149" w:right="0"/>
              <w:rPr>
                <w:rFonts w:hint="default"/>
              </w:rPr>
            </w:pPr>
            <w:r>
              <w:rPr>
                <w:rFonts w:hint="default"/>
                <w:spacing w:val="-2"/>
              </w:rPr>
              <w:t>汽运</w:t>
            </w:r>
          </w:p>
        </w:tc>
        <w:tc>
          <w:tcPr>
            <w:tcW w:w="1058" w:type="dxa"/>
            <w:gridSpan w:val="2"/>
            <w:vAlign w:val="top"/>
          </w:tcPr>
          <w:p w14:paraId="70F25995">
            <w:pPr>
              <w:pStyle w:val="22"/>
              <w:keepNext w:val="0"/>
              <w:keepLines w:val="0"/>
              <w:suppressLineNumbers w:val="0"/>
              <w:spacing w:before="34" w:beforeAutospacing="0" w:after="0" w:afterAutospacing="0" w:line="224"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剥离液2</w:t>
            </w:r>
          </w:p>
        </w:tc>
      </w:tr>
    </w:tbl>
    <w:p w14:paraId="6B1F4D95">
      <w:pPr>
        <w:pStyle w:val="6"/>
      </w:pPr>
    </w:p>
    <w:tbl>
      <w:tblPr>
        <w:tblStyle w:val="21"/>
        <w:tblW w:w="94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1163"/>
        <w:gridCol w:w="934"/>
        <w:gridCol w:w="468"/>
        <w:gridCol w:w="1055"/>
        <w:gridCol w:w="1396"/>
        <w:gridCol w:w="818"/>
        <w:gridCol w:w="712"/>
        <w:gridCol w:w="629"/>
        <w:gridCol w:w="703"/>
        <w:gridCol w:w="1058"/>
      </w:tblGrid>
      <w:tr w14:paraId="6FC51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jc w:val="center"/>
        </w:trPr>
        <w:tc>
          <w:tcPr>
            <w:tcW w:w="470" w:type="dxa"/>
            <w:textDirection w:val="tbRlV"/>
            <w:vAlign w:val="top"/>
          </w:tcPr>
          <w:p w14:paraId="5A0139AA">
            <w:pPr>
              <w:pStyle w:val="22"/>
              <w:keepNext w:val="0"/>
              <w:keepLines w:val="0"/>
              <w:suppressLineNumbers w:val="0"/>
              <w:spacing w:before="126" w:beforeAutospacing="0" w:after="0" w:afterAutospacing="0" w:line="211" w:lineRule="auto"/>
              <w:ind w:left="305" w:right="0"/>
              <w:rPr>
                <w:rFonts w:hint="default"/>
              </w:rPr>
            </w:pPr>
            <w:r>
              <w:rPr>
                <w:rFonts w:hint="default"/>
                <w:spacing w:val="1"/>
              </w:rPr>
              <w:t>序</w:t>
            </w:r>
            <w:r>
              <w:rPr>
                <w:rFonts w:hint="default"/>
                <w:spacing w:val="-43"/>
              </w:rPr>
              <w:t xml:space="preserve"> </w:t>
            </w:r>
            <w:r>
              <w:rPr>
                <w:rFonts w:hint="default"/>
                <w:spacing w:val="1"/>
              </w:rPr>
              <w:t>号</w:t>
            </w:r>
          </w:p>
        </w:tc>
        <w:tc>
          <w:tcPr>
            <w:tcW w:w="1163" w:type="dxa"/>
            <w:vAlign w:val="top"/>
          </w:tcPr>
          <w:p w14:paraId="44EE1D6A">
            <w:pPr>
              <w:pStyle w:val="22"/>
              <w:keepNext w:val="0"/>
              <w:keepLines w:val="0"/>
              <w:suppressLineNumbers w:val="0"/>
              <w:spacing w:before="304" w:beforeAutospacing="0" w:after="0" w:afterAutospacing="0" w:line="231" w:lineRule="auto"/>
              <w:ind w:left="475" w:right="161" w:hanging="311"/>
              <w:rPr>
                <w:rFonts w:hint="default"/>
              </w:rPr>
            </w:pPr>
            <w:r>
              <w:rPr>
                <w:rFonts w:hint="default"/>
                <w:spacing w:val="-3"/>
              </w:rPr>
              <w:t>名称及规</w:t>
            </w:r>
            <w:r>
              <w:rPr>
                <w:rFonts w:hint="default"/>
                <w:spacing w:val="2"/>
              </w:rPr>
              <w:t xml:space="preserve"> </w:t>
            </w:r>
            <w:r>
              <w:rPr>
                <w:rFonts w:hint="default"/>
              </w:rPr>
              <w:t>格</w:t>
            </w:r>
          </w:p>
        </w:tc>
        <w:tc>
          <w:tcPr>
            <w:tcW w:w="934" w:type="dxa"/>
            <w:vAlign w:val="top"/>
          </w:tcPr>
          <w:p w14:paraId="1E2FB5BD">
            <w:pPr>
              <w:pStyle w:val="22"/>
              <w:keepNext w:val="0"/>
              <w:keepLines w:val="0"/>
              <w:suppressLineNumbers w:val="0"/>
              <w:spacing w:before="305" w:beforeAutospacing="0" w:after="0" w:afterAutospacing="0" w:line="237" w:lineRule="auto"/>
              <w:ind w:left="214" w:right="215" w:firstLine="47"/>
              <w:rPr>
                <w:rFonts w:hint="default"/>
              </w:rPr>
            </w:pPr>
            <w:r>
              <w:rPr>
                <w:rFonts w:hint="default"/>
                <w:spacing w:val="-4"/>
              </w:rPr>
              <w:t>规格</w:t>
            </w:r>
            <w:r>
              <w:rPr>
                <w:rFonts w:hint="default"/>
              </w:rPr>
              <w:t xml:space="preserve"> </w:t>
            </w:r>
            <w:r>
              <w:rPr>
                <w:rFonts w:hint="default"/>
                <w:spacing w:val="-9"/>
              </w:rPr>
              <w:t>（%）</w:t>
            </w:r>
          </w:p>
        </w:tc>
        <w:tc>
          <w:tcPr>
            <w:tcW w:w="468" w:type="dxa"/>
            <w:textDirection w:val="tbRlV"/>
            <w:vAlign w:val="top"/>
          </w:tcPr>
          <w:p w14:paraId="06E7DF7D">
            <w:pPr>
              <w:pStyle w:val="22"/>
              <w:keepNext w:val="0"/>
              <w:keepLines w:val="0"/>
              <w:suppressLineNumbers w:val="0"/>
              <w:spacing w:before="127" w:beforeAutospacing="0" w:after="0" w:afterAutospacing="0" w:line="211" w:lineRule="auto"/>
              <w:ind w:left="305" w:right="0"/>
              <w:rPr>
                <w:rFonts w:hint="default"/>
              </w:rPr>
            </w:pPr>
            <w:r>
              <w:rPr>
                <w:rFonts w:hint="default"/>
                <w:spacing w:val="1"/>
              </w:rPr>
              <w:t>形</w:t>
            </w:r>
            <w:r>
              <w:rPr>
                <w:rFonts w:hint="default"/>
                <w:spacing w:val="-43"/>
              </w:rPr>
              <w:t xml:space="preserve"> </w:t>
            </w:r>
            <w:r>
              <w:rPr>
                <w:rFonts w:hint="default"/>
                <w:spacing w:val="1"/>
              </w:rPr>
              <w:t>态</w:t>
            </w:r>
          </w:p>
        </w:tc>
        <w:tc>
          <w:tcPr>
            <w:tcW w:w="1055" w:type="dxa"/>
            <w:vAlign w:val="top"/>
          </w:tcPr>
          <w:p w14:paraId="308EF1FD">
            <w:pPr>
              <w:pStyle w:val="22"/>
              <w:keepNext w:val="0"/>
              <w:keepLines w:val="0"/>
              <w:suppressLineNumbers w:val="0"/>
              <w:spacing w:before="170" w:beforeAutospacing="0" w:after="0" w:afterAutospacing="0" w:line="234" w:lineRule="auto"/>
              <w:ind w:left="215" w:right="208" w:firstLine="2"/>
              <w:jc w:val="both"/>
              <w:rPr>
                <w:rFonts w:hint="default"/>
              </w:rPr>
            </w:pPr>
            <w:r>
              <w:rPr>
                <w:rFonts w:hint="default"/>
                <w:spacing w:val="-3"/>
              </w:rPr>
              <w:t>危险品</w:t>
            </w:r>
            <w:r>
              <w:rPr>
                <w:rFonts w:hint="default"/>
              </w:rPr>
              <w:t xml:space="preserve"> </w:t>
            </w:r>
            <w:r>
              <w:rPr>
                <w:rFonts w:hint="default"/>
                <w:spacing w:val="-2"/>
              </w:rPr>
              <w:t>运输编</w:t>
            </w:r>
            <w:r>
              <w:rPr>
                <w:rFonts w:hint="default"/>
              </w:rPr>
              <w:t xml:space="preserve"> </w:t>
            </w:r>
            <w:r>
              <w:rPr>
                <w:rFonts w:hint="default"/>
                <w:spacing w:val="44"/>
              </w:rPr>
              <w:t>号</w:t>
            </w:r>
            <w:r>
              <w:rPr>
                <w:rFonts w:hint="default"/>
                <w:spacing w:val="3"/>
              </w:rPr>
              <w:t xml:space="preserve"> </w:t>
            </w:r>
            <w:r>
              <w:rPr>
                <w:rFonts w:hint="default"/>
              </w:rPr>
              <w:t>UN</w:t>
            </w:r>
          </w:p>
        </w:tc>
        <w:tc>
          <w:tcPr>
            <w:tcW w:w="1396" w:type="dxa"/>
            <w:vAlign w:val="top"/>
          </w:tcPr>
          <w:p w14:paraId="548AF409">
            <w:pPr>
              <w:pStyle w:val="22"/>
              <w:keepNext w:val="0"/>
              <w:keepLines w:val="0"/>
              <w:suppressLineNumbers w:val="0"/>
              <w:spacing w:before="306" w:beforeAutospacing="0" w:after="0" w:afterAutospacing="0" w:line="233" w:lineRule="auto"/>
              <w:ind w:left="228" w:right="116" w:hanging="102"/>
              <w:rPr>
                <w:rFonts w:hint="default"/>
              </w:rPr>
            </w:pPr>
            <w:r>
              <w:rPr>
                <w:rFonts w:hint="default"/>
                <w:spacing w:val="-2"/>
              </w:rPr>
              <w:t>年产量/消耗</w:t>
            </w:r>
            <w:r>
              <w:rPr>
                <w:rFonts w:hint="default"/>
                <w:spacing w:val="4"/>
              </w:rPr>
              <w:t xml:space="preserve"> </w:t>
            </w:r>
            <w:r>
              <w:rPr>
                <w:rFonts w:hint="default"/>
                <w:spacing w:val="-2"/>
              </w:rPr>
              <w:t>量（t/a）</w:t>
            </w:r>
          </w:p>
        </w:tc>
        <w:tc>
          <w:tcPr>
            <w:tcW w:w="818" w:type="dxa"/>
            <w:vAlign w:val="top"/>
          </w:tcPr>
          <w:p w14:paraId="1480F28F">
            <w:pPr>
              <w:pStyle w:val="22"/>
              <w:keepNext w:val="0"/>
              <w:keepLines w:val="0"/>
              <w:suppressLineNumbers w:val="0"/>
              <w:spacing w:before="171" w:beforeAutospacing="0" w:after="0" w:afterAutospacing="0" w:line="235" w:lineRule="auto"/>
              <w:ind w:left="114" w:right="10" w:firstLine="93"/>
              <w:jc w:val="both"/>
              <w:rPr>
                <w:rFonts w:hint="default"/>
              </w:rPr>
            </w:pPr>
            <w:r>
              <w:rPr>
                <w:rFonts w:hint="default"/>
                <w:spacing w:val="-5"/>
              </w:rPr>
              <w:t>最大</w:t>
            </w:r>
            <w:r>
              <w:rPr>
                <w:rFonts w:hint="default"/>
              </w:rPr>
              <w:t xml:space="preserve">  </w:t>
            </w:r>
            <w:r>
              <w:rPr>
                <w:rFonts w:hint="default"/>
                <w:spacing w:val="42"/>
              </w:rPr>
              <w:t>储存</w:t>
            </w:r>
            <w:r>
              <w:rPr>
                <w:rFonts w:hint="default"/>
              </w:rPr>
              <w:t xml:space="preserve">  </w:t>
            </w:r>
            <w:r>
              <w:rPr>
                <w:rFonts w:hint="default"/>
                <w:spacing w:val="-12"/>
              </w:rPr>
              <w:t>量（t）</w:t>
            </w:r>
          </w:p>
        </w:tc>
        <w:tc>
          <w:tcPr>
            <w:tcW w:w="712" w:type="dxa"/>
            <w:vAlign w:val="top"/>
          </w:tcPr>
          <w:p w14:paraId="20109367">
            <w:pPr>
              <w:pStyle w:val="22"/>
              <w:keepNext w:val="0"/>
              <w:keepLines w:val="0"/>
              <w:suppressLineNumbers w:val="0"/>
              <w:spacing w:before="305" w:beforeAutospacing="0" w:after="0" w:afterAutospacing="0" w:line="233" w:lineRule="auto"/>
              <w:ind w:left="150" w:right="141"/>
              <w:rPr>
                <w:rFonts w:hint="default"/>
              </w:rPr>
            </w:pPr>
            <w:r>
              <w:rPr>
                <w:rFonts w:hint="default"/>
                <w:spacing w:val="-3"/>
              </w:rPr>
              <w:t>储存</w:t>
            </w:r>
            <w:r>
              <w:rPr>
                <w:rFonts w:hint="default"/>
              </w:rPr>
              <w:t xml:space="preserve"> </w:t>
            </w:r>
            <w:r>
              <w:rPr>
                <w:rFonts w:hint="default"/>
                <w:spacing w:val="-3"/>
              </w:rPr>
              <w:t>地点</w:t>
            </w:r>
          </w:p>
        </w:tc>
        <w:tc>
          <w:tcPr>
            <w:tcW w:w="629" w:type="dxa"/>
            <w:textDirection w:val="tbRlV"/>
            <w:vAlign w:val="top"/>
          </w:tcPr>
          <w:p w14:paraId="74C6CC80">
            <w:pPr>
              <w:pStyle w:val="22"/>
              <w:keepNext w:val="0"/>
              <w:keepLines w:val="0"/>
              <w:suppressLineNumbers w:val="0"/>
              <w:spacing w:before="205" w:beforeAutospacing="0" w:after="0" w:afterAutospacing="0" w:line="210" w:lineRule="auto"/>
              <w:ind w:left="34" w:right="0"/>
              <w:rPr>
                <w:rFonts w:hint="default"/>
              </w:rPr>
            </w:pPr>
            <w:r>
              <w:rPr>
                <w:rFonts w:hint="default"/>
                <w:spacing w:val="46"/>
              </w:rPr>
              <w:t>储存方式</w:t>
            </w:r>
          </w:p>
        </w:tc>
        <w:tc>
          <w:tcPr>
            <w:tcW w:w="703" w:type="dxa"/>
            <w:vAlign w:val="top"/>
          </w:tcPr>
          <w:p w14:paraId="05A1D803">
            <w:pPr>
              <w:pStyle w:val="22"/>
              <w:keepNext w:val="0"/>
              <w:keepLines w:val="0"/>
              <w:suppressLineNumbers w:val="0"/>
              <w:spacing w:before="306" w:beforeAutospacing="0" w:after="0" w:afterAutospacing="0" w:line="231" w:lineRule="auto"/>
              <w:ind w:left="150" w:right="133"/>
              <w:rPr>
                <w:rFonts w:hint="default"/>
              </w:rPr>
            </w:pPr>
            <w:r>
              <w:rPr>
                <w:rFonts w:hint="default"/>
                <w:spacing w:val="-3"/>
              </w:rPr>
              <w:t>运输</w:t>
            </w:r>
            <w:r>
              <w:rPr>
                <w:rFonts w:hint="default"/>
              </w:rPr>
              <w:t xml:space="preserve"> </w:t>
            </w:r>
            <w:r>
              <w:rPr>
                <w:rFonts w:hint="default"/>
                <w:spacing w:val="-4"/>
              </w:rPr>
              <w:t>方式</w:t>
            </w:r>
          </w:p>
        </w:tc>
        <w:tc>
          <w:tcPr>
            <w:tcW w:w="1058" w:type="dxa"/>
            <w:vAlign w:val="top"/>
          </w:tcPr>
          <w:p w14:paraId="62D7C6B8">
            <w:pPr>
              <w:keepNext w:val="0"/>
              <w:keepLines w:val="0"/>
              <w:suppressLineNumbers w:val="0"/>
              <w:spacing w:before="0" w:beforeAutospacing="0" w:after="0" w:afterAutospacing="0" w:line="372" w:lineRule="auto"/>
              <w:ind w:left="0" w:right="0"/>
              <w:rPr>
                <w:rFonts w:hint="default" w:ascii="Arial"/>
                <w:sz w:val="21"/>
              </w:rPr>
            </w:pPr>
          </w:p>
          <w:p w14:paraId="61F645FB">
            <w:pPr>
              <w:pStyle w:val="22"/>
              <w:keepNext w:val="0"/>
              <w:keepLines w:val="0"/>
              <w:suppressLineNumbers w:val="0"/>
              <w:spacing w:before="68" w:beforeAutospacing="0" w:after="0" w:afterAutospacing="0" w:line="222" w:lineRule="auto"/>
              <w:ind w:left="328" w:right="0"/>
              <w:rPr>
                <w:rFonts w:hint="default"/>
              </w:rPr>
            </w:pPr>
            <w:r>
              <w:rPr>
                <w:rFonts w:hint="default"/>
                <w:spacing w:val="-3"/>
              </w:rPr>
              <w:t>备注</w:t>
            </w:r>
          </w:p>
        </w:tc>
      </w:tr>
      <w:tr w14:paraId="4ECBD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70" w:type="dxa"/>
            <w:vAlign w:val="top"/>
          </w:tcPr>
          <w:p w14:paraId="2CB1AAE6">
            <w:pPr>
              <w:keepNext w:val="0"/>
              <w:keepLines w:val="0"/>
              <w:suppressLineNumbers w:val="0"/>
              <w:spacing w:before="0" w:beforeAutospacing="0" w:after="0" w:afterAutospacing="0"/>
              <w:ind w:left="0" w:right="0"/>
              <w:rPr>
                <w:rFonts w:hint="default" w:ascii="Arial"/>
                <w:sz w:val="21"/>
              </w:rPr>
            </w:pPr>
          </w:p>
        </w:tc>
        <w:tc>
          <w:tcPr>
            <w:tcW w:w="1163" w:type="dxa"/>
            <w:vAlign w:val="top"/>
          </w:tcPr>
          <w:p w14:paraId="5119B2F1">
            <w:pPr>
              <w:pStyle w:val="22"/>
              <w:keepNext w:val="0"/>
              <w:keepLines w:val="0"/>
              <w:suppressLineNumbers w:val="0"/>
              <w:spacing w:before="31" w:beforeAutospacing="0" w:after="0" w:afterAutospacing="0" w:line="223" w:lineRule="auto"/>
              <w:ind w:left="400" w:right="0"/>
              <w:rPr>
                <w:rFonts w:hint="default"/>
              </w:rPr>
            </w:pPr>
            <w:r>
              <w:rPr>
                <w:rFonts w:hint="default"/>
                <w:spacing w:val="-9"/>
              </w:rPr>
              <w:t>甲醚</w:t>
            </w:r>
          </w:p>
        </w:tc>
        <w:tc>
          <w:tcPr>
            <w:tcW w:w="934" w:type="dxa"/>
            <w:vAlign w:val="top"/>
          </w:tcPr>
          <w:p w14:paraId="6A096F3A">
            <w:pPr>
              <w:keepNext w:val="0"/>
              <w:keepLines w:val="0"/>
              <w:suppressLineNumbers w:val="0"/>
              <w:spacing w:before="0" w:beforeAutospacing="0" w:after="0" w:afterAutospacing="0"/>
              <w:ind w:left="0" w:right="0"/>
              <w:rPr>
                <w:rFonts w:hint="default" w:ascii="Arial"/>
                <w:sz w:val="21"/>
              </w:rPr>
            </w:pPr>
          </w:p>
        </w:tc>
        <w:tc>
          <w:tcPr>
            <w:tcW w:w="468" w:type="dxa"/>
            <w:vAlign w:val="top"/>
          </w:tcPr>
          <w:p w14:paraId="62763645">
            <w:pPr>
              <w:keepNext w:val="0"/>
              <w:keepLines w:val="0"/>
              <w:suppressLineNumbers w:val="0"/>
              <w:spacing w:before="0" w:beforeAutospacing="0" w:after="0" w:afterAutospacing="0"/>
              <w:ind w:left="0" w:right="0"/>
              <w:rPr>
                <w:rFonts w:hint="default" w:ascii="Arial"/>
                <w:sz w:val="21"/>
              </w:rPr>
            </w:pPr>
          </w:p>
        </w:tc>
        <w:tc>
          <w:tcPr>
            <w:tcW w:w="1055" w:type="dxa"/>
            <w:vAlign w:val="top"/>
          </w:tcPr>
          <w:p w14:paraId="40074887">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5D7F0E96">
            <w:pPr>
              <w:keepNext w:val="0"/>
              <w:keepLines w:val="0"/>
              <w:suppressLineNumbers w:val="0"/>
              <w:spacing w:before="0" w:beforeAutospacing="0" w:after="0" w:afterAutospacing="0"/>
              <w:ind w:left="0" w:right="0"/>
              <w:rPr>
                <w:rFonts w:hint="default" w:ascii="Arial"/>
                <w:sz w:val="21"/>
              </w:rPr>
            </w:pPr>
          </w:p>
        </w:tc>
        <w:tc>
          <w:tcPr>
            <w:tcW w:w="818" w:type="dxa"/>
            <w:vAlign w:val="top"/>
          </w:tcPr>
          <w:p w14:paraId="0053B0A0">
            <w:pPr>
              <w:keepNext w:val="0"/>
              <w:keepLines w:val="0"/>
              <w:suppressLineNumbers w:val="0"/>
              <w:spacing w:before="0" w:beforeAutospacing="0" w:after="0" w:afterAutospacing="0"/>
              <w:ind w:left="0" w:right="0"/>
              <w:rPr>
                <w:rFonts w:hint="default" w:ascii="Arial"/>
                <w:sz w:val="21"/>
              </w:rPr>
            </w:pPr>
          </w:p>
        </w:tc>
        <w:tc>
          <w:tcPr>
            <w:tcW w:w="712" w:type="dxa"/>
            <w:vAlign w:val="top"/>
          </w:tcPr>
          <w:p w14:paraId="47C1E4C5">
            <w:pPr>
              <w:keepNext w:val="0"/>
              <w:keepLines w:val="0"/>
              <w:suppressLineNumbers w:val="0"/>
              <w:spacing w:before="0" w:beforeAutospacing="0" w:after="0" w:afterAutospacing="0"/>
              <w:ind w:left="0" w:right="0"/>
              <w:rPr>
                <w:rFonts w:hint="default" w:ascii="Arial"/>
                <w:sz w:val="21"/>
              </w:rPr>
            </w:pPr>
          </w:p>
        </w:tc>
        <w:tc>
          <w:tcPr>
            <w:tcW w:w="629" w:type="dxa"/>
            <w:vAlign w:val="top"/>
          </w:tcPr>
          <w:p w14:paraId="2FC5991C">
            <w:pPr>
              <w:keepNext w:val="0"/>
              <w:keepLines w:val="0"/>
              <w:suppressLineNumbers w:val="0"/>
              <w:spacing w:before="0" w:beforeAutospacing="0" w:after="0" w:afterAutospacing="0"/>
              <w:ind w:left="0" w:right="0"/>
              <w:rPr>
                <w:rFonts w:hint="default" w:ascii="Arial"/>
                <w:sz w:val="21"/>
              </w:rPr>
            </w:pPr>
          </w:p>
        </w:tc>
        <w:tc>
          <w:tcPr>
            <w:tcW w:w="703" w:type="dxa"/>
            <w:vAlign w:val="top"/>
          </w:tcPr>
          <w:p w14:paraId="099BF649">
            <w:pPr>
              <w:keepNext w:val="0"/>
              <w:keepLines w:val="0"/>
              <w:suppressLineNumbers w:val="0"/>
              <w:spacing w:before="0" w:beforeAutospacing="0" w:after="0" w:afterAutospacing="0"/>
              <w:ind w:left="0" w:right="0"/>
              <w:rPr>
                <w:rFonts w:hint="default" w:ascii="Arial"/>
                <w:sz w:val="21"/>
              </w:rPr>
            </w:pPr>
          </w:p>
        </w:tc>
        <w:tc>
          <w:tcPr>
            <w:tcW w:w="1058" w:type="dxa"/>
            <w:vAlign w:val="top"/>
          </w:tcPr>
          <w:p w14:paraId="2EA92546">
            <w:pPr>
              <w:keepNext w:val="0"/>
              <w:keepLines w:val="0"/>
              <w:suppressLineNumbers w:val="0"/>
              <w:spacing w:before="0" w:beforeAutospacing="0" w:after="0" w:afterAutospacing="0"/>
              <w:ind w:left="0" w:right="0"/>
              <w:rPr>
                <w:rFonts w:hint="default" w:ascii="Arial"/>
                <w:sz w:val="21"/>
              </w:rPr>
            </w:pPr>
          </w:p>
        </w:tc>
      </w:tr>
      <w:tr w14:paraId="20ECB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470" w:type="dxa"/>
            <w:vAlign w:val="top"/>
          </w:tcPr>
          <w:p w14:paraId="62959D91">
            <w:pPr>
              <w:keepNext w:val="0"/>
              <w:keepLines w:val="0"/>
              <w:suppressLineNumbers w:val="0"/>
              <w:spacing w:before="0" w:beforeAutospacing="0" w:after="0" w:afterAutospacing="0" w:line="269" w:lineRule="auto"/>
              <w:ind w:left="0" w:right="0"/>
              <w:rPr>
                <w:rFonts w:hint="default" w:ascii="Arial"/>
                <w:sz w:val="21"/>
              </w:rPr>
            </w:pPr>
          </w:p>
          <w:p w14:paraId="7EACB5D9">
            <w:pPr>
              <w:pStyle w:val="22"/>
              <w:keepNext w:val="0"/>
              <w:keepLines w:val="0"/>
              <w:suppressLineNumbers w:val="0"/>
              <w:spacing w:before="68" w:beforeAutospacing="0" w:after="0" w:afterAutospacing="0" w:line="181" w:lineRule="auto"/>
              <w:ind w:left="192" w:right="0"/>
              <w:rPr>
                <w:rFonts w:hint="default"/>
              </w:rPr>
            </w:pPr>
            <w:r>
              <w:rPr>
                <w:rFonts w:hint="default"/>
              </w:rPr>
              <w:t>5</w:t>
            </w:r>
          </w:p>
        </w:tc>
        <w:tc>
          <w:tcPr>
            <w:tcW w:w="1163" w:type="dxa"/>
            <w:vAlign w:val="top"/>
          </w:tcPr>
          <w:p w14:paraId="2EF1E648">
            <w:pPr>
              <w:pStyle w:val="22"/>
              <w:keepNext w:val="0"/>
              <w:keepLines w:val="0"/>
              <w:suppressLineNumbers w:val="0"/>
              <w:spacing w:before="31" w:beforeAutospacing="0" w:after="0" w:afterAutospacing="0" w:line="221" w:lineRule="auto"/>
              <w:ind w:left="186" w:right="0"/>
              <w:rPr>
                <w:rFonts w:hint="default"/>
              </w:rPr>
            </w:pPr>
            <w:r>
              <w:rPr>
                <w:rFonts w:hint="default"/>
                <w:spacing w:val="-8"/>
              </w:rPr>
              <w:t>电子级亚</w:t>
            </w:r>
          </w:p>
          <w:p w14:paraId="2D8126F2">
            <w:pPr>
              <w:pStyle w:val="22"/>
              <w:keepNext w:val="0"/>
              <w:keepLines w:val="0"/>
              <w:suppressLineNumbers w:val="0"/>
              <w:spacing w:before="19" w:beforeAutospacing="0" w:after="0" w:afterAutospacing="0" w:line="221" w:lineRule="auto"/>
              <w:ind w:left="161" w:right="0"/>
              <w:rPr>
                <w:rFonts w:hint="default"/>
              </w:rPr>
            </w:pPr>
            <w:r>
              <w:rPr>
                <w:rFonts w:hint="default"/>
                <w:spacing w:val="-2"/>
              </w:rPr>
              <w:t>氨基二乙</w:t>
            </w:r>
          </w:p>
          <w:p w14:paraId="3365EF9D">
            <w:pPr>
              <w:pStyle w:val="22"/>
              <w:keepNext w:val="0"/>
              <w:keepLines w:val="0"/>
              <w:suppressLineNumbers w:val="0"/>
              <w:spacing w:before="21" w:beforeAutospacing="0" w:after="0" w:afterAutospacing="0" w:line="206" w:lineRule="auto"/>
              <w:ind w:left="477" w:right="0"/>
              <w:rPr>
                <w:rFonts w:hint="default"/>
              </w:rPr>
            </w:pPr>
            <w:r>
              <w:rPr>
                <w:rFonts w:hint="default"/>
              </w:rPr>
              <w:t>酸</w:t>
            </w:r>
          </w:p>
        </w:tc>
        <w:tc>
          <w:tcPr>
            <w:tcW w:w="934" w:type="dxa"/>
            <w:vAlign w:val="top"/>
          </w:tcPr>
          <w:p w14:paraId="0E682D34">
            <w:pPr>
              <w:keepNext w:val="0"/>
              <w:keepLines w:val="0"/>
              <w:suppressLineNumbers w:val="0"/>
              <w:spacing w:before="0" w:beforeAutospacing="0" w:after="0" w:afterAutospacing="0" w:line="264" w:lineRule="auto"/>
              <w:ind w:left="0" w:right="0"/>
              <w:rPr>
                <w:rFonts w:hint="default" w:ascii="Arial"/>
                <w:sz w:val="21"/>
              </w:rPr>
            </w:pPr>
          </w:p>
          <w:p w14:paraId="69B1E6B4">
            <w:pPr>
              <w:pStyle w:val="22"/>
              <w:keepNext w:val="0"/>
              <w:keepLines w:val="0"/>
              <w:suppressLineNumbers w:val="0"/>
              <w:spacing w:before="68" w:beforeAutospacing="0" w:after="0" w:afterAutospacing="0" w:line="185" w:lineRule="auto"/>
              <w:ind w:left="214" w:right="0"/>
              <w:rPr>
                <w:rFonts w:hint="default"/>
              </w:rPr>
            </w:pPr>
            <w:r>
              <w:rPr>
                <w:rFonts w:hint="default"/>
                <w:spacing w:val="-3"/>
              </w:rPr>
              <w:t>&gt;99.7</w:t>
            </w:r>
          </w:p>
        </w:tc>
        <w:tc>
          <w:tcPr>
            <w:tcW w:w="468" w:type="dxa"/>
            <w:vAlign w:val="top"/>
          </w:tcPr>
          <w:p w14:paraId="719D2E5C">
            <w:pPr>
              <w:pStyle w:val="22"/>
              <w:keepNext w:val="0"/>
              <w:keepLines w:val="0"/>
              <w:suppressLineNumbers w:val="0"/>
              <w:spacing w:before="302" w:beforeAutospacing="0" w:after="0" w:afterAutospacing="0" w:line="221" w:lineRule="auto"/>
              <w:ind w:left="133" w:right="0"/>
              <w:rPr>
                <w:rFonts w:hint="default"/>
              </w:rPr>
            </w:pPr>
            <w:r>
              <w:rPr>
                <w:rFonts w:hint="default"/>
              </w:rPr>
              <w:t>液</w:t>
            </w:r>
          </w:p>
        </w:tc>
        <w:tc>
          <w:tcPr>
            <w:tcW w:w="1055" w:type="dxa"/>
            <w:vAlign w:val="top"/>
          </w:tcPr>
          <w:p w14:paraId="3570E819">
            <w:pPr>
              <w:pStyle w:val="22"/>
              <w:keepNext w:val="0"/>
              <w:keepLines w:val="0"/>
              <w:suppressLineNumbers w:val="0"/>
              <w:spacing w:before="302" w:beforeAutospacing="0" w:after="0" w:afterAutospacing="0" w:line="221" w:lineRule="auto"/>
              <w:ind w:left="217" w:right="0"/>
              <w:rPr>
                <w:rFonts w:hint="default"/>
              </w:rPr>
            </w:pPr>
            <w:r>
              <w:rPr>
                <w:rFonts w:hint="default"/>
                <w:spacing w:val="-2"/>
              </w:rPr>
              <w:t>无资料</w:t>
            </w:r>
          </w:p>
        </w:tc>
        <w:tc>
          <w:tcPr>
            <w:tcW w:w="1396" w:type="dxa"/>
            <w:vAlign w:val="top"/>
          </w:tcPr>
          <w:p w14:paraId="71B44DF0">
            <w:pPr>
              <w:keepNext w:val="0"/>
              <w:keepLines w:val="0"/>
              <w:suppressLineNumbers w:val="0"/>
              <w:spacing w:before="0" w:beforeAutospacing="0" w:after="0" w:afterAutospacing="0" w:line="268" w:lineRule="auto"/>
              <w:ind w:left="0" w:right="0"/>
              <w:rPr>
                <w:rFonts w:hint="default" w:ascii="Arial"/>
                <w:sz w:val="21"/>
              </w:rPr>
            </w:pPr>
          </w:p>
          <w:p w14:paraId="3FBB042A">
            <w:pPr>
              <w:pStyle w:val="22"/>
              <w:keepNext w:val="0"/>
              <w:keepLines w:val="0"/>
              <w:suppressLineNumbers w:val="0"/>
              <w:spacing w:before="68" w:beforeAutospacing="0" w:after="0" w:afterAutospacing="0" w:line="182" w:lineRule="auto"/>
              <w:ind w:left="442" w:right="0"/>
              <w:rPr>
                <w:rFonts w:hint="default"/>
              </w:rPr>
            </w:pPr>
            <w:r>
              <w:rPr>
                <w:rFonts w:hint="default"/>
                <w:spacing w:val="-2"/>
              </w:rPr>
              <w:t>250.5</w:t>
            </w:r>
          </w:p>
        </w:tc>
        <w:tc>
          <w:tcPr>
            <w:tcW w:w="818" w:type="dxa"/>
            <w:vAlign w:val="top"/>
          </w:tcPr>
          <w:p w14:paraId="2468AC10">
            <w:pPr>
              <w:keepNext w:val="0"/>
              <w:keepLines w:val="0"/>
              <w:suppressLineNumbers w:val="0"/>
              <w:spacing w:before="0" w:beforeAutospacing="0" w:after="0" w:afterAutospacing="0" w:line="269" w:lineRule="auto"/>
              <w:ind w:left="0" w:right="0"/>
              <w:rPr>
                <w:rFonts w:hint="default" w:ascii="Arial"/>
                <w:sz w:val="21"/>
              </w:rPr>
            </w:pPr>
          </w:p>
          <w:p w14:paraId="35E32CEA">
            <w:pPr>
              <w:pStyle w:val="22"/>
              <w:keepNext w:val="0"/>
              <w:keepLines w:val="0"/>
              <w:suppressLineNumbers w:val="0"/>
              <w:spacing w:before="68" w:beforeAutospacing="0" w:after="0" w:afterAutospacing="0" w:line="181" w:lineRule="auto"/>
              <w:ind w:left="366" w:right="0"/>
              <w:rPr>
                <w:rFonts w:hint="default"/>
              </w:rPr>
            </w:pPr>
            <w:r>
              <w:rPr>
                <w:rFonts w:hint="default"/>
              </w:rPr>
              <w:t>5</w:t>
            </w:r>
          </w:p>
        </w:tc>
        <w:tc>
          <w:tcPr>
            <w:tcW w:w="712" w:type="dxa"/>
            <w:vAlign w:val="top"/>
          </w:tcPr>
          <w:p w14:paraId="14E0A576">
            <w:pPr>
              <w:pStyle w:val="22"/>
              <w:keepNext w:val="0"/>
              <w:keepLines w:val="0"/>
              <w:suppressLineNumbers w:val="0"/>
              <w:spacing w:before="169" w:beforeAutospacing="0" w:after="0" w:afterAutospacing="0" w:line="229" w:lineRule="auto"/>
              <w:ind w:left="256" w:right="141" w:hanging="103"/>
              <w:rPr>
                <w:rFonts w:hint="default"/>
              </w:rPr>
            </w:pPr>
            <w:r>
              <w:rPr>
                <w:rFonts w:hint="default"/>
                <w:spacing w:val="-3"/>
              </w:rPr>
              <w:t>2#仓</w:t>
            </w:r>
            <w:r>
              <w:rPr>
                <w:rFonts w:hint="default"/>
              </w:rPr>
              <w:t xml:space="preserve"> 库</w:t>
            </w:r>
          </w:p>
        </w:tc>
        <w:tc>
          <w:tcPr>
            <w:tcW w:w="629" w:type="dxa"/>
            <w:textDirection w:val="tbRlV"/>
            <w:vAlign w:val="top"/>
          </w:tcPr>
          <w:p w14:paraId="6F246845">
            <w:pPr>
              <w:pStyle w:val="22"/>
              <w:keepNext w:val="0"/>
              <w:keepLines w:val="0"/>
              <w:suppressLineNumbers w:val="0"/>
              <w:spacing w:before="206" w:beforeAutospacing="0" w:after="0" w:afterAutospacing="0" w:line="209" w:lineRule="auto"/>
              <w:ind w:left="168" w:right="0"/>
              <w:rPr>
                <w:rFonts w:hint="default"/>
              </w:rPr>
            </w:pPr>
            <w:r>
              <w:rPr>
                <w:rFonts w:hint="default"/>
                <w:spacing w:val="31"/>
              </w:rPr>
              <w:t>桶装</w:t>
            </w:r>
          </w:p>
        </w:tc>
        <w:tc>
          <w:tcPr>
            <w:tcW w:w="703" w:type="dxa"/>
            <w:vAlign w:val="top"/>
          </w:tcPr>
          <w:p w14:paraId="444CC12F">
            <w:pPr>
              <w:pStyle w:val="22"/>
              <w:keepNext w:val="0"/>
              <w:keepLines w:val="0"/>
              <w:suppressLineNumbers w:val="0"/>
              <w:spacing w:before="302" w:beforeAutospacing="0" w:after="0" w:afterAutospacing="0" w:line="224" w:lineRule="auto"/>
              <w:ind w:left="150" w:right="0"/>
              <w:rPr>
                <w:rFonts w:hint="default"/>
              </w:rPr>
            </w:pPr>
            <w:r>
              <w:rPr>
                <w:rFonts w:hint="default"/>
                <w:spacing w:val="-2"/>
              </w:rPr>
              <w:t>汽运</w:t>
            </w:r>
          </w:p>
        </w:tc>
        <w:tc>
          <w:tcPr>
            <w:tcW w:w="1058" w:type="dxa"/>
            <w:vAlign w:val="top"/>
          </w:tcPr>
          <w:p w14:paraId="487E3B35">
            <w:pPr>
              <w:pStyle w:val="22"/>
              <w:keepNext w:val="0"/>
              <w:keepLines w:val="0"/>
              <w:suppressLineNumbers w:val="0"/>
              <w:spacing w:before="167" w:beforeAutospacing="0" w:after="0" w:afterAutospacing="0" w:line="230"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剥离液2</w:t>
            </w:r>
          </w:p>
        </w:tc>
      </w:tr>
      <w:tr w14:paraId="371B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470" w:type="dxa"/>
            <w:vMerge w:val="restart"/>
            <w:tcBorders>
              <w:bottom w:val="nil"/>
            </w:tcBorders>
            <w:vAlign w:val="top"/>
          </w:tcPr>
          <w:p w14:paraId="27CB6EAF">
            <w:pPr>
              <w:keepNext w:val="0"/>
              <w:keepLines w:val="0"/>
              <w:suppressLineNumbers w:val="0"/>
              <w:spacing w:before="0" w:beforeAutospacing="0" w:after="0" w:afterAutospacing="0" w:line="411" w:lineRule="auto"/>
              <w:ind w:left="0" w:right="0"/>
              <w:rPr>
                <w:rFonts w:hint="default" w:ascii="Arial"/>
                <w:sz w:val="21"/>
              </w:rPr>
            </w:pPr>
          </w:p>
          <w:p w14:paraId="553D7368">
            <w:pPr>
              <w:pStyle w:val="22"/>
              <w:keepNext w:val="0"/>
              <w:keepLines w:val="0"/>
              <w:suppressLineNumbers w:val="0"/>
              <w:spacing w:before="69" w:beforeAutospacing="0" w:after="0" w:afterAutospacing="0" w:line="182" w:lineRule="auto"/>
              <w:ind w:left="189" w:right="0"/>
              <w:rPr>
                <w:rFonts w:hint="default"/>
              </w:rPr>
            </w:pPr>
            <w:r>
              <w:rPr>
                <w:rFonts w:hint="default"/>
              </w:rPr>
              <w:t>6</w:t>
            </w:r>
          </w:p>
        </w:tc>
        <w:tc>
          <w:tcPr>
            <w:tcW w:w="1163" w:type="dxa"/>
            <w:vMerge w:val="restart"/>
            <w:tcBorders>
              <w:bottom w:val="nil"/>
            </w:tcBorders>
            <w:vAlign w:val="top"/>
          </w:tcPr>
          <w:p w14:paraId="0C608173">
            <w:pPr>
              <w:keepNext w:val="0"/>
              <w:keepLines w:val="0"/>
              <w:suppressLineNumbers w:val="0"/>
              <w:spacing w:before="0" w:beforeAutospacing="0" w:after="0" w:afterAutospacing="0" w:line="376" w:lineRule="auto"/>
              <w:ind w:left="0" w:right="0"/>
              <w:rPr>
                <w:rFonts w:hint="default" w:ascii="Arial"/>
                <w:sz w:val="21"/>
              </w:rPr>
            </w:pPr>
          </w:p>
          <w:p w14:paraId="24076E33">
            <w:pPr>
              <w:pStyle w:val="22"/>
              <w:keepNext w:val="0"/>
              <w:keepLines w:val="0"/>
              <w:suppressLineNumbers w:val="0"/>
              <w:spacing w:before="68" w:beforeAutospacing="0" w:after="0" w:afterAutospacing="0" w:line="221" w:lineRule="auto"/>
              <w:ind w:left="266" w:right="0"/>
              <w:rPr>
                <w:rFonts w:hint="default"/>
              </w:rPr>
            </w:pPr>
            <w:r>
              <w:rPr>
                <w:rFonts w:hint="default"/>
                <w:spacing w:val="-1"/>
              </w:rPr>
              <w:t>超纯水</w:t>
            </w:r>
          </w:p>
        </w:tc>
        <w:tc>
          <w:tcPr>
            <w:tcW w:w="934" w:type="dxa"/>
            <w:vMerge w:val="restart"/>
            <w:tcBorders>
              <w:bottom w:val="nil"/>
            </w:tcBorders>
            <w:vAlign w:val="top"/>
          </w:tcPr>
          <w:p w14:paraId="4DFEA8D8">
            <w:pPr>
              <w:keepNext w:val="0"/>
              <w:keepLines w:val="0"/>
              <w:suppressLineNumbers w:val="0"/>
              <w:spacing w:before="0" w:beforeAutospacing="0" w:after="0" w:afterAutospacing="0" w:line="475" w:lineRule="auto"/>
              <w:ind w:left="0" w:right="0"/>
              <w:rPr>
                <w:rFonts w:hint="default" w:ascii="Arial"/>
                <w:sz w:val="21"/>
              </w:rPr>
            </w:pPr>
          </w:p>
          <w:p w14:paraId="1F6ADF3D">
            <w:pPr>
              <w:pStyle w:val="22"/>
              <w:keepNext w:val="0"/>
              <w:keepLines w:val="0"/>
              <w:suppressLineNumbers w:val="0"/>
              <w:spacing w:before="68" w:beforeAutospacing="0" w:after="0" w:afterAutospacing="0" w:line="143" w:lineRule="exact"/>
              <w:ind w:left="362" w:right="0"/>
              <w:rPr>
                <w:rFonts w:hint="default"/>
              </w:rPr>
            </w:pPr>
            <w:r>
              <w:rPr>
                <w:rFonts w:hint="default"/>
                <w:position w:val="-3"/>
              </w:rPr>
              <w:t>—</w:t>
            </w:r>
          </w:p>
        </w:tc>
        <w:tc>
          <w:tcPr>
            <w:tcW w:w="468" w:type="dxa"/>
            <w:vMerge w:val="restart"/>
            <w:tcBorders>
              <w:bottom w:val="nil"/>
            </w:tcBorders>
            <w:vAlign w:val="top"/>
          </w:tcPr>
          <w:p w14:paraId="05CA28E3">
            <w:pPr>
              <w:keepNext w:val="0"/>
              <w:keepLines w:val="0"/>
              <w:suppressLineNumbers w:val="0"/>
              <w:spacing w:before="0" w:beforeAutospacing="0" w:after="0" w:afterAutospacing="0" w:line="475" w:lineRule="auto"/>
              <w:ind w:left="0" w:right="0"/>
              <w:rPr>
                <w:rFonts w:hint="default" w:ascii="Arial"/>
                <w:sz w:val="21"/>
              </w:rPr>
            </w:pPr>
          </w:p>
          <w:p w14:paraId="3B3D1F6F">
            <w:pPr>
              <w:pStyle w:val="22"/>
              <w:keepNext w:val="0"/>
              <w:keepLines w:val="0"/>
              <w:suppressLineNumbers w:val="0"/>
              <w:spacing w:before="68" w:beforeAutospacing="0" w:after="0" w:afterAutospacing="0" w:line="143" w:lineRule="exact"/>
              <w:ind w:left="130" w:right="0"/>
              <w:rPr>
                <w:rFonts w:hint="default"/>
              </w:rPr>
            </w:pPr>
            <w:r>
              <w:rPr>
                <w:rFonts w:hint="default"/>
                <w:position w:val="-3"/>
              </w:rPr>
              <w:t>—</w:t>
            </w:r>
          </w:p>
        </w:tc>
        <w:tc>
          <w:tcPr>
            <w:tcW w:w="1055" w:type="dxa"/>
            <w:vMerge w:val="restart"/>
            <w:tcBorders>
              <w:bottom w:val="nil"/>
            </w:tcBorders>
            <w:vAlign w:val="top"/>
          </w:tcPr>
          <w:p w14:paraId="3A3CF7F0">
            <w:pPr>
              <w:keepNext w:val="0"/>
              <w:keepLines w:val="0"/>
              <w:suppressLineNumbers w:val="0"/>
              <w:spacing w:before="0" w:beforeAutospacing="0" w:after="0" w:afterAutospacing="0" w:line="475" w:lineRule="auto"/>
              <w:ind w:left="0" w:right="0"/>
              <w:rPr>
                <w:rFonts w:hint="default" w:ascii="Arial"/>
                <w:sz w:val="21"/>
              </w:rPr>
            </w:pPr>
          </w:p>
          <w:p w14:paraId="7D8CA707">
            <w:pPr>
              <w:pStyle w:val="22"/>
              <w:keepNext w:val="0"/>
              <w:keepLines w:val="0"/>
              <w:suppressLineNumbers w:val="0"/>
              <w:spacing w:before="68" w:beforeAutospacing="0" w:after="0" w:afterAutospacing="0" w:line="143" w:lineRule="exact"/>
              <w:ind w:left="425" w:right="0"/>
              <w:rPr>
                <w:rFonts w:hint="default"/>
              </w:rPr>
            </w:pPr>
            <w:r>
              <w:rPr>
                <w:rFonts w:hint="default"/>
                <w:position w:val="-3"/>
              </w:rPr>
              <w:t>—</w:t>
            </w:r>
          </w:p>
        </w:tc>
        <w:tc>
          <w:tcPr>
            <w:tcW w:w="1396" w:type="dxa"/>
            <w:vAlign w:val="top"/>
          </w:tcPr>
          <w:p w14:paraId="3BB49C66">
            <w:pPr>
              <w:pStyle w:val="22"/>
              <w:keepNext w:val="0"/>
              <w:keepLines w:val="0"/>
              <w:suppressLineNumbers w:val="0"/>
              <w:spacing w:before="204" w:beforeAutospacing="0" w:after="0" w:afterAutospacing="0" w:line="182" w:lineRule="auto"/>
              <w:ind w:left="338" w:right="0"/>
              <w:rPr>
                <w:rFonts w:hint="default"/>
              </w:rPr>
            </w:pPr>
            <w:r>
              <w:rPr>
                <w:rFonts w:hint="default"/>
                <w:spacing w:val="-2"/>
              </w:rPr>
              <w:t>3007.25</w:t>
            </w:r>
          </w:p>
        </w:tc>
        <w:tc>
          <w:tcPr>
            <w:tcW w:w="818" w:type="dxa"/>
            <w:vMerge w:val="restart"/>
            <w:tcBorders>
              <w:bottom w:val="nil"/>
            </w:tcBorders>
            <w:vAlign w:val="top"/>
          </w:tcPr>
          <w:p w14:paraId="72E21F08">
            <w:pPr>
              <w:keepNext w:val="0"/>
              <w:keepLines w:val="0"/>
              <w:suppressLineNumbers w:val="0"/>
              <w:spacing w:before="0" w:beforeAutospacing="0" w:after="0" w:afterAutospacing="0" w:line="376" w:lineRule="auto"/>
              <w:ind w:left="0" w:right="0"/>
              <w:rPr>
                <w:rFonts w:hint="default" w:ascii="Arial"/>
                <w:sz w:val="21"/>
              </w:rPr>
            </w:pPr>
          </w:p>
          <w:p w14:paraId="61B10A6A">
            <w:pPr>
              <w:pStyle w:val="22"/>
              <w:keepNext w:val="0"/>
              <w:keepLines w:val="0"/>
              <w:suppressLineNumbers w:val="0"/>
              <w:spacing w:before="68" w:beforeAutospacing="0" w:after="0" w:afterAutospacing="0" w:line="221" w:lineRule="auto"/>
              <w:ind w:left="240" w:right="0"/>
              <w:rPr>
                <w:rFonts w:hint="default"/>
              </w:rPr>
            </w:pPr>
            <w:r>
              <w:rPr>
                <w:rFonts w:hint="default"/>
                <w:spacing w:val="-11"/>
              </w:rPr>
              <w:t>自产</w:t>
            </w:r>
          </w:p>
        </w:tc>
        <w:tc>
          <w:tcPr>
            <w:tcW w:w="712" w:type="dxa"/>
            <w:vAlign w:val="top"/>
          </w:tcPr>
          <w:p w14:paraId="4EE2924C">
            <w:pPr>
              <w:keepNext w:val="0"/>
              <w:keepLines w:val="0"/>
              <w:suppressLineNumbers w:val="0"/>
              <w:spacing w:before="0" w:beforeAutospacing="0" w:after="0" w:afterAutospacing="0"/>
              <w:ind w:left="0" w:right="0"/>
              <w:rPr>
                <w:rFonts w:hint="default" w:ascii="Arial"/>
                <w:sz w:val="21"/>
              </w:rPr>
            </w:pPr>
          </w:p>
        </w:tc>
        <w:tc>
          <w:tcPr>
            <w:tcW w:w="629" w:type="dxa"/>
            <w:vAlign w:val="top"/>
          </w:tcPr>
          <w:p w14:paraId="7190B608">
            <w:pPr>
              <w:keepNext w:val="0"/>
              <w:keepLines w:val="0"/>
              <w:suppressLineNumbers w:val="0"/>
              <w:spacing w:before="0" w:beforeAutospacing="0" w:after="0" w:afterAutospacing="0"/>
              <w:ind w:left="0" w:right="0"/>
              <w:rPr>
                <w:rFonts w:hint="default" w:ascii="Arial"/>
                <w:sz w:val="21"/>
              </w:rPr>
            </w:pPr>
          </w:p>
        </w:tc>
        <w:tc>
          <w:tcPr>
            <w:tcW w:w="703" w:type="dxa"/>
            <w:vMerge w:val="restart"/>
            <w:tcBorders>
              <w:bottom w:val="nil"/>
            </w:tcBorders>
            <w:vAlign w:val="top"/>
          </w:tcPr>
          <w:p w14:paraId="4469D8D5">
            <w:pPr>
              <w:pStyle w:val="22"/>
              <w:keepNext w:val="0"/>
              <w:keepLines w:val="0"/>
              <w:suppressLineNumbers w:val="0"/>
              <w:spacing w:before="174" w:beforeAutospacing="0" w:after="0" w:afterAutospacing="0" w:line="233" w:lineRule="auto"/>
              <w:ind w:left="156" w:right="133" w:hanging="1"/>
              <w:jc w:val="both"/>
              <w:rPr>
                <w:rFonts w:hint="default"/>
              </w:rPr>
            </w:pPr>
            <w:r>
              <w:rPr>
                <w:rFonts w:hint="default"/>
                <w:spacing w:val="-6"/>
              </w:rPr>
              <w:t>管道</w:t>
            </w:r>
            <w:r>
              <w:rPr>
                <w:rFonts w:hint="default"/>
              </w:rPr>
              <w:t xml:space="preserve"> </w:t>
            </w:r>
            <w:r>
              <w:rPr>
                <w:rFonts w:hint="default"/>
                <w:spacing w:val="-13"/>
              </w:rPr>
              <w:t>（厂</w:t>
            </w:r>
            <w:r>
              <w:rPr>
                <w:rFonts w:hint="default"/>
              </w:rPr>
              <w:t xml:space="preserve"> </w:t>
            </w:r>
            <w:r>
              <w:rPr>
                <w:rFonts w:hint="default"/>
                <w:spacing w:val="-7"/>
              </w:rPr>
              <w:t>内）</w:t>
            </w:r>
          </w:p>
        </w:tc>
        <w:tc>
          <w:tcPr>
            <w:tcW w:w="1058" w:type="dxa"/>
            <w:vAlign w:val="top"/>
          </w:tcPr>
          <w:p w14:paraId="479C23E3">
            <w:pPr>
              <w:pStyle w:val="22"/>
              <w:keepNext w:val="0"/>
              <w:keepLines w:val="0"/>
              <w:suppressLineNumbers w:val="0"/>
              <w:spacing w:before="33" w:beforeAutospacing="0" w:after="0" w:afterAutospacing="0" w:line="222"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剥离液1</w:t>
            </w:r>
          </w:p>
        </w:tc>
      </w:tr>
      <w:tr w14:paraId="4F554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470" w:type="dxa"/>
            <w:vMerge w:val="continue"/>
            <w:tcBorders>
              <w:top w:val="nil"/>
            </w:tcBorders>
            <w:vAlign w:val="top"/>
          </w:tcPr>
          <w:p w14:paraId="3C3031F1">
            <w:pPr>
              <w:keepNext w:val="0"/>
              <w:keepLines w:val="0"/>
              <w:suppressLineNumbers w:val="0"/>
              <w:spacing w:before="0" w:beforeAutospacing="0" w:after="0" w:afterAutospacing="0"/>
              <w:ind w:left="0" w:right="0"/>
              <w:rPr>
                <w:rFonts w:hint="default" w:ascii="Arial"/>
                <w:sz w:val="21"/>
              </w:rPr>
            </w:pPr>
          </w:p>
        </w:tc>
        <w:tc>
          <w:tcPr>
            <w:tcW w:w="1163" w:type="dxa"/>
            <w:vMerge w:val="continue"/>
            <w:tcBorders>
              <w:top w:val="nil"/>
            </w:tcBorders>
            <w:vAlign w:val="top"/>
          </w:tcPr>
          <w:p w14:paraId="539FC8CF">
            <w:pPr>
              <w:keepNext w:val="0"/>
              <w:keepLines w:val="0"/>
              <w:suppressLineNumbers w:val="0"/>
              <w:spacing w:before="0" w:beforeAutospacing="0" w:after="0" w:afterAutospacing="0"/>
              <w:ind w:left="0" w:right="0"/>
              <w:rPr>
                <w:rFonts w:hint="default" w:ascii="Arial"/>
                <w:sz w:val="21"/>
              </w:rPr>
            </w:pPr>
          </w:p>
        </w:tc>
        <w:tc>
          <w:tcPr>
            <w:tcW w:w="934" w:type="dxa"/>
            <w:vMerge w:val="continue"/>
            <w:tcBorders>
              <w:top w:val="nil"/>
            </w:tcBorders>
            <w:vAlign w:val="top"/>
          </w:tcPr>
          <w:p w14:paraId="71DB55D2">
            <w:pPr>
              <w:keepNext w:val="0"/>
              <w:keepLines w:val="0"/>
              <w:suppressLineNumbers w:val="0"/>
              <w:spacing w:before="0" w:beforeAutospacing="0" w:after="0" w:afterAutospacing="0"/>
              <w:ind w:left="0" w:right="0"/>
              <w:rPr>
                <w:rFonts w:hint="default" w:ascii="Arial"/>
                <w:sz w:val="21"/>
              </w:rPr>
            </w:pPr>
          </w:p>
        </w:tc>
        <w:tc>
          <w:tcPr>
            <w:tcW w:w="468" w:type="dxa"/>
            <w:vMerge w:val="continue"/>
            <w:tcBorders>
              <w:top w:val="nil"/>
            </w:tcBorders>
            <w:vAlign w:val="top"/>
          </w:tcPr>
          <w:p w14:paraId="736320B2">
            <w:pPr>
              <w:keepNext w:val="0"/>
              <w:keepLines w:val="0"/>
              <w:suppressLineNumbers w:val="0"/>
              <w:spacing w:before="0" w:beforeAutospacing="0" w:after="0" w:afterAutospacing="0"/>
              <w:ind w:left="0" w:right="0"/>
              <w:rPr>
                <w:rFonts w:hint="default" w:ascii="Arial"/>
                <w:sz w:val="21"/>
              </w:rPr>
            </w:pPr>
          </w:p>
        </w:tc>
        <w:tc>
          <w:tcPr>
            <w:tcW w:w="1055" w:type="dxa"/>
            <w:vMerge w:val="continue"/>
            <w:tcBorders>
              <w:top w:val="nil"/>
            </w:tcBorders>
            <w:vAlign w:val="top"/>
          </w:tcPr>
          <w:p w14:paraId="755E849F">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49589806">
            <w:pPr>
              <w:pStyle w:val="22"/>
              <w:keepNext w:val="0"/>
              <w:keepLines w:val="0"/>
              <w:suppressLineNumbers w:val="0"/>
              <w:spacing w:before="203" w:beforeAutospacing="0" w:after="0" w:afterAutospacing="0" w:line="183" w:lineRule="auto"/>
              <w:ind w:left="350" w:right="0"/>
              <w:rPr>
                <w:rFonts w:hint="default"/>
              </w:rPr>
            </w:pPr>
            <w:r>
              <w:rPr>
                <w:rFonts w:hint="default"/>
                <w:spacing w:val="-3"/>
              </w:rPr>
              <w:t>1257.25</w:t>
            </w:r>
          </w:p>
        </w:tc>
        <w:tc>
          <w:tcPr>
            <w:tcW w:w="818" w:type="dxa"/>
            <w:vMerge w:val="continue"/>
            <w:tcBorders>
              <w:top w:val="nil"/>
            </w:tcBorders>
            <w:vAlign w:val="top"/>
          </w:tcPr>
          <w:p w14:paraId="51DDDC58">
            <w:pPr>
              <w:keepNext w:val="0"/>
              <w:keepLines w:val="0"/>
              <w:suppressLineNumbers w:val="0"/>
              <w:spacing w:before="0" w:beforeAutospacing="0" w:after="0" w:afterAutospacing="0"/>
              <w:ind w:left="0" w:right="0"/>
              <w:rPr>
                <w:rFonts w:hint="default" w:ascii="Arial"/>
                <w:sz w:val="21"/>
              </w:rPr>
            </w:pPr>
          </w:p>
        </w:tc>
        <w:tc>
          <w:tcPr>
            <w:tcW w:w="712" w:type="dxa"/>
            <w:vAlign w:val="top"/>
          </w:tcPr>
          <w:p w14:paraId="3354FA40">
            <w:pPr>
              <w:keepNext w:val="0"/>
              <w:keepLines w:val="0"/>
              <w:suppressLineNumbers w:val="0"/>
              <w:spacing w:before="0" w:beforeAutospacing="0" w:after="0" w:afterAutospacing="0"/>
              <w:ind w:left="0" w:right="0"/>
              <w:rPr>
                <w:rFonts w:hint="default" w:ascii="Arial"/>
                <w:sz w:val="21"/>
              </w:rPr>
            </w:pPr>
          </w:p>
        </w:tc>
        <w:tc>
          <w:tcPr>
            <w:tcW w:w="629" w:type="dxa"/>
            <w:vAlign w:val="top"/>
          </w:tcPr>
          <w:p w14:paraId="14A4F767">
            <w:pPr>
              <w:keepNext w:val="0"/>
              <w:keepLines w:val="0"/>
              <w:suppressLineNumbers w:val="0"/>
              <w:spacing w:before="0" w:beforeAutospacing="0" w:after="0" w:afterAutospacing="0"/>
              <w:ind w:left="0" w:right="0"/>
              <w:rPr>
                <w:rFonts w:hint="default" w:ascii="Arial"/>
                <w:sz w:val="21"/>
              </w:rPr>
            </w:pPr>
          </w:p>
        </w:tc>
        <w:tc>
          <w:tcPr>
            <w:tcW w:w="703" w:type="dxa"/>
            <w:vMerge w:val="continue"/>
            <w:tcBorders>
              <w:top w:val="nil"/>
            </w:tcBorders>
            <w:vAlign w:val="top"/>
          </w:tcPr>
          <w:p w14:paraId="31FC3587">
            <w:pPr>
              <w:keepNext w:val="0"/>
              <w:keepLines w:val="0"/>
              <w:suppressLineNumbers w:val="0"/>
              <w:spacing w:before="0" w:beforeAutospacing="0" w:after="0" w:afterAutospacing="0"/>
              <w:ind w:left="0" w:right="0"/>
              <w:rPr>
                <w:rFonts w:hint="default" w:ascii="Arial"/>
                <w:sz w:val="21"/>
              </w:rPr>
            </w:pPr>
          </w:p>
        </w:tc>
        <w:tc>
          <w:tcPr>
            <w:tcW w:w="1058" w:type="dxa"/>
            <w:vAlign w:val="top"/>
          </w:tcPr>
          <w:p w14:paraId="68D92B91">
            <w:pPr>
              <w:pStyle w:val="22"/>
              <w:keepNext w:val="0"/>
              <w:keepLines w:val="0"/>
              <w:suppressLineNumbers w:val="0"/>
              <w:spacing w:before="33" w:beforeAutospacing="0" w:after="0" w:afterAutospacing="0" w:line="223" w:lineRule="auto"/>
              <w:ind w:left="169" w:right="157" w:firstLine="1"/>
              <w:rPr>
                <w:rFonts w:hint="default"/>
              </w:rPr>
            </w:pPr>
            <w:r>
              <w:rPr>
                <w:rFonts w:hint="default"/>
                <w:spacing w:val="-2"/>
              </w:rPr>
              <w:t>5000t/a</w:t>
            </w:r>
            <w:r>
              <w:rPr>
                <w:rFonts w:hint="default"/>
                <w:spacing w:val="2"/>
              </w:rPr>
              <w:t xml:space="preserve"> </w:t>
            </w:r>
            <w:r>
              <w:rPr>
                <w:rFonts w:hint="default"/>
                <w:spacing w:val="-3"/>
              </w:rPr>
              <w:t>剥离液2</w:t>
            </w:r>
          </w:p>
        </w:tc>
      </w:tr>
      <w:tr w14:paraId="66959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470" w:type="dxa"/>
            <w:vAlign w:val="top"/>
          </w:tcPr>
          <w:p w14:paraId="35236E6F">
            <w:pPr>
              <w:pStyle w:val="22"/>
              <w:keepNext w:val="0"/>
              <w:keepLines w:val="0"/>
              <w:suppressLineNumbers w:val="0"/>
              <w:spacing w:before="66" w:beforeAutospacing="0" w:after="0" w:afterAutospacing="0" w:line="225" w:lineRule="auto"/>
              <w:ind w:left="117" w:right="0"/>
              <w:rPr>
                <w:rFonts w:hint="default"/>
              </w:rPr>
            </w:pPr>
            <w:r>
              <w:rPr>
                <w:rFonts w:hint="default"/>
              </w:rPr>
              <w:t>六</w:t>
            </w:r>
          </w:p>
        </w:tc>
        <w:tc>
          <w:tcPr>
            <w:tcW w:w="1163" w:type="dxa"/>
            <w:vAlign w:val="top"/>
          </w:tcPr>
          <w:p w14:paraId="6F2B0A69">
            <w:pPr>
              <w:pStyle w:val="22"/>
              <w:keepNext w:val="0"/>
              <w:keepLines w:val="0"/>
              <w:suppressLineNumbers w:val="0"/>
              <w:spacing w:before="67" w:beforeAutospacing="0" w:after="0" w:afterAutospacing="0" w:line="221" w:lineRule="auto"/>
              <w:ind w:left="163" w:right="0"/>
              <w:rPr>
                <w:rFonts w:hint="default"/>
              </w:rPr>
            </w:pPr>
            <w:r>
              <w:rPr>
                <w:rFonts w:hint="default"/>
                <w:spacing w:val="-2"/>
              </w:rPr>
              <w:t>辅助用料</w:t>
            </w:r>
          </w:p>
        </w:tc>
        <w:tc>
          <w:tcPr>
            <w:tcW w:w="934" w:type="dxa"/>
            <w:vAlign w:val="top"/>
          </w:tcPr>
          <w:p w14:paraId="11855737">
            <w:pPr>
              <w:keepNext w:val="0"/>
              <w:keepLines w:val="0"/>
              <w:suppressLineNumbers w:val="0"/>
              <w:spacing w:before="0" w:beforeAutospacing="0" w:after="0" w:afterAutospacing="0"/>
              <w:ind w:left="0" w:right="0"/>
              <w:rPr>
                <w:rFonts w:hint="default" w:ascii="Arial"/>
                <w:sz w:val="21"/>
              </w:rPr>
            </w:pPr>
          </w:p>
        </w:tc>
        <w:tc>
          <w:tcPr>
            <w:tcW w:w="468" w:type="dxa"/>
            <w:vAlign w:val="top"/>
          </w:tcPr>
          <w:p w14:paraId="2D2CFF37">
            <w:pPr>
              <w:keepNext w:val="0"/>
              <w:keepLines w:val="0"/>
              <w:suppressLineNumbers w:val="0"/>
              <w:spacing w:before="0" w:beforeAutospacing="0" w:after="0" w:afterAutospacing="0"/>
              <w:ind w:left="0" w:right="0"/>
              <w:rPr>
                <w:rFonts w:hint="default" w:ascii="Arial"/>
                <w:sz w:val="21"/>
              </w:rPr>
            </w:pPr>
          </w:p>
        </w:tc>
        <w:tc>
          <w:tcPr>
            <w:tcW w:w="1055" w:type="dxa"/>
            <w:vAlign w:val="top"/>
          </w:tcPr>
          <w:p w14:paraId="3A500E29">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4DF7E9AA">
            <w:pPr>
              <w:keepNext w:val="0"/>
              <w:keepLines w:val="0"/>
              <w:suppressLineNumbers w:val="0"/>
              <w:spacing w:before="0" w:beforeAutospacing="0" w:after="0" w:afterAutospacing="0"/>
              <w:ind w:left="0" w:right="0"/>
              <w:rPr>
                <w:rFonts w:hint="default" w:ascii="Arial"/>
                <w:sz w:val="21"/>
              </w:rPr>
            </w:pPr>
          </w:p>
        </w:tc>
        <w:tc>
          <w:tcPr>
            <w:tcW w:w="818" w:type="dxa"/>
            <w:vAlign w:val="top"/>
          </w:tcPr>
          <w:p w14:paraId="5582A12A">
            <w:pPr>
              <w:keepNext w:val="0"/>
              <w:keepLines w:val="0"/>
              <w:suppressLineNumbers w:val="0"/>
              <w:spacing w:before="0" w:beforeAutospacing="0" w:after="0" w:afterAutospacing="0"/>
              <w:ind w:left="0" w:right="0"/>
              <w:rPr>
                <w:rFonts w:hint="default" w:ascii="Arial"/>
                <w:sz w:val="21"/>
              </w:rPr>
            </w:pPr>
          </w:p>
        </w:tc>
        <w:tc>
          <w:tcPr>
            <w:tcW w:w="712" w:type="dxa"/>
            <w:vAlign w:val="top"/>
          </w:tcPr>
          <w:p w14:paraId="35728D12">
            <w:pPr>
              <w:keepNext w:val="0"/>
              <w:keepLines w:val="0"/>
              <w:suppressLineNumbers w:val="0"/>
              <w:spacing w:before="0" w:beforeAutospacing="0" w:after="0" w:afterAutospacing="0"/>
              <w:ind w:left="0" w:right="0"/>
              <w:rPr>
                <w:rFonts w:hint="default" w:ascii="Arial"/>
                <w:sz w:val="21"/>
              </w:rPr>
            </w:pPr>
          </w:p>
        </w:tc>
        <w:tc>
          <w:tcPr>
            <w:tcW w:w="629" w:type="dxa"/>
            <w:vAlign w:val="top"/>
          </w:tcPr>
          <w:p w14:paraId="3E2C1611">
            <w:pPr>
              <w:keepNext w:val="0"/>
              <w:keepLines w:val="0"/>
              <w:suppressLineNumbers w:val="0"/>
              <w:spacing w:before="0" w:beforeAutospacing="0" w:after="0" w:afterAutospacing="0"/>
              <w:ind w:left="0" w:right="0"/>
              <w:rPr>
                <w:rFonts w:hint="default" w:ascii="Arial"/>
                <w:sz w:val="21"/>
              </w:rPr>
            </w:pPr>
          </w:p>
        </w:tc>
        <w:tc>
          <w:tcPr>
            <w:tcW w:w="703" w:type="dxa"/>
            <w:vAlign w:val="top"/>
          </w:tcPr>
          <w:p w14:paraId="2F116155">
            <w:pPr>
              <w:keepNext w:val="0"/>
              <w:keepLines w:val="0"/>
              <w:suppressLineNumbers w:val="0"/>
              <w:spacing w:before="0" w:beforeAutospacing="0" w:after="0" w:afterAutospacing="0"/>
              <w:ind w:left="0" w:right="0"/>
              <w:rPr>
                <w:rFonts w:hint="default" w:ascii="Arial"/>
                <w:sz w:val="21"/>
              </w:rPr>
            </w:pPr>
          </w:p>
        </w:tc>
        <w:tc>
          <w:tcPr>
            <w:tcW w:w="1058" w:type="dxa"/>
            <w:vAlign w:val="top"/>
          </w:tcPr>
          <w:p w14:paraId="37BF7702">
            <w:pPr>
              <w:keepNext w:val="0"/>
              <w:keepLines w:val="0"/>
              <w:suppressLineNumbers w:val="0"/>
              <w:spacing w:before="0" w:beforeAutospacing="0" w:after="0" w:afterAutospacing="0"/>
              <w:ind w:left="0" w:right="0"/>
              <w:rPr>
                <w:rFonts w:hint="default" w:ascii="Arial"/>
                <w:sz w:val="21"/>
              </w:rPr>
            </w:pPr>
          </w:p>
        </w:tc>
      </w:tr>
      <w:tr w14:paraId="67C9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470" w:type="dxa"/>
            <w:vAlign w:val="top"/>
          </w:tcPr>
          <w:p w14:paraId="42650668">
            <w:pPr>
              <w:pStyle w:val="22"/>
              <w:keepNext w:val="0"/>
              <w:keepLines w:val="0"/>
              <w:suppressLineNumbers w:val="0"/>
              <w:spacing w:before="206" w:beforeAutospacing="0" w:after="0" w:afterAutospacing="0" w:line="181" w:lineRule="auto"/>
              <w:ind w:left="193" w:right="0"/>
              <w:rPr>
                <w:rFonts w:hint="default"/>
              </w:rPr>
            </w:pPr>
            <w:r>
              <w:rPr>
                <w:rFonts w:hint="default"/>
              </w:rPr>
              <w:t>7</w:t>
            </w:r>
          </w:p>
        </w:tc>
        <w:tc>
          <w:tcPr>
            <w:tcW w:w="1163" w:type="dxa"/>
            <w:vAlign w:val="top"/>
          </w:tcPr>
          <w:p w14:paraId="72050847">
            <w:pPr>
              <w:pStyle w:val="22"/>
              <w:keepNext w:val="0"/>
              <w:keepLines w:val="0"/>
              <w:suppressLineNumbers w:val="0"/>
              <w:spacing w:before="34" w:beforeAutospacing="0" w:after="0" w:afterAutospacing="0" w:line="223" w:lineRule="auto"/>
              <w:ind w:left="476" w:right="161" w:hanging="290"/>
              <w:rPr>
                <w:rFonts w:hint="default"/>
              </w:rPr>
            </w:pPr>
            <w:r>
              <w:rPr>
                <w:rFonts w:hint="default"/>
                <w:spacing w:val="-8"/>
              </w:rPr>
              <w:t>电子级盐</w:t>
            </w:r>
            <w:r>
              <w:rPr>
                <w:rFonts w:hint="default"/>
              </w:rPr>
              <w:t xml:space="preserve"> 酸</w:t>
            </w:r>
          </w:p>
        </w:tc>
        <w:tc>
          <w:tcPr>
            <w:tcW w:w="934" w:type="dxa"/>
            <w:vAlign w:val="top"/>
          </w:tcPr>
          <w:p w14:paraId="5F1BA487">
            <w:pPr>
              <w:pStyle w:val="22"/>
              <w:keepNext w:val="0"/>
              <w:keepLines w:val="0"/>
              <w:suppressLineNumbers w:val="0"/>
              <w:spacing w:before="205" w:beforeAutospacing="0" w:after="0" w:afterAutospacing="0" w:line="182" w:lineRule="auto"/>
              <w:ind w:left="212" w:right="0"/>
              <w:rPr>
                <w:rFonts w:hint="default"/>
              </w:rPr>
            </w:pPr>
            <w:r>
              <w:rPr>
                <w:rFonts w:hint="default"/>
                <w:spacing w:val="-1"/>
              </w:rPr>
              <w:t>36.5%</w:t>
            </w:r>
          </w:p>
        </w:tc>
        <w:tc>
          <w:tcPr>
            <w:tcW w:w="468" w:type="dxa"/>
            <w:vAlign w:val="top"/>
          </w:tcPr>
          <w:p w14:paraId="3C3972E8">
            <w:pPr>
              <w:pStyle w:val="22"/>
              <w:keepNext w:val="0"/>
              <w:keepLines w:val="0"/>
              <w:suppressLineNumbers w:val="0"/>
              <w:spacing w:before="170" w:beforeAutospacing="0" w:after="0" w:afterAutospacing="0" w:line="221" w:lineRule="auto"/>
              <w:ind w:left="133" w:right="0"/>
              <w:rPr>
                <w:rFonts w:hint="default"/>
              </w:rPr>
            </w:pPr>
            <w:r>
              <w:rPr>
                <w:rFonts w:hint="default"/>
              </w:rPr>
              <w:t>液</w:t>
            </w:r>
          </w:p>
        </w:tc>
        <w:tc>
          <w:tcPr>
            <w:tcW w:w="1055" w:type="dxa"/>
            <w:vAlign w:val="top"/>
          </w:tcPr>
          <w:p w14:paraId="18D2CE20">
            <w:pPr>
              <w:keepNext w:val="0"/>
              <w:keepLines w:val="0"/>
              <w:suppressLineNumbers w:val="0"/>
              <w:spacing w:before="197" w:beforeAutospacing="0" w:after="0" w:afterAutospacing="0" w:line="195" w:lineRule="auto"/>
              <w:ind w:left="312" w:right="0"/>
              <w:rPr>
                <w:rFonts w:hint="default" w:ascii="Arial" w:hAnsi="Arial" w:eastAsia="Arial" w:cs="Arial"/>
                <w:sz w:val="21"/>
                <w:szCs w:val="21"/>
              </w:rPr>
            </w:pPr>
            <w:r>
              <w:rPr>
                <w:rFonts w:hint="default" w:ascii="Arial" w:hAnsi="Arial" w:eastAsia="Arial" w:cs="Arial"/>
                <w:spacing w:val="-4"/>
                <w:sz w:val="21"/>
                <w:szCs w:val="21"/>
              </w:rPr>
              <w:t>1789</w:t>
            </w:r>
          </w:p>
        </w:tc>
        <w:tc>
          <w:tcPr>
            <w:tcW w:w="1396" w:type="dxa"/>
            <w:vAlign w:val="top"/>
          </w:tcPr>
          <w:p w14:paraId="1888ED2A">
            <w:pPr>
              <w:pStyle w:val="22"/>
              <w:keepNext w:val="0"/>
              <w:keepLines w:val="0"/>
              <w:suppressLineNumbers w:val="0"/>
              <w:spacing w:before="205" w:beforeAutospacing="0" w:after="0" w:afterAutospacing="0" w:line="182" w:lineRule="auto"/>
              <w:ind w:left="600" w:right="0"/>
              <w:rPr>
                <w:rFonts w:hint="default"/>
              </w:rPr>
            </w:pPr>
            <w:r>
              <w:rPr>
                <w:rFonts w:hint="default"/>
                <w:spacing w:val="-3"/>
              </w:rPr>
              <w:t>50</w:t>
            </w:r>
          </w:p>
        </w:tc>
        <w:tc>
          <w:tcPr>
            <w:tcW w:w="818" w:type="dxa"/>
            <w:vAlign w:val="top"/>
          </w:tcPr>
          <w:p w14:paraId="788AC30B">
            <w:pPr>
              <w:pStyle w:val="22"/>
              <w:keepNext w:val="0"/>
              <w:keepLines w:val="0"/>
              <w:suppressLineNumbers w:val="0"/>
              <w:spacing w:before="205" w:beforeAutospacing="0" w:after="0" w:afterAutospacing="0" w:line="182" w:lineRule="auto"/>
              <w:ind w:left="366" w:right="0"/>
              <w:rPr>
                <w:rFonts w:hint="default"/>
              </w:rPr>
            </w:pPr>
            <w:r>
              <w:rPr>
                <w:rFonts w:hint="default"/>
              </w:rPr>
              <w:t>3</w:t>
            </w:r>
          </w:p>
        </w:tc>
        <w:tc>
          <w:tcPr>
            <w:tcW w:w="712" w:type="dxa"/>
            <w:vAlign w:val="top"/>
          </w:tcPr>
          <w:p w14:paraId="58F43273">
            <w:pPr>
              <w:pStyle w:val="22"/>
              <w:keepNext w:val="0"/>
              <w:keepLines w:val="0"/>
              <w:suppressLineNumbers w:val="0"/>
              <w:spacing w:before="34" w:beforeAutospacing="0" w:after="0" w:afterAutospacing="0" w:line="223" w:lineRule="auto"/>
              <w:ind w:left="256" w:right="141" w:hanging="103"/>
              <w:rPr>
                <w:rFonts w:hint="default"/>
              </w:rPr>
            </w:pPr>
            <w:r>
              <w:rPr>
                <w:rFonts w:hint="default"/>
                <w:spacing w:val="-3"/>
              </w:rPr>
              <w:t>2#仓</w:t>
            </w:r>
            <w:r>
              <w:rPr>
                <w:rFonts w:hint="default"/>
              </w:rPr>
              <w:t xml:space="preserve"> 库</w:t>
            </w:r>
          </w:p>
        </w:tc>
        <w:tc>
          <w:tcPr>
            <w:tcW w:w="629" w:type="dxa"/>
            <w:textDirection w:val="tbRlV"/>
            <w:vAlign w:val="top"/>
          </w:tcPr>
          <w:p w14:paraId="75C49E26">
            <w:pPr>
              <w:pStyle w:val="22"/>
              <w:keepNext w:val="0"/>
              <w:keepLines w:val="0"/>
              <w:suppressLineNumbers w:val="0"/>
              <w:spacing w:before="206" w:beforeAutospacing="0" w:after="0" w:afterAutospacing="0" w:line="209" w:lineRule="auto"/>
              <w:ind w:left="35" w:right="0"/>
              <w:rPr>
                <w:rFonts w:hint="default"/>
              </w:rPr>
            </w:pPr>
            <w:r>
              <w:rPr>
                <w:rFonts w:hint="default"/>
                <w:spacing w:val="31"/>
              </w:rPr>
              <w:t>桶装</w:t>
            </w:r>
          </w:p>
        </w:tc>
        <w:tc>
          <w:tcPr>
            <w:tcW w:w="703" w:type="dxa"/>
            <w:vAlign w:val="top"/>
          </w:tcPr>
          <w:p w14:paraId="6E8A180A">
            <w:pPr>
              <w:pStyle w:val="22"/>
              <w:keepNext w:val="0"/>
              <w:keepLines w:val="0"/>
              <w:suppressLineNumbers w:val="0"/>
              <w:spacing w:before="170" w:beforeAutospacing="0" w:after="0" w:afterAutospacing="0" w:line="224" w:lineRule="auto"/>
              <w:ind w:left="150" w:right="0"/>
              <w:rPr>
                <w:rFonts w:hint="default"/>
              </w:rPr>
            </w:pPr>
            <w:r>
              <w:rPr>
                <w:rFonts w:hint="default"/>
                <w:spacing w:val="-2"/>
              </w:rPr>
              <w:t>汽运</w:t>
            </w:r>
          </w:p>
        </w:tc>
        <w:tc>
          <w:tcPr>
            <w:tcW w:w="1058" w:type="dxa"/>
            <w:vAlign w:val="top"/>
          </w:tcPr>
          <w:p w14:paraId="5C9ACEB2">
            <w:pPr>
              <w:pStyle w:val="22"/>
              <w:keepNext w:val="0"/>
              <w:keepLines w:val="0"/>
              <w:suppressLineNumbers w:val="0"/>
              <w:spacing w:before="34" w:beforeAutospacing="0" w:after="0" w:afterAutospacing="0" w:line="223" w:lineRule="auto"/>
              <w:ind w:left="219" w:right="207"/>
              <w:rPr>
                <w:rFonts w:hint="default"/>
              </w:rPr>
            </w:pPr>
            <w:r>
              <w:rPr>
                <w:rFonts w:hint="default"/>
                <w:spacing w:val="-2"/>
              </w:rPr>
              <w:t>清洗管</w:t>
            </w:r>
            <w:r>
              <w:rPr>
                <w:rFonts w:hint="default"/>
              </w:rPr>
              <w:t xml:space="preserve"> </w:t>
            </w:r>
            <w:r>
              <w:rPr>
                <w:rFonts w:hint="default"/>
                <w:spacing w:val="-2"/>
              </w:rPr>
              <w:t>道之用</w:t>
            </w:r>
          </w:p>
        </w:tc>
      </w:tr>
      <w:tr w14:paraId="2B97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470" w:type="dxa"/>
            <w:vAlign w:val="top"/>
          </w:tcPr>
          <w:p w14:paraId="78949F37">
            <w:pPr>
              <w:pStyle w:val="22"/>
              <w:keepNext w:val="0"/>
              <w:keepLines w:val="0"/>
              <w:suppressLineNumbers w:val="0"/>
              <w:spacing w:before="203" w:beforeAutospacing="0" w:after="0" w:afterAutospacing="0" w:line="182" w:lineRule="auto"/>
              <w:ind w:left="188" w:right="0"/>
              <w:rPr>
                <w:rFonts w:hint="default"/>
              </w:rPr>
            </w:pPr>
            <w:r>
              <w:rPr>
                <w:rFonts w:hint="default"/>
              </w:rPr>
              <w:t>8</w:t>
            </w:r>
          </w:p>
        </w:tc>
        <w:tc>
          <w:tcPr>
            <w:tcW w:w="1163" w:type="dxa"/>
            <w:vAlign w:val="top"/>
          </w:tcPr>
          <w:p w14:paraId="7D32D6FF">
            <w:pPr>
              <w:pStyle w:val="22"/>
              <w:keepNext w:val="0"/>
              <w:keepLines w:val="0"/>
              <w:suppressLineNumbers w:val="0"/>
              <w:spacing w:before="33" w:beforeAutospacing="0" w:after="0" w:afterAutospacing="0" w:line="224" w:lineRule="auto"/>
              <w:ind w:left="267" w:right="161" w:hanging="86"/>
              <w:rPr>
                <w:rFonts w:hint="default"/>
              </w:rPr>
            </w:pPr>
            <w:r>
              <w:rPr>
                <w:rFonts w:hint="default"/>
                <w:spacing w:val="-7"/>
              </w:rPr>
              <w:t>四甲基氢</w:t>
            </w:r>
            <w:r>
              <w:rPr>
                <w:rFonts w:hint="default"/>
                <w:spacing w:val="1"/>
              </w:rPr>
              <w:t xml:space="preserve"> </w:t>
            </w:r>
            <w:bookmarkStart w:id="1" w:name="bookmark28"/>
            <w:bookmarkEnd w:id="1"/>
            <w:r>
              <w:rPr>
                <w:rFonts w:hint="default"/>
                <w:spacing w:val="-2"/>
              </w:rPr>
              <w:t>氧化铵</w:t>
            </w:r>
          </w:p>
        </w:tc>
        <w:tc>
          <w:tcPr>
            <w:tcW w:w="934" w:type="dxa"/>
            <w:vAlign w:val="top"/>
          </w:tcPr>
          <w:p w14:paraId="2A2A132C">
            <w:pPr>
              <w:pStyle w:val="22"/>
              <w:keepNext w:val="0"/>
              <w:keepLines w:val="0"/>
              <w:suppressLineNumbers w:val="0"/>
              <w:spacing w:before="203" w:beforeAutospacing="0" w:after="0" w:afterAutospacing="0" w:line="182" w:lineRule="auto"/>
              <w:ind w:left="367" w:right="0"/>
              <w:rPr>
                <w:rFonts w:hint="default"/>
              </w:rPr>
            </w:pPr>
            <w:r>
              <w:rPr>
                <w:rFonts w:hint="default"/>
                <w:spacing w:val="-3"/>
              </w:rPr>
              <w:t>25</w:t>
            </w:r>
          </w:p>
        </w:tc>
        <w:tc>
          <w:tcPr>
            <w:tcW w:w="468" w:type="dxa"/>
            <w:vAlign w:val="top"/>
          </w:tcPr>
          <w:p w14:paraId="028D4247">
            <w:pPr>
              <w:pStyle w:val="22"/>
              <w:keepNext w:val="0"/>
              <w:keepLines w:val="0"/>
              <w:suppressLineNumbers w:val="0"/>
              <w:spacing w:before="168" w:beforeAutospacing="0" w:after="0" w:afterAutospacing="0" w:line="221" w:lineRule="auto"/>
              <w:ind w:left="133" w:right="0"/>
              <w:rPr>
                <w:rFonts w:hint="default"/>
              </w:rPr>
            </w:pPr>
            <w:r>
              <w:rPr>
                <w:rFonts w:hint="default"/>
              </w:rPr>
              <w:t>液</w:t>
            </w:r>
          </w:p>
        </w:tc>
        <w:tc>
          <w:tcPr>
            <w:tcW w:w="1055" w:type="dxa"/>
            <w:vAlign w:val="top"/>
          </w:tcPr>
          <w:p w14:paraId="6C458745">
            <w:pPr>
              <w:keepNext w:val="0"/>
              <w:keepLines w:val="0"/>
              <w:suppressLineNumbers w:val="0"/>
              <w:spacing w:before="0" w:beforeAutospacing="0" w:after="0" w:afterAutospacing="0"/>
              <w:ind w:left="0" w:right="0"/>
              <w:rPr>
                <w:rFonts w:hint="default" w:ascii="Arial"/>
                <w:sz w:val="21"/>
              </w:rPr>
            </w:pPr>
          </w:p>
        </w:tc>
        <w:tc>
          <w:tcPr>
            <w:tcW w:w="1396" w:type="dxa"/>
            <w:vAlign w:val="top"/>
          </w:tcPr>
          <w:p w14:paraId="7B17B6B8">
            <w:pPr>
              <w:pStyle w:val="22"/>
              <w:keepNext w:val="0"/>
              <w:keepLines w:val="0"/>
              <w:suppressLineNumbers w:val="0"/>
              <w:spacing w:before="203" w:beforeAutospacing="0" w:after="0" w:afterAutospacing="0" w:line="182" w:lineRule="auto"/>
              <w:ind w:left="598" w:right="0"/>
              <w:rPr>
                <w:rFonts w:hint="default"/>
              </w:rPr>
            </w:pPr>
            <w:r>
              <w:rPr>
                <w:rFonts w:hint="default"/>
                <w:spacing w:val="-3"/>
              </w:rPr>
              <w:t>20</w:t>
            </w:r>
          </w:p>
        </w:tc>
        <w:tc>
          <w:tcPr>
            <w:tcW w:w="818" w:type="dxa"/>
            <w:vAlign w:val="top"/>
          </w:tcPr>
          <w:p w14:paraId="1266CEA9">
            <w:pPr>
              <w:pStyle w:val="22"/>
              <w:keepNext w:val="0"/>
              <w:keepLines w:val="0"/>
              <w:suppressLineNumbers w:val="0"/>
              <w:spacing w:before="202" w:beforeAutospacing="0" w:after="0" w:afterAutospacing="0" w:line="183" w:lineRule="auto"/>
              <w:ind w:left="324" w:right="0"/>
              <w:rPr>
                <w:rFonts w:hint="default"/>
              </w:rPr>
            </w:pPr>
            <w:r>
              <w:rPr>
                <w:rFonts w:hint="default"/>
                <w:spacing w:val="-6"/>
              </w:rPr>
              <w:t>10</w:t>
            </w:r>
          </w:p>
        </w:tc>
        <w:tc>
          <w:tcPr>
            <w:tcW w:w="712" w:type="dxa"/>
            <w:vAlign w:val="top"/>
          </w:tcPr>
          <w:p w14:paraId="19F08082">
            <w:pPr>
              <w:pStyle w:val="22"/>
              <w:keepNext w:val="0"/>
              <w:keepLines w:val="0"/>
              <w:suppressLineNumbers w:val="0"/>
              <w:spacing w:before="33" w:beforeAutospacing="0" w:after="0" w:afterAutospacing="0" w:line="224" w:lineRule="auto"/>
              <w:ind w:left="257" w:right="141" w:hanging="102"/>
              <w:rPr>
                <w:rFonts w:hint="default"/>
              </w:rPr>
            </w:pPr>
            <w:r>
              <w:rPr>
                <w:rFonts w:hint="default"/>
                <w:spacing w:val="-4"/>
              </w:rPr>
              <w:t>3#仓</w:t>
            </w:r>
            <w:r>
              <w:rPr>
                <w:rFonts w:hint="default"/>
              </w:rPr>
              <w:t xml:space="preserve"> 库</w:t>
            </w:r>
          </w:p>
        </w:tc>
        <w:tc>
          <w:tcPr>
            <w:tcW w:w="629" w:type="dxa"/>
            <w:textDirection w:val="tbRlV"/>
            <w:vAlign w:val="top"/>
          </w:tcPr>
          <w:p w14:paraId="36C75029">
            <w:pPr>
              <w:pStyle w:val="22"/>
              <w:keepNext w:val="0"/>
              <w:keepLines w:val="0"/>
              <w:suppressLineNumbers w:val="0"/>
              <w:spacing w:before="206" w:beforeAutospacing="0" w:after="0" w:afterAutospacing="0" w:line="209" w:lineRule="auto"/>
              <w:ind w:left="33" w:right="0"/>
              <w:rPr>
                <w:rFonts w:hint="default"/>
              </w:rPr>
            </w:pPr>
            <w:r>
              <w:rPr>
                <w:rFonts w:hint="default"/>
                <w:spacing w:val="31"/>
              </w:rPr>
              <w:t>桶装</w:t>
            </w:r>
          </w:p>
        </w:tc>
        <w:tc>
          <w:tcPr>
            <w:tcW w:w="703" w:type="dxa"/>
            <w:vAlign w:val="top"/>
          </w:tcPr>
          <w:p w14:paraId="2E91D574">
            <w:pPr>
              <w:pStyle w:val="22"/>
              <w:keepNext w:val="0"/>
              <w:keepLines w:val="0"/>
              <w:suppressLineNumbers w:val="0"/>
              <w:spacing w:before="168" w:beforeAutospacing="0" w:after="0" w:afterAutospacing="0" w:line="224" w:lineRule="auto"/>
              <w:ind w:left="150" w:right="0"/>
              <w:rPr>
                <w:rFonts w:hint="default"/>
              </w:rPr>
            </w:pPr>
            <w:r>
              <w:rPr>
                <w:rFonts w:hint="default"/>
                <w:spacing w:val="-2"/>
              </w:rPr>
              <w:t>汽运</w:t>
            </w:r>
          </w:p>
        </w:tc>
        <w:tc>
          <w:tcPr>
            <w:tcW w:w="1058" w:type="dxa"/>
            <w:vAlign w:val="top"/>
          </w:tcPr>
          <w:p w14:paraId="26AB8A36">
            <w:pPr>
              <w:pStyle w:val="22"/>
              <w:keepNext w:val="0"/>
              <w:keepLines w:val="0"/>
              <w:suppressLineNumbers w:val="0"/>
              <w:spacing w:before="33" w:beforeAutospacing="0" w:after="0" w:afterAutospacing="0" w:line="224" w:lineRule="auto"/>
              <w:ind w:left="428" w:right="207" w:hanging="203"/>
              <w:rPr>
                <w:rFonts w:hint="default"/>
              </w:rPr>
            </w:pPr>
            <w:r>
              <w:rPr>
                <w:rFonts w:hint="default"/>
                <w:spacing w:val="-4"/>
              </w:rPr>
              <w:t>实验原</w:t>
            </w:r>
            <w:r>
              <w:rPr>
                <w:rFonts w:hint="default"/>
                <w:spacing w:val="1"/>
              </w:rPr>
              <w:t xml:space="preserve"> </w:t>
            </w:r>
            <w:r>
              <w:rPr>
                <w:rFonts w:hint="default"/>
              </w:rPr>
              <w:t>料</w:t>
            </w:r>
          </w:p>
        </w:tc>
      </w:tr>
    </w:tbl>
    <w:p w14:paraId="5C623071">
      <w:pPr>
        <w:widowControl/>
        <w:numPr>
          <w:ilvl w:val="0"/>
          <w:numId w:val="0"/>
        </w:numPr>
        <w:spacing w:line="540" w:lineRule="exact"/>
        <w:ind w:leftChars="0"/>
        <w:rPr>
          <w:rFonts w:hint="eastAsia" w:ascii="宋体" w:hAnsi="宋体"/>
          <w:b/>
          <w:bCs/>
          <w:kern w:val="0"/>
          <w:sz w:val="28"/>
          <w:szCs w:val="28"/>
        </w:rPr>
      </w:pPr>
    </w:p>
    <w:p w14:paraId="2C551B4A">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工艺流程</w:t>
      </w:r>
    </w:p>
    <w:p w14:paraId="2D357E36">
      <w:pPr>
        <w:pStyle w:val="6"/>
        <w:spacing w:before="91" w:line="219" w:lineRule="auto"/>
        <w:ind w:left="120"/>
      </w:pPr>
      <w:r>
        <w:rPr>
          <w:rFonts w:ascii="宋体" w:hAnsi="宋体" w:eastAsia="宋体" w:cs="宋体"/>
          <w:spacing w:val="-3"/>
          <w:sz w:val="28"/>
          <w:szCs w:val="28"/>
        </w:rPr>
        <w:t>电子级双氧水工艺流程</w:t>
      </w:r>
    </w:p>
    <w:p w14:paraId="5672AD92">
      <w:pPr>
        <w:spacing w:before="91" w:line="349" w:lineRule="auto"/>
        <w:ind w:left="146" w:right="112" w:firstLine="537"/>
        <w:jc w:val="both"/>
        <w:rPr>
          <w:rFonts w:ascii="宋体" w:hAnsi="宋体" w:eastAsia="宋体" w:cs="宋体"/>
          <w:spacing w:val="-4"/>
          <w:sz w:val="28"/>
          <w:szCs w:val="28"/>
        </w:rPr>
      </w:pPr>
      <w:r>
        <w:rPr>
          <w:rFonts w:ascii="宋体" w:hAnsi="宋体" w:eastAsia="宋体" w:cs="宋体"/>
          <w:spacing w:val="-2"/>
          <w:sz w:val="28"/>
          <w:szCs w:val="28"/>
        </w:rPr>
        <w:t>本项目外购工业级双氧水作为原料，经一系列的提纯、净化过</w:t>
      </w:r>
      <w:r>
        <w:rPr>
          <w:rFonts w:ascii="宋体" w:hAnsi="宋体" w:eastAsia="宋体" w:cs="宋体"/>
          <w:spacing w:val="-3"/>
          <w:sz w:val="28"/>
          <w:szCs w:val="28"/>
        </w:rPr>
        <w:t>程而获得</w:t>
      </w:r>
      <w:r>
        <w:rPr>
          <w:rFonts w:ascii="宋体" w:hAnsi="宋体" w:eastAsia="宋体" w:cs="宋体"/>
          <w:sz w:val="28"/>
          <w:szCs w:val="28"/>
        </w:rPr>
        <w:t xml:space="preserve"> </w:t>
      </w:r>
      <w:r>
        <w:rPr>
          <w:rFonts w:ascii="宋体" w:hAnsi="宋体" w:eastAsia="宋体" w:cs="宋体"/>
          <w:spacing w:val="-3"/>
          <w:sz w:val="28"/>
          <w:szCs w:val="28"/>
        </w:rPr>
        <w:t>电子级双氧水，主要工艺包括原料卸料及贮存、分离、稀释、离子交换、产</w:t>
      </w:r>
      <w:r>
        <w:rPr>
          <w:rFonts w:ascii="宋体" w:hAnsi="宋体" w:eastAsia="宋体" w:cs="宋体"/>
          <w:spacing w:val="8"/>
          <w:sz w:val="28"/>
          <w:szCs w:val="28"/>
        </w:rPr>
        <w:t xml:space="preserve"> </w:t>
      </w:r>
      <w:r>
        <w:rPr>
          <w:rFonts w:ascii="宋体" w:hAnsi="宋体" w:eastAsia="宋体" w:cs="宋体"/>
          <w:spacing w:val="-4"/>
          <w:sz w:val="28"/>
          <w:szCs w:val="28"/>
        </w:rPr>
        <w:t>品灌装等工序步骤。</w:t>
      </w:r>
    </w:p>
    <w:p w14:paraId="6A5FA19E">
      <w:pPr>
        <w:spacing w:before="91" w:line="349" w:lineRule="auto"/>
        <w:ind w:left="146" w:right="112" w:firstLine="537"/>
        <w:jc w:val="both"/>
      </w:pPr>
      <w:r>
        <w:rPr>
          <w:rFonts w:ascii="宋体" w:hAnsi="宋体" w:eastAsia="宋体" w:cs="宋体"/>
          <w:spacing w:val="-2"/>
          <w:sz w:val="28"/>
          <w:szCs w:val="28"/>
        </w:rPr>
        <w:t>（1）原料卸料及储存</w:t>
      </w:r>
    </w:p>
    <w:p w14:paraId="00CA52B1">
      <w:pPr>
        <w:spacing w:before="91" w:line="353" w:lineRule="auto"/>
        <w:ind w:left="127" w:right="14" w:firstLine="561"/>
        <w:jc w:val="both"/>
      </w:pPr>
      <w:r>
        <w:rPr>
          <w:rFonts w:ascii="宋体" w:hAnsi="宋体" w:eastAsia="宋体" w:cs="宋体"/>
          <w:spacing w:val="2"/>
          <w:sz w:val="28"/>
          <w:szCs w:val="28"/>
        </w:rPr>
        <w:t>外购原料（50%工业级双氧水）经槽罐车运至双氧水罐组卸料场地，经</w:t>
      </w:r>
      <w:r>
        <w:rPr>
          <w:rFonts w:ascii="宋体" w:hAnsi="宋体" w:eastAsia="宋体" w:cs="宋体"/>
          <w:spacing w:val="1"/>
          <w:sz w:val="28"/>
          <w:szCs w:val="28"/>
        </w:rPr>
        <w:t xml:space="preserve"> </w:t>
      </w:r>
      <w:r>
        <w:rPr>
          <w:rFonts w:ascii="宋体" w:hAnsi="宋体" w:eastAsia="宋体" w:cs="宋体"/>
          <w:spacing w:val="-1"/>
          <w:sz w:val="28"/>
          <w:szCs w:val="28"/>
        </w:rPr>
        <w:t>卸车泵</w:t>
      </w:r>
      <w:r>
        <w:rPr>
          <w:rFonts w:ascii="宋体" w:hAnsi="宋体" w:eastAsia="宋体" w:cs="宋体"/>
          <w:spacing w:val="-49"/>
          <w:sz w:val="28"/>
          <w:szCs w:val="28"/>
        </w:rPr>
        <w:t xml:space="preserve"> </w:t>
      </w:r>
      <w:r>
        <w:rPr>
          <w:rFonts w:ascii="宋体" w:hAnsi="宋体" w:eastAsia="宋体" w:cs="宋体"/>
          <w:spacing w:val="-1"/>
          <w:sz w:val="28"/>
          <w:szCs w:val="28"/>
        </w:rPr>
        <w:t>P280101</w:t>
      </w:r>
      <w:r>
        <w:rPr>
          <w:rFonts w:ascii="宋体" w:hAnsi="宋体" w:eastAsia="宋体" w:cs="宋体"/>
          <w:spacing w:val="-58"/>
          <w:sz w:val="28"/>
          <w:szCs w:val="28"/>
        </w:rPr>
        <w:t xml:space="preserve"> </w:t>
      </w:r>
      <w:r>
        <w:rPr>
          <w:rFonts w:ascii="宋体" w:hAnsi="宋体" w:eastAsia="宋体" w:cs="宋体"/>
          <w:spacing w:val="-1"/>
          <w:sz w:val="28"/>
          <w:szCs w:val="28"/>
        </w:rPr>
        <w:t>送入工业级双氧水储罐</w:t>
      </w:r>
      <w:r>
        <w:rPr>
          <w:rFonts w:ascii="宋体" w:hAnsi="宋体" w:eastAsia="宋体" w:cs="宋体"/>
          <w:spacing w:val="-59"/>
          <w:sz w:val="28"/>
          <w:szCs w:val="28"/>
        </w:rPr>
        <w:t xml:space="preserve"> </w:t>
      </w:r>
      <w:r>
        <w:rPr>
          <w:rFonts w:ascii="宋体" w:hAnsi="宋体" w:eastAsia="宋体" w:cs="宋体"/>
          <w:spacing w:val="-1"/>
          <w:sz w:val="28"/>
          <w:szCs w:val="28"/>
        </w:rPr>
        <w:t>V280101A/B。储罐设置液位高/低报</w:t>
      </w:r>
      <w:r>
        <w:rPr>
          <w:rFonts w:ascii="宋体" w:hAnsi="宋体" w:eastAsia="宋体" w:cs="宋体"/>
          <w:sz w:val="28"/>
          <w:szCs w:val="28"/>
        </w:rPr>
        <w:t xml:space="preserve"> </w:t>
      </w:r>
      <w:r>
        <w:rPr>
          <w:rFonts w:ascii="宋体" w:hAnsi="宋体" w:eastAsia="宋体" w:cs="宋体"/>
          <w:spacing w:val="-1"/>
          <w:sz w:val="28"/>
          <w:szCs w:val="28"/>
        </w:rPr>
        <w:t>警，高高连锁关闭双氧水进料切断阀、停卸车泵</w:t>
      </w:r>
      <w:r>
        <w:rPr>
          <w:rFonts w:ascii="宋体" w:hAnsi="宋体" w:eastAsia="宋体" w:cs="宋体"/>
          <w:spacing w:val="-34"/>
          <w:sz w:val="28"/>
          <w:szCs w:val="28"/>
        </w:rPr>
        <w:t xml:space="preserve"> </w:t>
      </w:r>
      <w:r>
        <w:rPr>
          <w:rFonts w:ascii="宋体" w:hAnsi="宋体" w:eastAsia="宋体" w:cs="宋体"/>
          <w:spacing w:val="-1"/>
          <w:sz w:val="28"/>
          <w:szCs w:val="28"/>
        </w:rPr>
        <w:t>P280101，低低连锁停双氧</w:t>
      </w:r>
      <w:r>
        <w:rPr>
          <w:rFonts w:ascii="宋体" w:hAnsi="宋体" w:eastAsia="宋体" w:cs="宋体"/>
          <w:sz w:val="28"/>
          <w:szCs w:val="28"/>
        </w:rPr>
        <w:t xml:space="preserve"> </w:t>
      </w:r>
      <w:r>
        <w:rPr>
          <w:rFonts w:ascii="宋体" w:hAnsi="宋体" w:eastAsia="宋体" w:cs="宋体"/>
          <w:spacing w:val="-8"/>
          <w:sz w:val="28"/>
          <w:szCs w:val="28"/>
        </w:rPr>
        <w:t>水输送泵</w:t>
      </w:r>
      <w:r>
        <w:rPr>
          <w:rFonts w:ascii="宋体" w:hAnsi="宋体" w:eastAsia="宋体" w:cs="宋体"/>
          <w:spacing w:val="-66"/>
          <w:sz w:val="28"/>
          <w:szCs w:val="28"/>
        </w:rPr>
        <w:t xml:space="preserve"> </w:t>
      </w:r>
      <w:r>
        <w:rPr>
          <w:rFonts w:ascii="宋体" w:hAnsi="宋体" w:eastAsia="宋体" w:cs="宋体"/>
          <w:spacing w:val="-8"/>
          <w:sz w:val="28"/>
          <w:szCs w:val="28"/>
        </w:rPr>
        <w:t>P280102A/B。原料卸料前进行取样化验</w:t>
      </w:r>
      <w:r>
        <w:rPr>
          <w:rFonts w:ascii="宋体" w:hAnsi="宋体" w:eastAsia="宋体" w:cs="宋体"/>
          <w:spacing w:val="-9"/>
          <w:sz w:val="28"/>
          <w:szCs w:val="28"/>
        </w:rPr>
        <w:t>，化验合格后方可进行卸料。</w:t>
      </w:r>
      <w:r>
        <w:rPr>
          <w:rFonts w:ascii="宋体" w:hAnsi="宋体" w:eastAsia="宋体" w:cs="宋体"/>
          <w:sz w:val="28"/>
          <w:szCs w:val="28"/>
        </w:rPr>
        <w:t xml:space="preserve"> </w:t>
      </w:r>
      <w:r>
        <w:rPr>
          <w:rFonts w:ascii="宋体" w:hAnsi="宋体" w:eastAsia="宋体" w:cs="宋体"/>
          <w:spacing w:val="-4"/>
          <w:sz w:val="28"/>
          <w:szCs w:val="28"/>
        </w:rPr>
        <w:t>卸料完成后进行相应静置。</w:t>
      </w:r>
    </w:p>
    <w:p w14:paraId="6B3E2020">
      <w:pPr>
        <w:spacing w:before="91" w:line="221" w:lineRule="auto"/>
        <w:ind w:left="607"/>
        <w:rPr>
          <w:rFonts w:ascii="宋体" w:hAnsi="宋体" w:eastAsia="宋体" w:cs="宋体"/>
          <w:sz w:val="28"/>
          <w:szCs w:val="28"/>
        </w:rPr>
      </w:pPr>
      <w:r>
        <w:rPr>
          <w:rFonts w:ascii="宋体" w:hAnsi="宋体" w:eastAsia="宋体" w:cs="宋体"/>
          <w:spacing w:val="-2"/>
          <w:sz w:val="28"/>
          <w:szCs w:val="28"/>
        </w:rPr>
        <w:t>（2）物理过程分离</w:t>
      </w:r>
    </w:p>
    <w:p w14:paraId="639988A4">
      <w:pPr>
        <w:pStyle w:val="6"/>
        <w:spacing w:line="309" w:lineRule="auto"/>
      </w:pPr>
    </w:p>
    <w:p w14:paraId="2B2DE975">
      <w:pPr>
        <w:spacing w:before="91" w:line="353" w:lineRule="auto"/>
        <w:ind w:left="35" w:right="365" w:firstLine="565"/>
        <w:rPr>
          <w:rFonts w:ascii="宋体" w:hAnsi="宋体" w:eastAsia="宋体" w:cs="宋体"/>
          <w:sz w:val="28"/>
          <w:szCs w:val="28"/>
        </w:rPr>
      </w:pPr>
      <w:r>
        <w:rPr>
          <w:rFonts w:ascii="宋体" w:hAnsi="宋体" w:eastAsia="宋体" w:cs="宋体"/>
          <w:spacing w:val="-3"/>
          <w:sz w:val="28"/>
          <w:szCs w:val="28"/>
        </w:rPr>
        <w:t>来自罐区的工业级双氧水经双氧水缓冲罐</w:t>
      </w:r>
      <w:r>
        <w:rPr>
          <w:rFonts w:ascii="宋体" w:hAnsi="宋体" w:eastAsia="宋体" w:cs="宋体"/>
          <w:spacing w:val="-51"/>
          <w:sz w:val="28"/>
          <w:szCs w:val="28"/>
        </w:rPr>
        <w:t xml:space="preserve"> </w:t>
      </w:r>
      <w:r>
        <w:rPr>
          <w:rFonts w:ascii="宋体" w:hAnsi="宋体" w:eastAsia="宋体" w:cs="宋体"/>
          <w:spacing w:val="-3"/>
          <w:sz w:val="28"/>
          <w:szCs w:val="28"/>
        </w:rPr>
        <w:t>V110101</w:t>
      </w:r>
      <w:r>
        <w:rPr>
          <w:rFonts w:ascii="宋体" w:hAnsi="宋体" w:eastAsia="宋体" w:cs="宋体"/>
          <w:spacing w:val="-55"/>
          <w:sz w:val="28"/>
          <w:szCs w:val="28"/>
        </w:rPr>
        <w:t xml:space="preserve"> </w:t>
      </w:r>
      <w:r>
        <w:rPr>
          <w:rFonts w:ascii="宋体" w:hAnsi="宋体" w:eastAsia="宋体" w:cs="宋体"/>
          <w:spacing w:val="-3"/>
          <w:sz w:val="28"/>
          <w:szCs w:val="28"/>
        </w:rPr>
        <w:t>缓存后，通过管道泵</w:t>
      </w:r>
      <w:r>
        <w:rPr>
          <w:rFonts w:ascii="宋体" w:hAnsi="宋体" w:eastAsia="宋体" w:cs="宋体"/>
          <w:sz w:val="28"/>
          <w:szCs w:val="28"/>
        </w:rPr>
        <w:t xml:space="preserve">  </w:t>
      </w:r>
      <w:r>
        <w:rPr>
          <w:rFonts w:ascii="宋体" w:hAnsi="宋体" w:eastAsia="宋体" w:cs="宋体"/>
          <w:spacing w:val="-2"/>
          <w:sz w:val="28"/>
          <w:szCs w:val="28"/>
        </w:rPr>
        <w:t>P110101</w:t>
      </w:r>
      <w:r>
        <w:rPr>
          <w:rFonts w:ascii="宋体" w:hAnsi="宋体" w:eastAsia="宋体" w:cs="宋体"/>
          <w:spacing w:val="-74"/>
          <w:sz w:val="28"/>
          <w:szCs w:val="28"/>
        </w:rPr>
        <w:t xml:space="preserve"> </w:t>
      </w:r>
      <w:r>
        <w:rPr>
          <w:rFonts w:ascii="宋体" w:hAnsi="宋体" w:eastAsia="宋体" w:cs="宋体"/>
          <w:spacing w:val="-2"/>
          <w:sz w:val="28"/>
          <w:szCs w:val="28"/>
        </w:rPr>
        <w:t>送入</w:t>
      </w:r>
      <w:r>
        <w:rPr>
          <w:rFonts w:ascii="宋体" w:hAnsi="宋体" w:eastAsia="宋体" w:cs="宋体"/>
          <w:spacing w:val="-81"/>
          <w:sz w:val="28"/>
          <w:szCs w:val="28"/>
        </w:rPr>
        <w:t xml:space="preserve"> </w:t>
      </w:r>
      <w:r>
        <w:rPr>
          <w:rFonts w:ascii="宋体" w:hAnsi="宋体" w:eastAsia="宋体" w:cs="宋体"/>
          <w:spacing w:val="-2"/>
          <w:sz w:val="28"/>
          <w:szCs w:val="28"/>
        </w:rPr>
        <w:t>RO</w:t>
      </w:r>
      <w:r>
        <w:rPr>
          <w:rFonts w:ascii="宋体" w:hAnsi="宋体" w:eastAsia="宋体" w:cs="宋体"/>
          <w:spacing w:val="-76"/>
          <w:sz w:val="28"/>
          <w:szCs w:val="28"/>
        </w:rPr>
        <w:t xml:space="preserve"> </w:t>
      </w:r>
      <w:r>
        <w:rPr>
          <w:rFonts w:ascii="宋体" w:hAnsi="宋体" w:eastAsia="宋体" w:cs="宋体"/>
          <w:spacing w:val="-2"/>
          <w:sz w:val="28"/>
          <w:szCs w:val="28"/>
        </w:rPr>
        <w:t>膜过滤系统</w:t>
      </w:r>
      <w:r>
        <w:rPr>
          <w:rFonts w:ascii="宋体" w:hAnsi="宋体" w:eastAsia="宋体" w:cs="宋体"/>
          <w:spacing w:val="-74"/>
          <w:sz w:val="28"/>
          <w:szCs w:val="28"/>
        </w:rPr>
        <w:t xml:space="preserve"> </w:t>
      </w:r>
      <w:r>
        <w:rPr>
          <w:rFonts w:ascii="宋体" w:hAnsi="宋体" w:eastAsia="宋体" w:cs="宋体"/>
          <w:spacing w:val="-2"/>
          <w:sz w:val="28"/>
          <w:szCs w:val="28"/>
        </w:rPr>
        <w:t>S110101A/B</w:t>
      </w:r>
      <w:r>
        <w:rPr>
          <w:rFonts w:ascii="宋体" w:hAnsi="宋体" w:eastAsia="宋体" w:cs="宋体"/>
          <w:spacing w:val="-74"/>
          <w:sz w:val="28"/>
          <w:szCs w:val="28"/>
        </w:rPr>
        <w:t xml:space="preserve"> </w:t>
      </w:r>
      <w:r>
        <w:rPr>
          <w:rFonts w:ascii="宋体" w:hAnsi="宋体" w:eastAsia="宋体" w:cs="宋体"/>
          <w:spacing w:val="-2"/>
          <w:sz w:val="28"/>
          <w:szCs w:val="28"/>
        </w:rPr>
        <w:t>和树脂吸附系统</w:t>
      </w:r>
      <w:r>
        <w:rPr>
          <w:rFonts w:ascii="宋体" w:hAnsi="宋体" w:eastAsia="宋体" w:cs="宋体"/>
          <w:spacing w:val="-75"/>
          <w:sz w:val="28"/>
          <w:szCs w:val="28"/>
        </w:rPr>
        <w:t xml:space="preserve"> </w:t>
      </w:r>
      <w:r>
        <w:rPr>
          <w:rFonts w:ascii="宋体" w:hAnsi="宋体" w:eastAsia="宋体" w:cs="宋体"/>
          <w:spacing w:val="-2"/>
          <w:sz w:val="28"/>
          <w:szCs w:val="28"/>
        </w:rPr>
        <w:t>S110102A/B</w:t>
      </w:r>
      <w:r>
        <w:rPr>
          <w:rFonts w:ascii="宋体" w:hAnsi="宋体" w:eastAsia="宋体" w:cs="宋体"/>
          <w:spacing w:val="-73"/>
          <w:sz w:val="28"/>
          <w:szCs w:val="28"/>
        </w:rPr>
        <w:t xml:space="preserve"> </w:t>
      </w:r>
      <w:r>
        <w:rPr>
          <w:rFonts w:ascii="宋体" w:hAnsi="宋体" w:eastAsia="宋体" w:cs="宋体"/>
          <w:spacing w:val="-2"/>
          <w:sz w:val="28"/>
          <w:szCs w:val="28"/>
        </w:rPr>
        <w:t>分离后,</w:t>
      </w:r>
      <w:r>
        <w:rPr>
          <w:rFonts w:ascii="宋体" w:hAnsi="宋体" w:eastAsia="宋体" w:cs="宋体"/>
          <w:sz w:val="28"/>
          <w:szCs w:val="28"/>
        </w:rPr>
        <w:t xml:space="preserve"> </w:t>
      </w:r>
      <w:r>
        <w:rPr>
          <w:rFonts w:ascii="宋体" w:hAnsi="宋体" w:eastAsia="宋体" w:cs="宋体"/>
          <w:spacing w:val="-1"/>
          <w:sz w:val="28"/>
          <w:szCs w:val="28"/>
        </w:rPr>
        <w:t>副产品通过管道送入双氧水罐组</w:t>
      </w:r>
      <w:r>
        <w:rPr>
          <w:rFonts w:ascii="宋体" w:hAnsi="宋体" w:eastAsia="宋体" w:cs="宋体"/>
          <w:spacing w:val="-48"/>
          <w:sz w:val="28"/>
          <w:szCs w:val="28"/>
        </w:rPr>
        <w:t xml:space="preserve"> </w:t>
      </w:r>
      <w:r>
        <w:rPr>
          <w:rFonts w:ascii="宋体" w:hAnsi="宋体" w:eastAsia="宋体" w:cs="宋体"/>
          <w:spacing w:val="-1"/>
          <w:sz w:val="28"/>
          <w:szCs w:val="28"/>
        </w:rPr>
        <w:t>50%双氧水副产品储罐</w:t>
      </w:r>
      <w:r>
        <w:rPr>
          <w:rFonts w:ascii="宋体" w:hAnsi="宋体" w:eastAsia="宋体" w:cs="宋体"/>
          <w:spacing w:val="-63"/>
          <w:sz w:val="28"/>
          <w:szCs w:val="28"/>
        </w:rPr>
        <w:t xml:space="preserve"> </w:t>
      </w:r>
      <w:r>
        <w:rPr>
          <w:rFonts w:ascii="宋体" w:hAnsi="宋体" w:eastAsia="宋体" w:cs="宋体"/>
          <w:spacing w:val="-1"/>
          <w:sz w:val="28"/>
          <w:szCs w:val="28"/>
        </w:rPr>
        <w:t>V280102</w:t>
      </w:r>
      <w:r>
        <w:rPr>
          <w:rFonts w:ascii="宋体" w:hAnsi="宋体" w:eastAsia="宋体" w:cs="宋体"/>
          <w:spacing w:val="-49"/>
          <w:sz w:val="28"/>
          <w:szCs w:val="28"/>
        </w:rPr>
        <w:t xml:space="preserve"> </w:t>
      </w:r>
      <w:r>
        <w:rPr>
          <w:rFonts w:ascii="宋体" w:hAnsi="宋体" w:eastAsia="宋体" w:cs="宋体"/>
          <w:spacing w:val="-1"/>
          <w:sz w:val="28"/>
          <w:szCs w:val="28"/>
        </w:rPr>
        <w:t>缓存后</w:t>
      </w:r>
      <w:r>
        <w:rPr>
          <w:rFonts w:ascii="宋体" w:hAnsi="宋体" w:eastAsia="宋体" w:cs="宋体"/>
          <w:spacing w:val="-2"/>
          <w:sz w:val="28"/>
          <w:szCs w:val="28"/>
        </w:rPr>
        <w:t>通过</w:t>
      </w:r>
      <w:r>
        <w:rPr>
          <w:rFonts w:ascii="宋体" w:hAnsi="宋体" w:eastAsia="宋体" w:cs="宋体"/>
          <w:sz w:val="28"/>
          <w:szCs w:val="28"/>
        </w:rPr>
        <w:t xml:space="preserve">  </w:t>
      </w:r>
      <w:r>
        <w:rPr>
          <w:rFonts w:ascii="宋体" w:hAnsi="宋体" w:eastAsia="宋体" w:cs="宋体"/>
          <w:spacing w:val="-2"/>
          <w:sz w:val="28"/>
          <w:szCs w:val="28"/>
        </w:rPr>
        <w:t>鹤管装车外运；分离后的双氧水通过管道混合器加入超纯水进行调节浓度至</w:t>
      </w:r>
      <w:r>
        <w:rPr>
          <w:rFonts w:ascii="宋体" w:hAnsi="宋体" w:eastAsia="宋体" w:cs="宋体"/>
          <w:sz w:val="28"/>
          <w:szCs w:val="28"/>
        </w:rPr>
        <w:t xml:space="preserve">  </w:t>
      </w:r>
      <w:r>
        <w:rPr>
          <w:rFonts w:ascii="宋体" w:hAnsi="宋体" w:eastAsia="宋体" w:cs="宋体"/>
          <w:spacing w:val="-3"/>
          <w:sz w:val="28"/>
          <w:szCs w:val="28"/>
        </w:rPr>
        <w:t>31%送入低规精制罐</w:t>
      </w:r>
      <w:r>
        <w:rPr>
          <w:rFonts w:ascii="宋体" w:hAnsi="宋体" w:eastAsia="宋体" w:cs="宋体"/>
          <w:spacing w:val="-51"/>
          <w:sz w:val="28"/>
          <w:szCs w:val="28"/>
        </w:rPr>
        <w:t xml:space="preserve"> </w:t>
      </w:r>
      <w:r>
        <w:rPr>
          <w:rFonts w:ascii="宋体" w:hAnsi="宋体" w:eastAsia="宋体" w:cs="宋体"/>
          <w:spacing w:val="-3"/>
          <w:sz w:val="28"/>
          <w:szCs w:val="28"/>
        </w:rPr>
        <w:t>V110104</w:t>
      </w:r>
      <w:r>
        <w:rPr>
          <w:rFonts w:ascii="宋体" w:hAnsi="宋体" w:eastAsia="宋体" w:cs="宋体"/>
          <w:spacing w:val="-55"/>
          <w:sz w:val="28"/>
          <w:szCs w:val="28"/>
        </w:rPr>
        <w:t xml:space="preserve"> </w:t>
      </w:r>
      <w:r>
        <w:rPr>
          <w:rFonts w:ascii="宋体" w:hAnsi="宋体" w:eastAsia="宋体" w:cs="宋体"/>
          <w:spacing w:val="-3"/>
          <w:sz w:val="28"/>
          <w:szCs w:val="28"/>
        </w:rPr>
        <w:t>缓存。</w:t>
      </w:r>
    </w:p>
    <w:p w14:paraId="3032FBAA">
      <w:pPr>
        <w:spacing w:before="234" w:line="221" w:lineRule="auto"/>
        <w:ind w:left="607"/>
        <w:rPr>
          <w:rFonts w:ascii="宋体" w:hAnsi="宋体" w:eastAsia="宋体" w:cs="宋体"/>
          <w:sz w:val="28"/>
          <w:szCs w:val="28"/>
        </w:rPr>
      </w:pPr>
      <w:r>
        <w:rPr>
          <w:rFonts w:ascii="宋体" w:hAnsi="宋体" w:eastAsia="宋体" w:cs="宋体"/>
          <w:spacing w:val="-3"/>
          <w:sz w:val="28"/>
          <w:szCs w:val="28"/>
        </w:rPr>
        <w:t>（3）离子交换过程</w:t>
      </w:r>
    </w:p>
    <w:p w14:paraId="4CEFF28F">
      <w:pPr>
        <w:pStyle w:val="6"/>
        <w:spacing w:line="308" w:lineRule="auto"/>
      </w:pPr>
    </w:p>
    <w:p w14:paraId="4BA4A22F">
      <w:pPr>
        <w:spacing w:before="91" w:line="349" w:lineRule="auto"/>
        <w:ind w:left="44" w:right="506" w:firstLine="557"/>
        <w:jc w:val="both"/>
        <w:rPr>
          <w:rFonts w:ascii="宋体" w:hAnsi="宋体" w:eastAsia="宋体" w:cs="宋体"/>
          <w:sz w:val="28"/>
          <w:szCs w:val="28"/>
        </w:rPr>
      </w:pPr>
      <w:r>
        <w:rPr>
          <w:rFonts w:ascii="宋体" w:hAnsi="宋体" w:eastAsia="宋体" w:cs="宋体"/>
          <w:spacing w:val="-1"/>
          <w:sz w:val="28"/>
          <w:szCs w:val="28"/>
        </w:rPr>
        <w:t>经</w:t>
      </w:r>
      <w:r>
        <w:rPr>
          <w:rFonts w:ascii="宋体" w:hAnsi="宋体" w:eastAsia="宋体" w:cs="宋体"/>
          <w:spacing w:val="-44"/>
          <w:sz w:val="28"/>
          <w:szCs w:val="28"/>
        </w:rPr>
        <w:t xml:space="preserve"> </w:t>
      </w:r>
      <w:r>
        <w:rPr>
          <w:rFonts w:ascii="宋体" w:hAnsi="宋体" w:eastAsia="宋体" w:cs="宋体"/>
          <w:spacing w:val="-1"/>
          <w:sz w:val="28"/>
          <w:szCs w:val="28"/>
        </w:rPr>
        <w:t>V110104</w:t>
      </w:r>
      <w:r>
        <w:rPr>
          <w:rFonts w:ascii="宋体" w:hAnsi="宋体" w:eastAsia="宋体" w:cs="宋体"/>
          <w:spacing w:val="-33"/>
          <w:sz w:val="28"/>
          <w:szCs w:val="28"/>
        </w:rPr>
        <w:t xml:space="preserve"> </w:t>
      </w:r>
      <w:r>
        <w:rPr>
          <w:rFonts w:ascii="宋体" w:hAnsi="宋体" w:eastAsia="宋体" w:cs="宋体"/>
          <w:spacing w:val="-1"/>
          <w:sz w:val="28"/>
          <w:szCs w:val="28"/>
        </w:rPr>
        <w:t>缓存后的双氧水经</w:t>
      </w:r>
      <w:r>
        <w:rPr>
          <w:rFonts w:ascii="宋体" w:hAnsi="宋体" w:eastAsia="宋体" w:cs="宋体"/>
          <w:spacing w:val="-41"/>
          <w:sz w:val="28"/>
          <w:szCs w:val="28"/>
        </w:rPr>
        <w:t xml:space="preserve"> </w:t>
      </w:r>
      <w:r>
        <w:rPr>
          <w:rFonts w:ascii="宋体" w:hAnsi="宋体" w:eastAsia="宋体" w:cs="宋体"/>
          <w:spacing w:val="-1"/>
          <w:sz w:val="28"/>
          <w:szCs w:val="28"/>
        </w:rPr>
        <w:t>P1101</w:t>
      </w:r>
      <w:r>
        <w:rPr>
          <w:rFonts w:ascii="宋体" w:hAnsi="宋体" w:eastAsia="宋体" w:cs="宋体"/>
          <w:spacing w:val="-2"/>
          <w:sz w:val="28"/>
          <w:szCs w:val="28"/>
        </w:rPr>
        <w:t>05B</w:t>
      </w:r>
      <w:r>
        <w:rPr>
          <w:rFonts w:ascii="宋体" w:hAnsi="宋体" w:eastAsia="宋体" w:cs="宋体"/>
          <w:spacing w:val="-38"/>
          <w:sz w:val="28"/>
          <w:szCs w:val="28"/>
        </w:rPr>
        <w:t xml:space="preserve"> </w:t>
      </w:r>
      <w:r>
        <w:rPr>
          <w:rFonts w:ascii="宋体" w:hAnsi="宋体" w:eastAsia="宋体" w:cs="宋体"/>
          <w:spacing w:val="-2"/>
          <w:sz w:val="28"/>
          <w:szCs w:val="28"/>
        </w:rPr>
        <w:t>增压后，依次送入树脂柱逐级</w:t>
      </w:r>
      <w:r>
        <w:rPr>
          <w:rFonts w:ascii="宋体" w:hAnsi="宋体" w:eastAsia="宋体" w:cs="宋体"/>
          <w:sz w:val="28"/>
          <w:szCs w:val="28"/>
        </w:rPr>
        <w:t xml:space="preserve"> </w:t>
      </w:r>
      <w:r>
        <w:rPr>
          <w:rFonts w:ascii="宋体" w:hAnsi="宋体" w:eastAsia="宋体" w:cs="宋体"/>
          <w:spacing w:val="-2"/>
          <w:sz w:val="28"/>
          <w:szCs w:val="28"/>
        </w:rPr>
        <w:t>除去对金属离子杂质、非金属杂质，本项目采用阳离子树脂、阴离</w:t>
      </w:r>
      <w:r>
        <w:rPr>
          <w:rFonts w:ascii="宋体" w:hAnsi="宋体" w:eastAsia="宋体" w:cs="宋体"/>
          <w:spacing w:val="-3"/>
          <w:sz w:val="28"/>
          <w:szCs w:val="28"/>
        </w:rPr>
        <w:t>子树脂分</w:t>
      </w:r>
      <w:r>
        <w:rPr>
          <w:rFonts w:ascii="宋体" w:hAnsi="宋体" w:eastAsia="宋体" w:cs="宋体"/>
          <w:sz w:val="28"/>
          <w:szCs w:val="28"/>
        </w:rPr>
        <w:t xml:space="preserve"> </w:t>
      </w:r>
      <w:r>
        <w:rPr>
          <w:rFonts w:ascii="宋体" w:hAnsi="宋体" w:eastAsia="宋体" w:cs="宋体"/>
          <w:spacing w:val="-2"/>
          <w:sz w:val="28"/>
          <w:szCs w:val="28"/>
        </w:rPr>
        <w:t>离各类离子杂质，最终纯化的产品进入双氧水精制罐</w:t>
      </w:r>
      <w:r>
        <w:rPr>
          <w:rFonts w:ascii="宋体" w:hAnsi="宋体" w:eastAsia="宋体" w:cs="宋体"/>
          <w:spacing w:val="-54"/>
          <w:sz w:val="28"/>
          <w:szCs w:val="28"/>
        </w:rPr>
        <w:t xml:space="preserve"> </w:t>
      </w:r>
      <w:r>
        <w:rPr>
          <w:rFonts w:ascii="宋体" w:hAnsi="宋体" w:eastAsia="宋体" w:cs="宋体"/>
          <w:spacing w:val="-2"/>
          <w:sz w:val="28"/>
          <w:szCs w:val="28"/>
        </w:rPr>
        <w:t>V110108</w:t>
      </w:r>
      <w:r>
        <w:rPr>
          <w:rFonts w:ascii="宋体" w:hAnsi="宋体" w:eastAsia="宋体" w:cs="宋体"/>
          <w:spacing w:val="-57"/>
          <w:sz w:val="28"/>
          <w:szCs w:val="28"/>
        </w:rPr>
        <w:t xml:space="preserve"> </w:t>
      </w:r>
      <w:r>
        <w:rPr>
          <w:rFonts w:ascii="宋体" w:hAnsi="宋体" w:eastAsia="宋体" w:cs="宋体"/>
          <w:spacing w:val="-2"/>
          <w:sz w:val="28"/>
          <w:szCs w:val="28"/>
        </w:rPr>
        <w:t>缓存。</w:t>
      </w:r>
    </w:p>
    <w:p w14:paraId="1B0600BA">
      <w:pPr>
        <w:spacing w:before="235" w:line="220" w:lineRule="auto"/>
        <w:ind w:left="607"/>
        <w:rPr>
          <w:rFonts w:ascii="宋体" w:hAnsi="宋体" w:eastAsia="宋体" w:cs="宋体"/>
          <w:sz w:val="28"/>
          <w:szCs w:val="28"/>
        </w:rPr>
      </w:pPr>
      <w:r>
        <w:rPr>
          <w:rFonts w:ascii="宋体" w:hAnsi="宋体" w:eastAsia="宋体" w:cs="宋体"/>
          <w:spacing w:val="-3"/>
          <w:sz w:val="28"/>
          <w:szCs w:val="28"/>
        </w:rPr>
        <w:t>（4）产品灌装</w:t>
      </w:r>
    </w:p>
    <w:p w14:paraId="7E7194D0">
      <w:pPr>
        <w:pStyle w:val="6"/>
        <w:spacing w:line="308" w:lineRule="auto"/>
      </w:pPr>
    </w:p>
    <w:p w14:paraId="41AA218C">
      <w:pPr>
        <w:spacing w:before="91" w:line="352" w:lineRule="auto"/>
        <w:ind w:left="40" w:right="504" w:firstLine="560"/>
        <w:jc w:val="both"/>
        <w:rPr>
          <w:rFonts w:ascii="宋体" w:hAnsi="宋体" w:eastAsia="宋体" w:cs="宋体"/>
          <w:sz w:val="28"/>
          <w:szCs w:val="28"/>
        </w:rPr>
      </w:pPr>
      <w:r>
        <w:rPr>
          <w:rFonts w:ascii="宋体" w:hAnsi="宋体" w:eastAsia="宋体" w:cs="宋体"/>
          <w:sz w:val="28"/>
          <w:szCs w:val="28"/>
        </w:rPr>
        <w:t>经双氧水精制罐V110108</w:t>
      </w:r>
      <w:r>
        <w:rPr>
          <w:rFonts w:ascii="宋体" w:hAnsi="宋体" w:eastAsia="宋体" w:cs="宋体"/>
          <w:spacing w:val="-68"/>
          <w:sz w:val="28"/>
          <w:szCs w:val="28"/>
        </w:rPr>
        <w:t xml:space="preserve"> </w:t>
      </w:r>
      <w:r>
        <w:rPr>
          <w:rFonts w:ascii="宋体" w:hAnsi="宋体" w:eastAsia="宋体" w:cs="宋体"/>
          <w:sz w:val="28"/>
          <w:szCs w:val="28"/>
        </w:rPr>
        <w:t xml:space="preserve">缓存后成品电子级双氧水一路送往成品罐组双 </w:t>
      </w:r>
      <w:r>
        <w:rPr>
          <w:rFonts w:ascii="宋体" w:hAnsi="宋体" w:eastAsia="宋体" w:cs="宋体"/>
          <w:spacing w:val="-1"/>
          <w:sz w:val="28"/>
          <w:szCs w:val="28"/>
        </w:rPr>
        <w:t>氧水储罐</w:t>
      </w:r>
      <w:r>
        <w:rPr>
          <w:rFonts w:ascii="宋体" w:hAnsi="宋体" w:eastAsia="宋体" w:cs="宋体"/>
          <w:spacing w:val="-63"/>
          <w:sz w:val="28"/>
          <w:szCs w:val="28"/>
        </w:rPr>
        <w:t xml:space="preserve"> </w:t>
      </w:r>
      <w:r>
        <w:rPr>
          <w:rFonts w:ascii="宋体" w:hAnsi="宋体" w:eastAsia="宋体" w:cs="宋体"/>
          <w:spacing w:val="-1"/>
          <w:sz w:val="28"/>
          <w:szCs w:val="28"/>
        </w:rPr>
        <w:t>V270101A</w:t>
      </w:r>
      <w:r>
        <w:rPr>
          <w:rFonts w:ascii="宋体" w:hAnsi="宋体" w:eastAsia="宋体" w:cs="宋体"/>
          <w:spacing w:val="-51"/>
          <w:sz w:val="28"/>
          <w:szCs w:val="28"/>
        </w:rPr>
        <w:t xml:space="preserve"> </w:t>
      </w:r>
      <w:r>
        <w:rPr>
          <w:rFonts w:ascii="宋体" w:hAnsi="宋体" w:eastAsia="宋体" w:cs="宋体"/>
          <w:spacing w:val="-1"/>
          <w:sz w:val="28"/>
          <w:szCs w:val="28"/>
        </w:rPr>
        <w:t>缓存后灌装槽车</w:t>
      </w:r>
      <w:r>
        <w:rPr>
          <w:rFonts w:ascii="宋体" w:hAnsi="宋体" w:eastAsia="宋体" w:cs="宋体"/>
          <w:spacing w:val="-2"/>
          <w:sz w:val="28"/>
          <w:szCs w:val="28"/>
        </w:rPr>
        <w:t>，一路送往</w:t>
      </w:r>
      <w:r>
        <w:rPr>
          <w:rFonts w:ascii="宋体" w:hAnsi="宋体" w:eastAsia="宋体" w:cs="宋体"/>
          <w:spacing w:val="-36"/>
          <w:sz w:val="28"/>
          <w:szCs w:val="28"/>
        </w:rPr>
        <w:t xml:space="preserve"> </w:t>
      </w:r>
      <w:r>
        <w:rPr>
          <w:rFonts w:ascii="宋体" w:hAnsi="宋体" w:eastAsia="宋体" w:cs="宋体"/>
          <w:spacing w:val="-2"/>
          <w:sz w:val="28"/>
          <w:szCs w:val="28"/>
        </w:rPr>
        <w:t>1#厂房双氧水灌装机组进行</w:t>
      </w:r>
      <w:r>
        <w:rPr>
          <w:rFonts w:ascii="宋体" w:hAnsi="宋体" w:eastAsia="宋体" w:cs="宋体"/>
          <w:sz w:val="28"/>
          <w:szCs w:val="28"/>
        </w:rPr>
        <w:t xml:space="preserve"> </w:t>
      </w:r>
      <w:r>
        <w:rPr>
          <w:rFonts w:ascii="宋体" w:hAnsi="宋体" w:eastAsia="宋体" w:cs="宋体"/>
          <w:spacing w:val="2"/>
          <w:sz w:val="28"/>
          <w:szCs w:val="28"/>
        </w:rPr>
        <w:t>200L 桶灌装。灌装前工人须进行取样化验，化验合格后通过自动灌装系统</w:t>
      </w:r>
      <w:r>
        <w:rPr>
          <w:rFonts w:ascii="宋体" w:hAnsi="宋体" w:eastAsia="宋体" w:cs="宋体"/>
          <w:spacing w:val="4"/>
          <w:sz w:val="28"/>
          <w:szCs w:val="28"/>
        </w:rPr>
        <w:t xml:space="preserve"> </w:t>
      </w:r>
      <w:r>
        <w:rPr>
          <w:rFonts w:ascii="宋体" w:hAnsi="宋体" w:eastAsia="宋体" w:cs="宋体"/>
          <w:spacing w:val="-3"/>
          <w:sz w:val="28"/>
          <w:szCs w:val="28"/>
        </w:rPr>
        <w:t>（CCB）进行产品槽车或者</w:t>
      </w:r>
      <w:r>
        <w:rPr>
          <w:rFonts w:ascii="宋体" w:hAnsi="宋体" w:eastAsia="宋体" w:cs="宋体"/>
          <w:spacing w:val="-45"/>
          <w:sz w:val="28"/>
          <w:szCs w:val="28"/>
        </w:rPr>
        <w:t xml:space="preserve"> </w:t>
      </w:r>
      <w:r>
        <w:rPr>
          <w:rFonts w:ascii="宋体" w:hAnsi="宋体" w:eastAsia="宋体" w:cs="宋体"/>
          <w:spacing w:val="-3"/>
          <w:sz w:val="28"/>
          <w:szCs w:val="28"/>
        </w:rPr>
        <w:t>200L</w:t>
      </w:r>
      <w:r>
        <w:rPr>
          <w:rFonts w:ascii="宋体" w:hAnsi="宋体" w:eastAsia="宋体" w:cs="宋体"/>
          <w:spacing w:val="-59"/>
          <w:sz w:val="28"/>
          <w:szCs w:val="28"/>
        </w:rPr>
        <w:t xml:space="preserve"> </w:t>
      </w:r>
      <w:r>
        <w:rPr>
          <w:rFonts w:ascii="宋体" w:hAnsi="宋体" w:eastAsia="宋体" w:cs="宋体"/>
          <w:spacing w:val="-3"/>
          <w:sz w:val="28"/>
          <w:szCs w:val="28"/>
        </w:rPr>
        <w:t>桶的灌装。</w:t>
      </w:r>
    </w:p>
    <w:p w14:paraId="75AA83B0">
      <w:pPr>
        <w:spacing w:before="233" w:line="344" w:lineRule="auto"/>
        <w:ind w:left="44" w:right="507" w:firstLine="575"/>
        <w:rPr>
          <w:rFonts w:ascii="宋体" w:hAnsi="宋体" w:eastAsia="宋体" w:cs="宋体"/>
          <w:sz w:val="28"/>
          <w:szCs w:val="28"/>
        </w:rPr>
      </w:pPr>
      <w:r>
        <w:rPr>
          <w:rFonts w:ascii="宋体" w:hAnsi="宋体" w:eastAsia="宋体" w:cs="宋体"/>
          <w:spacing w:val="-4"/>
          <w:sz w:val="28"/>
          <w:szCs w:val="28"/>
        </w:rPr>
        <w:t>1#车间配置双氧水、蚀刻液自动灌装</w:t>
      </w:r>
      <w:r>
        <w:rPr>
          <w:rFonts w:ascii="宋体" w:hAnsi="宋体" w:eastAsia="宋体" w:cs="宋体"/>
          <w:spacing w:val="-40"/>
          <w:sz w:val="28"/>
          <w:szCs w:val="28"/>
        </w:rPr>
        <w:t xml:space="preserve"> </w:t>
      </w:r>
      <w:r>
        <w:rPr>
          <w:rFonts w:ascii="宋体" w:hAnsi="宋体" w:eastAsia="宋体" w:cs="宋体"/>
          <w:spacing w:val="-4"/>
          <w:sz w:val="28"/>
          <w:szCs w:val="28"/>
        </w:rPr>
        <w:t>200</w:t>
      </w:r>
      <w:r>
        <w:rPr>
          <w:rFonts w:ascii="宋体" w:hAnsi="宋体" w:eastAsia="宋体" w:cs="宋体"/>
          <w:spacing w:val="-55"/>
          <w:sz w:val="28"/>
          <w:szCs w:val="28"/>
        </w:rPr>
        <w:t xml:space="preserve"> </w:t>
      </w:r>
      <w:r>
        <w:rPr>
          <w:rFonts w:ascii="宋体" w:hAnsi="宋体" w:eastAsia="宋体" w:cs="宋体"/>
          <w:spacing w:val="-4"/>
          <w:sz w:val="28"/>
          <w:szCs w:val="28"/>
        </w:rPr>
        <w:t>升桶系统各一套，灌装区洁净</w:t>
      </w:r>
      <w:r>
        <w:rPr>
          <w:rFonts w:ascii="宋体" w:hAnsi="宋体" w:eastAsia="宋体" w:cs="宋体"/>
          <w:sz w:val="28"/>
          <w:szCs w:val="28"/>
        </w:rPr>
        <w:t xml:space="preserve"> </w:t>
      </w:r>
      <w:r>
        <w:rPr>
          <w:rFonts w:ascii="宋体" w:hAnsi="宋体" w:eastAsia="宋体" w:cs="宋体"/>
          <w:spacing w:val="-5"/>
          <w:sz w:val="28"/>
          <w:szCs w:val="28"/>
        </w:rPr>
        <w:t>室等级为千级，面积约</w:t>
      </w:r>
      <w:r>
        <w:rPr>
          <w:rFonts w:ascii="宋体" w:hAnsi="宋体" w:eastAsia="宋体" w:cs="宋体"/>
          <w:spacing w:val="-37"/>
          <w:sz w:val="28"/>
          <w:szCs w:val="28"/>
        </w:rPr>
        <w:t xml:space="preserve"> </w:t>
      </w:r>
      <w:r>
        <w:rPr>
          <w:rFonts w:ascii="宋体" w:hAnsi="宋体" w:eastAsia="宋体" w:cs="宋体"/>
          <w:spacing w:val="-5"/>
          <w:sz w:val="28"/>
          <w:szCs w:val="28"/>
        </w:rPr>
        <w:t>170</w:t>
      </w:r>
      <w:r>
        <w:rPr>
          <w:rFonts w:ascii="宋体" w:hAnsi="宋体" w:eastAsia="宋体" w:cs="宋体"/>
          <w:spacing w:val="-61"/>
          <w:sz w:val="28"/>
          <w:szCs w:val="28"/>
        </w:rPr>
        <w:t xml:space="preserve"> </w:t>
      </w:r>
      <w:r>
        <w:rPr>
          <w:rFonts w:ascii="宋体" w:hAnsi="宋体" w:eastAsia="宋体" w:cs="宋体"/>
          <w:spacing w:val="-5"/>
          <w:sz w:val="28"/>
          <w:szCs w:val="28"/>
        </w:rPr>
        <w:t>平方。</w:t>
      </w:r>
    </w:p>
    <w:p w14:paraId="4A75BFBD">
      <w:pPr>
        <w:spacing w:before="235" w:line="221" w:lineRule="auto"/>
        <w:ind w:left="602"/>
        <w:rPr>
          <w:rFonts w:ascii="宋体" w:hAnsi="宋体" w:eastAsia="宋体" w:cs="宋体"/>
          <w:sz w:val="28"/>
          <w:szCs w:val="28"/>
        </w:rPr>
      </w:pPr>
      <w:r>
        <w:rPr>
          <w:rFonts w:ascii="宋体" w:hAnsi="宋体" w:eastAsia="宋体" w:cs="宋体"/>
          <w:spacing w:val="-4"/>
          <w:sz w:val="28"/>
          <w:szCs w:val="28"/>
        </w:rPr>
        <w:t>工艺流程示意图如下。</w:t>
      </w:r>
    </w:p>
    <w:p w14:paraId="21B5F6A8">
      <w:pPr>
        <w:pStyle w:val="6"/>
        <w:spacing w:line="318" w:lineRule="auto"/>
      </w:pPr>
    </w:p>
    <w:p w14:paraId="1183FF16">
      <w:pPr>
        <w:spacing w:line="1983" w:lineRule="exact"/>
        <w:ind w:firstLine="28"/>
      </w:pPr>
      <w:r>
        <w:rPr>
          <w:position w:val="-39"/>
        </w:rPr>
        <w:drawing>
          <wp:inline distT="0" distB="0" distL="0" distR="0">
            <wp:extent cx="6154420" cy="1258570"/>
            <wp:effectExtent l="0" t="0" r="2540" b="6350"/>
            <wp:docPr id="17" name="IM 2"/>
            <wp:cNvGraphicFramePr/>
            <a:graphic xmlns:a="http://schemas.openxmlformats.org/drawingml/2006/main">
              <a:graphicData uri="http://schemas.openxmlformats.org/drawingml/2006/picture">
                <pic:pic xmlns:pic="http://schemas.openxmlformats.org/drawingml/2006/picture">
                  <pic:nvPicPr>
                    <pic:cNvPr id="17" name="IM 2"/>
                    <pic:cNvPicPr/>
                  </pic:nvPicPr>
                  <pic:blipFill>
                    <a:blip r:embed="rId34"/>
                    <a:stretch>
                      <a:fillRect/>
                    </a:stretch>
                  </pic:blipFill>
                  <pic:spPr>
                    <a:xfrm>
                      <a:off x="0" y="0"/>
                      <a:ext cx="6155054" cy="1259204"/>
                    </a:xfrm>
                    <a:prstGeom prst="rect">
                      <a:avLst/>
                    </a:prstGeom>
                  </pic:spPr>
                </pic:pic>
              </a:graphicData>
            </a:graphic>
          </wp:inline>
        </w:drawing>
      </w:r>
    </w:p>
    <w:p w14:paraId="7AC8077C">
      <w:pPr>
        <w:spacing w:before="224" w:line="219" w:lineRule="auto"/>
        <w:ind w:left="3005"/>
        <w:rPr>
          <w:rFonts w:ascii="宋体" w:hAnsi="宋体" w:eastAsia="宋体" w:cs="宋体"/>
          <w:sz w:val="24"/>
          <w:szCs w:val="24"/>
        </w:rPr>
      </w:pPr>
      <w:r>
        <w:rPr>
          <w:rFonts w:ascii="宋体" w:hAnsi="宋体" w:eastAsia="宋体" w:cs="宋体"/>
          <w:b/>
          <w:bCs/>
          <w:spacing w:val="-7"/>
          <w:sz w:val="24"/>
          <w:szCs w:val="24"/>
        </w:rPr>
        <w:t>图</w:t>
      </w:r>
      <w:r>
        <w:rPr>
          <w:rFonts w:ascii="宋体" w:hAnsi="宋体" w:eastAsia="宋体" w:cs="宋体"/>
          <w:spacing w:val="-33"/>
          <w:sz w:val="24"/>
          <w:szCs w:val="24"/>
        </w:rPr>
        <w:t xml:space="preserve"> </w:t>
      </w:r>
      <w:r>
        <w:rPr>
          <w:rFonts w:ascii="宋体" w:hAnsi="宋体" w:eastAsia="宋体" w:cs="宋体"/>
          <w:b/>
          <w:bCs/>
          <w:spacing w:val="-7"/>
          <w:sz w:val="24"/>
          <w:szCs w:val="24"/>
        </w:rPr>
        <w:t>2.6.1-1</w:t>
      </w:r>
      <w:r>
        <w:rPr>
          <w:rFonts w:ascii="宋体" w:hAnsi="宋体" w:eastAsia="宋体" w:cs="宋体"/>
          <w:spacing w:val="40"/>
          <w:sz w:val="24"/>
          <w:szCs w:val="24"/>
        </w:rPr>
        <w:t xml:space="preserve"> </w:t>
      </w:r>
      <w:r>
        <w:rPr>
          <w:rFonts w:ascii="宋体" w:hAnsi="宋体" w:eastAsia="宋体" w:cs="宋体"/>
          <w:b/>
          <w:bCs/>
          <w:spacing w:val="-7"/>
          <w:sz w:val="24"/>
          <w:szCs w:val="24"/>
        </w:rPr>
        <w:t>电子级双氧水流程方框图</w:t>
      </w:r>
    </w:p>
    <w:p w14:paraId="47380657">
      <w:pPr>
        <w:spacing w:line="219" w:lineRule="auto"/>
        <w:rPr>
          <w:rFonts w:ascii="宋体" w:hAnsi="宋体" w:eastAsia="宋体" w:cs="宋体"/>
          <w:sz w:val="24"/>
          <w:szCs w:val="24"/>
        </w:rPr>
        <w:sectPr>
          <w:headerReference r:id="rId5" w:type="default"/>
          <w:footerReference r:id="rId6" w:type="default"/>
          <w:pgSz w:w="11907" w:h="16839"/>
          <w:pgMar w:top="1120" w:right="1080" w:bottom="946" w:left="1104" w:header="809" w:footer="685" w:gutter="0"/>
          <w:cols w:space="720" w:num="1"/>
        </w:sectPr>
      </w:pPr>
    </w:p>
    <w:p w14:paraId="640C42B9">
      <w:pPr>
        <w:pStyle w:val="6"/>
        <w:spacing w:line="251" w:lineRule="auto"/>
      </w:pPr>
    </w:p>
    <w:p w14:paraId="458F9453">
      <w:pPr>
        <w:spacing w:before="78" w:line="219" w:lineRule="auto"/>
        <w:ind w:left="2994"/>
        <w:rPr>
          <w:rFonts w:ascii="宋体" w:hAnsi="宋体" w:eastAsia="宋体" w:cs="宋体"/>
          <w:sz w:val="24"/>
          <w:szCs w:val="24"/>
        </w:rPr>
      </w:pPr>
      <w:r>
        <w:rPr>
          <w:rFonts w:ascii="宋体" w:hAnsi="宋体" w:eastAsia="宋体" w:cs="宋体"/>
          <w:b/>
          <w:bCs/>
          <w:spacing w:val="-5"/>
          <w:sz w:val="24"/>
          <w:szCs w:val="24"/>
        </w:rPr>
        <w:t>表</w:t>
      </w:r>
      <w:r>
        <w:rPr>
          <w:rFonts w:ascii="宋体" w:hAnsi="宋体" w:eastAsia="宋体" w:cs="宋体"/>
          <w:spacing w:val="-44"/>
          <w:sz w:val="24"/>
          <w:szCs w:val="24"/>
        </w:rPr>
        <w:t xml:space="preserve"> </w:t>
      </w:r>
      <w:r>
        <w:rPr>
          <w:rFonts w:ascii="宋体" w:hAnsi="宋体" w:eastAsia="宋体" w:cs="宋体"/>
          <w:b/>
          <w:bCs/>
          <w:spacing w:val="-5"/>
          <w:sz w:val="24"/>
          <w:szCs w:val="24"/>
        </w:rPr>
        <w:t>2.6.1-1</w:t>
      </w:r>
      <w:r>
        <w:rPr>
          <w:rFonts w:ascii="宋体" w:hAnsi="宋体" w:eastAsia="宋体" w:cs="宋体"/>
          <w:spacing w:val="39"/>
          <w:sz w:val="24"/>
          <w:szCs w:val="24"/>
        </w:rPr>
        <w:t xml:space="preserve"> </w:t>
      </w:r>
      <w:r>
        <w:rPr>
          <w:rFonts w:ascii="宋体" w:hAnsi="宋体" w:eastAsia="宋体" w:cs="宋体"/>
          <w:b/>
          <w:bCs/>
          <w:spacing w:val="-5"/>
          <w:sz w:val="24"/>
          <w:szCs w:val="24"/>
        </w:rPr>
        <w:t>电子级双氧水物料平衡表</w:t>
      </w:r>
    </w:p>
    <w:p w14:paraId="71600938">
      <w:pPr>
        <w:spacing w:line="147" w:lineRule="exact"/>
      </w:pPr>
    </w:p>
    <w:tbl>
      <w:tblPr>
        <w:tblStyle w:val="21"/>
        <w:tblW w:w="94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1641"/>
        <w:gridCol w:w="1245"/>
        <w:gridCol w:w="1257"/>
        <w:gridCol w:w="2610"/>
        <w:gridCol w:w="1622"/>
      </w:tblGrid>
      <w:tr w14:paraId="50BB6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tcBorders>
              <w:top w:val="single" w:color="000000" w:sz="4" w:space="0"/>
            </w:tcBorders>
            <w:vAlign w:val="top"/>
          </w:tcPr>
          <w:p w14:paraId="7B93C8F7">
            <w:pPr>
              <w:pStyle w:val="22"/>
              <w:keepNext w:val="0"/>
              <w:keepLines w:val="0"/>
              <w:suppressLineNumbers w:val="0"/>
              <w:spacing w:before="65" w:beforeAutospacing="0" w:after="0" w:afterAutospacing="0" w:line="222" w:lineRule="auto"/>
              <w:ind w:left="115" w:right="0"/>
              <w:rPr>
                <w:rFonts w:hint="default"/>
              </w:rPr>
            </w:pPr>
            <w:r>
              <w:rPr>
                <w:rFonts w:hint="default"/>
                <w:spacing w:val="-2"/>
              </w:rPr>
              <w:t>序号</w:t>
            </w:r>
          </w:p>
        </w:tc>
        <w:tc>
          <w:tcPr>
            <w:tcW w:w="2886" w:type="dxa"/>
            <w:gridSpan w:val="2"/>
            <w:tcBorders>
              <w:top w:val="single" w:color="000000" w:sz="4" w:space="0"/>
            </w:tcBorders>
            <w:vAlign w:val="top"/>
          </w:tcPr>
          <w:p w14:paraId="71B8DF74">
            <w:pPr>
              <w:pStyle w:val="22"/>
              <w:keepNext w:val="0"/>
              <w:keepLines w:val="0"/>
              <w:suppressLineNumbers w:val="0"/>
              <w:spacing w:before="65" w:beforeAutospacing="0" w:after="0" w:afterAutospacing="0" w:line="222" w:lineRule="auto"/>
              <w:ind w:left="111" w:right="0"/>
              <w:rPr>
                <w:rFonts w:hint="default"/>
              </w:rPr>
            </w:pPr>
            <w:r>
              <w:rPr>
                <w:rFonts w:hint="default"/>
                <w:spacing w:val="-2"/>
              </w:rPr>
              <w:t>入方</w:t>
            </w:r>
          </w:p>
        </w:tc>
        <w:tc>
          <w:tcPr>
            <w:tcW w:w="5489" w:type="dxa"/>
            <w:gridSpan w:val="3"/>
            <w:tcBorders>
              <w:top w:val="single" w:color="000000" w:sz="4" w:space="0"/>
            </w:tcBorders>
            <w:vAlign w:val="top"/>
          </w:tcPr>
          <w:p w14:paraId="3A81BF6F">
            <w:pPr>
              <w:pStyle w:val="22"/>
              <w:keepNext w:val="0"/>
              <w:keepLines w:val="0"/>
              <w:suppressLineNumbers w:val="0"/>
              <w:spacing w:before="65" w:beforeAutospacing="0" w:after="0" w:afterAutospacing="0" w:line="222" w:lineRule="auto"/>
              <w:ind w:left="132" w:right="0"/>
              <w:rPr>
                <w:rFonts w:hint="default"/>
              </w:rPr>
            </w:pPr>
            <w:r>
              <w:rPr>
                <w:rFonts w:hint="default"/>
                <w:spacing w:val="-7"/>
              </w:rPr>
              <w:t>出方</w:t>
            </w:r>
          </w:p>
        </w:tc>
      </w:tr>
      <w:tr w14:paraId="17D66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634AB5C8">
            <w:pPr>
              <w:keepNext w:val="0"/>
              <w:keepLines w:val="0"/>
              <w:suppressLineNumbers w:val="0"/>
              <w:spacing w:before="0" w:beforeAutospacing="0" w:after="0" w:afterAutospacing="0"/>
              <w:ind w:left="0" w:right="0"/>
              <w:rPr>
                <w:rFonts w:hint="default" w:ascii="Arial"/>
                <w:sz w:val="21"/>
              </w:rPr>
            </w:pPr>
          </w:p>
        </w:tc>
        <w:tc>
          <w:tcPr>
            <w:tcW w:w="1641" w:type="dxa"/>
            <w:vAlign w:val="top"/>
          </w:tcPr>
          <w:p w14:paraId="33C8C23A">
            <w:pPr>
              <w:pStyle w:val="22"/>
              <w:keepNext w:val="0"/>
              <w:keepLines w:val="0"/>
              <w:suppressLineNumbers w:val="0"/>
              <w:spacing w:before="63" w:beforeAutospacing="0" w:after="0" w:afterAutospacing="0" w:line="223" w:lineRule="auto"/>
              <w:ind w:left="114" w:right="0"/>
              <w:rPr>
                <w:rFonts w:hint="default"/>
              </w:rPr>
            </w:pPr>
            <w:r>
              <w:rPr>
                <w:rFonts w:hint="default"/>
                <w:spacing w:val="-3"/>
              </w:rPr>
              <w:t>名称</w:t>
            </w:r>
          </w:p>
        </w:tc>
        <w:tc>
          <w:tcPr>
            <w:tcW w:w="1245" w:type="dxa"/>
            <w:vAlign w:val="top"/>
          </w:tcPr>
          <w:p w14:paraId="6E8132B4">
            <w:pPr>
              <w:pStyle w:val="22"/>
              <w:keepNext w:val="0"/>
              <w:keepLines w:val="0"/>
              <w:suppressLineNumbers w:val="0"/>
              <w:spacing w:before="63" w:beforeAutospacing="0" w:after="0" w:afterAutospacing="0" w:line="221" w:lineRule="auto"/>
              <w:ind w:left="112" w:right="0"/>
              <w:rPr>
                <w:rFonts w:hint="default"/>
              </w:rPr>
            </w:pPr>
            <w:r>
              <w:rPr>
                <w:rFonts w:hint="default"/>
                <w:spacing w:val="-1"/>
              </w:rPr>
              <w:t>数量(t/a)</w:t>
            </w:r>
          </w:p>
        </w:tc>
        <w:tc>
          <w:tcPr>
            <w:tcW w:w="1257" w:type="dxa"/>
            <w:vAlign w:val="top"/>
          </w:tcPr>
          <w:p w14:paraId="3A32B696">
            <w:pPr>
              <w:pStyle w:val="22"/>
              <w:keepNext w:val="0"/>
              <w:keepLines w:val="0"/>
              <w:suppressLineNumbers w:val="0"/>
              <w:spacing w:before="63" w:beforeAutospacing="0" w:after="0" w:afterAutospacing="0" w:line="223" w:lineRule="auto"/>
              <w:ind w:left="116" w:right="0"/>
              <w:rPr>
                <w:rFonts w:hint="default"/>
              </w:rPr>
            </w:pPr>
            <w:r>
              <w:rPr>
                <w:rFonts w:hint="default"/>
                <w:spacing w:val="-3"/>
              </w:rPr>
              <w:t>名称</w:t>
            </w:r>
          </w:p>
        </w:tc>
        <w:tc>
          <w:tcPr>
            <w:tcW w:w="2610" w:type="dxa"/>
            <w:vAlign w:val="top"/>
          </w:tcPr>
          <w:p w14:paraId="19DE814A">
            <w:pPr>
              <w:keepNext w:val="0"/>
              <w:keepLines w:val="0"/>
              <w:suppressLineNumbers w:val="0"/>
              <w:spacing w:before="0" w:beforeAutospacing="0" w:after="0" w:afterAutospacing="0"/>
              <w:ind w:left="0" w:right="0"/>
              <w:rPr>
                <w:rFonts w:hint="default" w:ascii="Arial"/>
                <w:sz w:val="21"/>
              </w:rPr>
            </w:pPr>
          </w:p>
        </w:tc>
        <w:tc>
          <w:tcPr>
            <w:tcW w:w="1622" w:type="dxa"/>
            <w:vAlign w:val="top"/>
          </w:tcPr>
          <w:p w14:paraId="1C62602C">
            <w:pPr>
              <w:pStyle w:val="22"/>
              <w:keepNext w:val="0"/>
              <w:keepLines w:val="0"/>
              <w:suppressLineNumbers w:val="0"/>
              <w:spacing w:before="63" w:beforeAutospacing="0" w:after="0" w:afterAutospacing="0" w:line="221" w:lineRule="auto"/>
              <w:ind w:left="118" w:right="0"/>
              <w:rPr>
                <w:rFonts w:hint="default"/>
              </w:rPr>
            </w:pPr>
            <w:r>
              <w:rPr>
                <w:rFonts w:hint="default"/>
                <w:spacing w:val="-1"/>
              </w:rPr>
              <w:t>数量(t/a)</w:t>
            </w:r>
          </w:p>
        </w:tc>
      </w:tr>
      <w:tr w14:paraId="2320A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0EAE3FBD">
            <w:pPr>
              <w:pStyle w:val="22"/>
              <w:keepNext w:val="0"/>
              <w:keepLines w:val="0"/>
              <w:suppressLineNumbers w:val="0"/>
              <w:spacing w:before="98" w:beforeAutospacing="0" w:after="0" w:afterAutospacing="0" w:line="183" w:lineRule="auto"/>
              <w:ind w:left="131" w:right="0"/>
              <w:rPr>
                <w:rFonts w:hint="default"/>
              </w:rPr>
            </w:pPr>
            <w:r>
              <w:rPr>
                <w:rFonts w:hint="default"/>
              </w:rPr>
              <w:t>1</w:t>
            </w:r>
          </w:p>
        </w:tc>
        <w:tc>
          <w:tcPr>
            <w:tcW w:w="1641" w:type="dxa"/>
            <w:vAlign w:val="top"/>
          </w:tcPr>
          <w:p w14:paraId="70A067AD">
            <w:pPr>
              <w:pStyle w:val="22"/>
              <w:keepNext w:val="0"/>
              <w:keepLines w:val="0"/>
              <w:suppressLineNumbers w:val="0"/>
              <w:spacing w:before="64" w:beforeAutospacing="0" w:after="0" w:afterAutospacing="0" w:line="220" w:lineRule="auto"/>
              <w:ind w:left="112" w:right="0"/>
              <w:rPr>
                <w:rFonts w:hint="default"/>
              </w:rPr>
            </w:pPr>
            <w:r>
              <w:rPr>
                <w:rFonts w:hint="default"/>
                <w:spacing w:val="-1"/>
              </w:rPr>
              <w:t>双氧水（50%）</w:t>
            </w:r>
          </w:p>
        </w:tc>
        <w:tc>
          <w:tcPr>
            <w:tcW w:w="1245" w:type="dxa"/>
            <w:vAlign w:val="top"/>
          </w:tcPr>
          <w:p w14:paraId="7743B309">
            <w:pPr>
              <w:pStyle w:val="22"/>
              <w:keepNext w:val="0"/>
              <w:keepLines w:val="0"/>
              <w:suppressLineNumbers w:val="0"/>
              <w:spacing w:before="98" w:beforeAutospacing="0" w:after="0" w:afterAutospacing="0" w:line="183" w:lineRule="auto"/>
              <w:ind w:left="126" w:right="0"/>
              <w:rPr>
                <w:rFonts w:hint="default"/>
              </w:rPr>
            </w:pPr>
            <w:r>
              <w:rPr>
                <w:rFonts w:hint="default"/>
                <w:spacing w:val="-4"/>
              </w:rPr>
              <w:t>12000</w:t>
            </w:r>
          </w:p>
        </w:tc>
        <w:tc>
          <w:tcPr>
            <w:tcW w:w="1257" w:type="dxa"/>
            <w:vAlign w:val="top"/>
          </w:tcPr>
          <w:p w14:paraId="382FE8F8">
            <w:pPr>
              <w:pStyle w:val="22"/>
              <w:keepNext w:val="0"/>
              <w:keepLines w:val="0"/>
              <w:suppressLineNumbers w:val="0"/>
              <w:spacing w:before="63" w:beforeAutospacing="0" w:after="0" w:afterAutospacing="0" w:line="221" w:lineRule="auto"/>
              <w:ind w:left="113" w:right="0"/>
              <w:rPr>
                <w:rFonts w:hint="default"/>
              </w:rPr>
            </w:pPr>
            <w:r>
              <w:rPr>
                <w:rFonts w:hint="default"/>
                <w:spacing w:val="-2"/>
              </w:rPr>
              <w:t>产品</w:t>
            </w:r>
          </w:p>
        </w:tc>
        <w:tc>
          <w:tcPr>
            <w:tcW w:w="2610" w:type="dxa"/>
            <w:vAlign w:val="top"/>
          </w:tcPr>
          <w:p w14:paraId="74A04CF2">
            <w:pPr>
              <w:pStyle w:val="22"/>
              <w:keepNext w:val="0"/>
              <w:keepLines w:val="0"/>
              <w:suppressLineNumbers w:val="0"/>
              <w:spacing w:before="64" w:beforeAutospacing="0" w:after="0" w:afterAutospacing="0" w:line="220" w:lineRule="auto"/>
              <w:ind w:left="111" w:right="0"/>
              <w:rPr>
                <w:rFonts w:hint="default"/>
              </w:rPr>
            </w:pPr>
            <w:r>
              <w:rPr>
                <w:rFonts w:hint="default"/>
                <w:spacing w:val="-1"/>
              </w:rPr>
              <w:t>超纯双氧水（31%）</w:t>
            </w:r>
          </w:p>
        </w:tc>
        <w:tc>
          <w:tcPr>
            <w:tcW w:w="1622" w:type="dxa"/>
            <w:vAlign w:val="top"/>
          </w:tcPr>
          <w:p w14:paraId="44BEC4B4">
            <w:pPr>
              <w:pStyle w:val="22"/>
              <w:keepNext w:val="0"/>
              <w:keepLines w:val="0"/>
              <w:suppressLineNumbers w:val="0"/>
              <w:spacing w:before="98" w:beforeAutospacing="0" w:after="0" w:afterAutospacing="0" w:line="183" w:lineRule="auto"/>
              <w:ind w:left="132" w:right="0"/>
              <w:rPr>
                <w:rFonts w:hint="default"/>
              </w:rPr>
            </w:pPr>
            <w:r>
              <w:rPr>
                <w:rFonts w:hint="default"/>
                <w:spacing w:val="-4"/>
              </w:rPr>
              <w:t>15000</w:t>
            </w:r>
          </w:p>
        </w:tc>
      </w:tr>
      <w:tr w14:paraId="08C2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25CDE6E5">
            <w:pPr>
              <w:pStyle w:val="22"/>
              <w:keepNext w:val="0"/>
              <w:keepLines w:val="0"/>
              <w:suppressLineNumbers w:val="0"/>
              <w:spacing w:before="99" w:beforeAutospacing="0" w:after="0" w:afterAutospacing="0" w:line="182" w:lineRule="auto"/>
              <w:ind w:left="118" w:right="0"/>
              <w:rPr>
                <w:rFonts w:hint="default"/>
              </w:rPr>
            </w:pPr>
            <w:r>
              <w:rPr>
                <w:rFonts w:hint="default"/>
              </w:rPr>
              <w:t>2</w:t>
            </w:r>
          </w:p>
        </w:tc>
        <w:tc>
          <w:tcPr>
            <w:tcW w:w="1641" w:type="dxa"/>
            <w:vAlign w:val="top"/>
          </w:tcPr>
          <w:p w14:paraId="53C798D5">
            <w:pPr>
              <w:pStyle w:val="22"/>
              <w:keepNext w:val="0"/>
              <w:keepLines w:val="0"/>
              <w:suppressLineNumbers w:val="0"/>
              <w:spacing w:before="64" w:beforeAutospacing="0" w:after="0" w:afterAutospacing="0" w:line="221" w:lineRule="auto"/>
              <w:ind w:left="111" w:right="0"/>
              <w:rPr>
                <w:rFonts w:hint="default"/>
              </w:rPr>
            </w:pPr>
            <w:r>
              <w:rPr>
                <w:rFonts w:hint="default"/>
                <w:spacing w:val="-1"/>
              </w:rPr>
              <w:t>超纯水</w:t>
            </w:r>
          </w:p>
        </w:tc>
        <w:tc>
          <w:tcPr>
            <w:tcW w:w="1245" w:type="dxa"/>
            <w:vAlign w:val="top"/>
          </w:tcPr>
          <w:p w14:paraId="1BA38EF1">
            <w:pPr>
              <w:pStyle w:val="22"/>
              <w:keepNext w:val="0"/>
              <w:keepLines w:val="0"/>
              <w:suppressLineNumbers w:val="0"/>
              <w:spacing w:before="100" w:beforeAutospacing="0" w:after="0" w:afterAutospacing="0" w:line="182" w:lineRule="auto"/>
              <w:ind w:left="112" w:right="0"/>
              <w:rPr>
                <w:rFonts w:hint="default"/>
              </w:rPr>
            </w:pPr>
            <w:r>
              <w:rPr>
                <w:rFonts w:hint="default"/>
                <w:spacing w:val="-1"/>
              </w:rPr>
              <w:t>6409.3</w:t>
            </w:r>
          </w:p>
        </w:tc>
        <w:tc>
          <w:tcPr>
            <w:tcW w:w="1257" w:type="dxa"/>
            <w:vAlign w:val="top"/>
          </w:tcPr>
          <w:p w14:paraId="47DBB278">
            <w:pPr>
              <w:keepNext w:val="0"/>
              <w:keepLines w:val="0"/>
              <w:suppressLineNumbers w:val="0"/>
              <w:spacing w:before="0" w:beforeAutospacing="0" w:after="0" w:afterAutospacing="0"/>
              <w:ind w:left="0" w:right="0"/>
              <w:rPr>
                <w:rFonts w:hint="default" w:ascii="Arial"/>
                <w:sz w:val="21"/>
              </w:rPr>
            </w:pPr>
          </w:p>
        </w:tc>
        <w:tc>
          <w:tcPr>
            <w:tcW w:w="2610" w:type="dxa"/>
            <w:vAlign w:val="top"/>
          </w:tcPr>
          <w:p w14:paraId="39EAA1AB">
            <w:pPr>
              <w:pStyle w:val="22"/>
              <w:keepNext w:val="0"/>
              <w:keepLines w:val="0"/>
              <w:suppressLineNumbers w:val="0"/>
              <w:spacing w:before="64" w:beforeAutospacing="0" w:after="0" w:afterAutospacing="0" w:line="221" w:lineRule="auto"/>
              <w:ind w:left="116" w:right="0"/>
              <w:rPr>
                <w:rFonts w:hint="default"/>
              </w:rPr>
            </w:pPr>
            <w:r>
              <w:rPr>
                <w:rFonts w:hint="default"/>
                <w:spacing w:val="-2"/>
              </w:rPr>
              <w:t>副产品（50%）</w:t>
            </w:r>
          </w:p>
        </w:tc>
        <w:tc>
          <w:tcPr>
            <w:tcW w:w="1622" w:type="dxa"/>
            <w:vAlign w:val="top"/>
          </w:tcPr>
          <w:p w14:paraId="5BD4C071">
            <w:pPr>
              <w:pStyle w:val="22"/>
              <w:keepNext w:val="0"/>
              <w:keepLines w:val="0"/>
              <w:suppressLineNumbers w:val="0"/>
              <w:spacing w:before="100" w:beforeAutospacing="0" w:after="0" w:afterAutospacing="0" w:line="182" w:lineRule="auto"/>
              <w:ind w:left="119" w:right="0"/>
              <w:rPr>
                <w:rFonts w:hint="default"/>
              </w:rPr>
            </w:pPr>
            <w:r>
              <w:rPr>
                <w:rFonts w:hint="default"/>
                <w:spacing w:val="-2"/>
              </w:rPr>
              <w:t>2600</w:t>
            </w:r>
          </w:p>
        </w:tc>
      </w:tr>
      <w:tr w14:paraId="331E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049A889F">
            <w:pPr>
              <w:keepNext w:val="0"/>
              <w:keepLines w:val="0"/>
              <w:suppressLineNumbers w:val="0"/>
              <w:spacing w:before="0" w:beforeAutospacing="0" w:after="0" w:afterAutospacing="0"/>
              <w:ind w:left="0" w:right="0"/>
              <w:rPr>
                <w:rFonts w:hint="default" w:ascii="Arial"/>
                <w:sz w:val="21"/>
              </w:rPr>
            </w:pPr>
          </w:p>
        </w:tc>
        <w:tc>
          <w:tcPr>
            <w:tcW w:w="1641" w:type="dxa"/>
            <w:vAlign w:val="top"/>
          </w:tcPr>
          <w:p w14:paraId="7CF2F093">
            <w:pPr>
              <w:keepNext w:val="0"/>
              <w:keepLines w:val="0"/>
              <w:suppressLineNumbers w:val="0"/>
              <w:spacing w:before="0" w:beforeAutospacing="0" w:after="0" w:afterAutospacing="0"/>
              <w:ind w:left="0" w:right="0"/>
              <w:rPr>
                <w:rFonts w:hint="default" w:ascii="Arial"/>
                <w:sz w:val="21"/>
              </w:rPr>
            </w:pPr>
          </w:p>
        </w:tc>
        <w:tc>
          <w:tcPr>
            <w:tcW w:w="1245" w:type="dxa"/>
            <w:vAlign w:val="top"/>
          </w:tcPr>
          <w:p w14:paraId="3AA48CEF">
            <w:pPr>
              <w:keepNext w:val="0"/>
              <w:keepLines w:val="0"/>
              <w:suppressLineNumbers w:val="0"/>
              <w:spacing w:before="0" w:beforeAutospacing="0" w:after="0" w:afterAutospacing="0"/>
              <w:ind w:left="0" w:right="0"/>
              <w:rPr>
                <w:rFonts w:hint="default" w:ascii="Arial"/>
                <w:sz w:val="21"/>
              </w:rPr>
            </w:pPr>
          </w:p>
        </w:tc>
        <w:tc>
          <w:tcPr>
            <w:tcW w:w="1257" w:type="dxa"/>
            <w:vAlign w:val="top"/>
          </w:tcPr>
          <w:p w14:paraId="5C282DDC">
            <w:pPr>
              <w:pStyle w:val="22"/>
              <w:keepNext w:val="0"/>
              <w:keepLines w:val="0"/>
              <w:suppressLineNumbers w:val="0"/>
              <w:spacing w:before="64" w:beforeAutospacing="0" w:after="0" w:afterAutospacing="0" w:line="221" w:lineRule="auto"/>
              <w:ind w:left="113" w:right="0"/>
              <w:rPr>
                <w:rFonts w:hint="default"/>
              </w:rPr>
            </w:pPr>
            <w:r>
              <w:rPr>
                <w:rFonts w:hint="default"/>
                <w:spacing w:val="-2"/>
              </w:rPr>
              <w:t>损耗</w:t>
            </w:r>
          </w:p>
        </w:tc>
        <w:tc>
          <w:tcPr>
            <w:tcW w:w="2610" w:type="dxa"/>
            <w:vAlign w:val="top"/>
          </w:tcPr>
          <w:p w14:paraId="016C7273">
            <w:pPr>
              <w:pStyle w:val="22"/>
              <w:keepNext w:val="0"/>
              <w:keepLines w:val="0"/>
              <w:suppressLineNumbers w:val="0"/>
              <w:spacing w:before="64" w:beforeAutospacing="0" w:after="0" w:afterAutospacing="0" w:line="220" w:lineRule="auto"/>
              <w:ind w:left="112" w:right="0"/>
              <w:rPr>
                <w:rFonts w:hint="default"/>
              </w:rPr>
            </w:pPr>
            <w:r>
              <w:rPr>
                <w:rFonts w:hint="default"/>
                <w:spacing w:val="-1"/>
              </w:rPr>
              <w:t>双氧水（31%）</w:t>
            </w:r>
          </w:p>
        </w:tc>
        <w:tc>
          <w:tcPr>
            <w:tcW w:w="1622" w:type="dxa"/>
            <w:vAlign w:val="top"/>
          </w:tcPr>
          <w:p w14:paraId="0F5172D6">
            <w:pPr>
              <w:pStyle w:val="22"/>
              <w:keepNext w:val="0"/>
              <w:keepLines w:val="0"/>
              <w:suppressLineNumbers w:val="0"/>
              <w:spacing w:before="99" w:beforeAutospacing="0" w:after="0" w:afterAutospacing="0" w:line="183" w:lineRule="auto"/>
              <w:ind w:left="132" w:right="0"/>
              <w:rPr>
                <w:rFonts w:hint="default"/>
              </w:rPr>
            </w:pPr>
            <w:r>
              <w:rPr>
                <w:rFonts w:hint="default"/>
                <w:spacing w:val="-4"/>
              </w:rPr>
              <w:t>158.3</w:t>
            </w:r>
          </w:p>
        </w:tc>
      </w:tr>
      <w:tr w14:paraId="406A2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031" w:type="dxa"/>
            <w:vAlign w:val="top"/>
          </w:tcPr>
          <w:p w14:paraId="1B1E9FDB">
            <w:pPr>
              <w:keepNext w:val="0"/>
              <w:keepLines w:val="0"/>
              <w:suppressLineNumbers w:val="0"/>
              <w:spacing w:before="0" w:beforeAutospacing="0" w:after="0" w:afterAutospacing="0"/>
              <w:ind w:left="0" w:right="0"/>
              <w:rPr>
                <w:rFonts w:hint="default" w:ascii="Arial"/>
                <w:sz w:val="21"/>
              </w:rPr>
            </w:pPr>
          </w:p>
        </w:tc>
        <w:tc>
          <w:tcPr>
            <w:tcW w:w="1641" w:type="dxa"/>
            <w:vAlign w:val="top"/>
          </w:tcPr>
          <w:p w14:paraId="0816783B">
            <w:pPr>
              <w:keepNext w:val="0"/>
              <w:keepLines w:val="0"/>
              <w:suppressLineNumbers w:val="0"/>
              <w:spacing w:before="0" w:beforeAutospacing="0" w:after="0" w:afterAutospacing="0"/>
              <w:ind w:left="0" w:right="0"/>
              <w:rPr>
                <w:rFonts w:hint="default" w:ascii="Arial"/>
                <w:sz w:val="21"/>
              </w:rPr>
            </w:pPr>
          </w:p>
        </w:tc>
        <w:tc>
          <w:tcPr>
            <w:tcW w:w="1245" w:type="dxa"/>
            <w:vAlign w:val="top"/>
          </w:tcPr>
          <w:p w14:paraId="45A46C41">
            <w:pPr>
              <w:keepNext w:val="0"/>
              <w:keepLines w:val="0"/>
              <w:suppressLineNumbers w:val="0"/>
              <w:spacing w:before="0" w:beforeAutospacing="0" w:after="0" w:afterAutospacing="0"/>
              <w:ind w:left="0" w:right="0"/>
              <w:rPr>
                <w:rFonts w:hint="default" w:ascii="Arial"/>
                <w:sz w:val="21"/>
              </w:rPr>
            </w:pPr>
          </w:p>
        </w:tc>
        <w:tc>
          <w:tcPr>
            <w:tcW w:w="1257" w:type="dxa"/>
            <w:vAlign w:val="top"/>
          </w:tcPr>
          <w:p w14:paraId="7916770E">
            <w:pPr>
              <w:pStyle w:val="22"/>
              <w:keepNext w:val="0"/>
              <w:keepLines w:val="0"/>
              <w:suppressLineNumbers w:val="0"/>
              <w:spacing w:before="64" w:beforeAutospacing="0" w:after="0" w:afterAutospacing="0" w:line="221" w:lineRule="auto"/>
              <w:ind w:left="113" w:right="0"/>
              <w:rPr>
                <w:rFonts w:hint="default"/>
              </w:rPr>
            </w:pPr>
            <w:r>
              <w:rPr>
                <w:rFonts w:hint="default"/>
                <w:spacing w:val="-2"/>
              </w:rPr>
              <w:t>清洗废水</w:t>
            </w:r>
          </w:p>
        </w:tc>
        <w:tc>
          <w:tcPr>
            <w:tcW w:w="2610" w:type="dxa"/>
            <w:vAlign w:val="top"/>
          </w:tcPr>
          <w:p w14:paraId="6C4E7F67">
            <w:pPr>
              <w:pStyle w:val="22"/>
              <w:keepNext w:val="0"/>
              <w:keepLines w:val="0"/>
              <w:suppressLineNumbers w:val="0"/>
              <w:spacing w:before="165" w:beforeAutospacing="0" w:after="0" w:afterAutospacing="0" w:line="142" w:lineRule="exact"/>
              <w:ind w:left="110" w:right="0"/>
              <w:rPr>
                <w:rFonts w:hint="default"/>
              </w:rPr>
            </w:pPr>
            <w:r>
              <w:rPr>
                <w:rFonts w:hint="default"/>
                <w:spacing w:val="-2"/>
                <w:position w:val="-3"/>
              </w:rPr>
              <w:t>--</w:t>
            </w:r>
          </w:p>
        </w:tc>
        <w:tc>
          <w:tcPr>
            <w:tcW w:w="1622" w:type="dxa"/>
            <w:vAlign w:val="top"/>
          </w:tcPr>
          <w:p w14:paraId="3BF023E3">
            <w:pPr>
              <w:pStyle w:val="22"/>
              <w:keepNext w:val="0"/>
              <w:keepLines w:val="0"/>
              <w:suppressLineNumbers w:val="0"/>
              <w:spacing w:before="100" w:beforeAutospacing="0" w:after="0" w:afterAutospacing="0" w:line="182" w:lineRule="auto"/>
              <w:ind w:left="118" w:right="0"/>
              <w:rPr>
                <w:rFonts w:hint="default"/>
              </w:rPr>
            </w:pPr>
            <w:r>
              <w:rPr>
                <w:rFonts w:hint="default"/>
                <w:spacing w:val="-3"/>
              </w:rPr>
              <w:t>648</w:t>
            </w:r>
          </w:p>
        </w:tc>
      </w:tr>
      <w:tr w14:paraId="0D182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5557740A">
            <w:pPr>
              <w:keepNext w:val="0"/>
              <w:keepLines w:val="0"/>
              <w:suppressLineNumbers w:val="0"/>
              <w:spacing w:before="0" w:beforeAutospacing="0" w:after="0" w:afterAutospacing="0"/>
              <w:ind w:left="0" w:right="0"/>
              <w:rPr>
                <w:rFonts w:hint="default" w:ascii="Arial"/>
                <w:sz w:val="21"/>
              </w:rPr>
            </w:pPr>
          </w:p>
        </w:tc>
        <w:tc>
          <w:tcPr>
            <w:tcW w:w="1641" w:type="dxa"/>
            <w:vAlign w:val="top"/>
          </w:tcPr>
          <w:p w14:paraId="10DED3C2">
            <w:pPr>
              <w:keepNext w:val="0"/>
              <w:keepLines w:val="0"/>
              <w:suppressLineNumbers w:val="0"/>
              <w:spacing w:before="0" w:beforeAutospacing="0" w:after="0" w:afterAutospacing="0"/>
              <w:ind w:left="0" w:right="0"/>
              <w:rPr>
                <w:rFonts w:hint="default" w:ascii="Arial"/>
                <w:sz w:val="21"/>
              </w:rPr>
            </w:pPr>
          </w:p>
        </w:tc>
        <w:tc>
          <w:tcPr>
            <w:tcW w:w="1245" w:type="dxa"/>
            <w:vAlign w:val="top"/>
          </w:tcPr>
          <w:p w14:paraId="69187EC5">
            <w:pPr>
              <w:keepNext w:val="0"/>
              <w:keepLines w:val="0"/>
              <w:suppressLineNumbers w:val="0"/>
              <w:spacing w:before="0" w:beforeAutospacing="0" w:after="0" w:afterAutospacing="0"/>
              <w:ind w:left="0" w:right="0"/>
              <w:rPr>
                <w:rFonts w:hint="default" w:ascii="Arial"/>
                <w:sz w:val="21"/>
              </w:rPr>
            </w:pPr>
          </w:p>
        </w:tc>
        <w:tc>
          <w:tcPr>
            <w:tcW w:w="1257" w:type="dxa"/>
            <w:vAlign w:val="top"/>
          </w:tcPr>
          <w:p w14:paraId="5FDE8F06">
            <w:pPr>
              <w:pStyle w:val="22"/>
              <w:keepNext w:val="0"/>
              <w:keepLines w:val="0"/>
              <w:suppressLineNumbers w:val="0"/>
              <w:spacing w:before="69" w:beforeAutospacing="0" w:after="0" w:afterAutospacing="0" w:line="221" w:lineRule="auto"/>
              <w:ind w:left="132" w:right="0"/>
              <w:rPr>
                <w:rFonts w:hint="default"/>
              </w:rPr>
            </w:pPr>
            <w:r>
              <w:rPr>
                <w:rFonts w:hint="default"/>
                <w:spacing w:val="-7"/>
              </w:rPr>
              <w:t>固废</w:t>
            </w:r>
          </w:p>
        </w:tc>
        <w:tc>
          <w:tcPr>
            <w:tcW w:w="2610" w:type="dxa"/>
            <w:vAlign w:val="top"/>
          </w:tcPr>
          <w:p w14:paraId="0C49943D">
            <w:pPr>
              <w:pStyle w:val="22"/>
              <w:keepNext w:val="0"/>
              <w:keepLines w:val="0"/>
              <w:suppressLineNumbers w:val="0"/>
              <w:spacing w:before="69" w:beforeAutospacing="0" w:after="0" w:afterAutospacing="0" w:line="221" w:lineRule="auto"/>
              <w:ind w:left="111" w:right="0"/>
              <w:rPr>
                <w:rFonts w:hint="default"/>
              </w:rPr>
            </w:pPr>
            <w:r>
              <w:rPr>
                <w:rFonts w:hint="default"/>
                <w:spacing w:val="-2"/>
              </w:rPr>
              <w:t>废膜</w:t>
            </w:r>
          </w:p>
        </w:tc>
        <w:tc>
          <w:tcPr>
            <w:tcW w:w="1622" w:type="dxa"/>
            <w:vAlign w:val="top"/>
          </w:tcPr>
          <w:p w14:paraId="3CDEB0B9">
            <w:pPr>
              <w:pStyle w:val="22"/>
              <w:keepNext w:val="0"/>
              <w:keepLines w:val="0"/>
              <w:suppressLineNumbers w:val="0"/>
              <w:spacing w:before="104" w:beforeAutospacing="0" w:after="0" w:afterAutospacing="0" w:line="182" w:lineRule="auto"/>
              <w:ind w:left="118" w:right="0"/>
              <w:rPr>
                <w:rFonts w:hint="default"/>
              </w:rPr>
            </w:pPr>
            <w:r>
              <w:rPr>
                <w:rFonts w:hint="default"/>
                <w:spacing w:val="-2"/>
              </w:rPr>
              <w:t>0.5</w:t>
            </w:r>
          </w:p>
        </w:tc>
      </w:tr>
      <w:tr w14:paraId="188E7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31" w:type="dxa"/>
            <w:vAlign w:val="top"/>
          </w:tcPr>
          <w:p w14:paraId="6DDC8DDE">
            <w:pPr>
              <w:keepNext w:val="0"/>
              <w:keepLines w:val="0"/>
              <w:suppressLineNumbers w:val="0"/>
              <w:spacing w:before="0" w:beforeAutospacing="0" w:after="0" w:afterAutospacing="0"/>
              <w:ind w:left="0" w:right="0"/>
              <w:rPr>
                <w:rFonts w:hint="default" w:ascii="Arial"/>
                <w:sz w:val="21"/>
              </w:rPr>
            </w:pPr>
          </w:p>
        </w:tc>
        <w:tc>
          <w:tcPr>
            <w:tcW w:w="1641" w:type="dxa"/>
            <w:vAlign w:val="top"/>
          </w:tcPr>
          <w:p w14:paraId="627B8EEC">
            <w:pPr>
              <w:keepNext w:val="0"/>
              <w:keepLines w:val="0"/>
              <w:suppressLineNumbers w:val="0"/>
              <w:spacing w:before="0" w:beforeAutospacing="0" w:after="0" w:afterAutospacing="0"/>
              <w:ind w:left="0" w:right="0"/>
              <w:rPr>
                <w:rFonts w:hint="default" w:ascii="Arial"/>
                <w:sz w:val="21"/>
              </w:rPr>
            </w:pPr>
          </w:p>
        </w:tc>
        <w:tc>
          <w:tcPr>
            <w:tcW w:w="1245" w:type="dxa"/>
            <w:vAlign w:val="top"/>
          </w:tcPr>
          <w:p w14:paraId="27A2F5A1">
            <w:pPr>
              <w:keepNext w:val="0"/>
              <w:keepLines w:val="0"/>
              <w:suppressLineNumbers w:val="0"/>
              <w:spacing w:before="0" w:beforeAutospacing="0" w:after="0" w:afterAutospacing="0"/>
              <w:ind w:left="0" w:right="0"/>
              <w:rPr>
                <w:rFonts w:hint="default" w:ascii="Arial"/>
                <w:sz w:val="21"/>
              </w:rPr>
            </w:pPr>
          </w:p>
        </w:tc>
        <w:tc>
          <w:tcPr>
            <w:tcW w:w="1257" w:type="dxa"/>
            <w:vAlign w:val="top"/>
          </w:tcPr>
          <w:p w14:paraId="68046EFE">
            <w:pPr>
              <w:pStyle w:val="22"/>
              <w:keepNext w:val="0"/>
              <w:keepLines w:val="0"/>
              <w:suppressLineNumbers w:val="0"/>
              <w:spacing w:before="67" w:beforeAutospacing="0" w:after="0" w:afterAutospacing="0" w:line="221" w:lineRule="auto"/>
              <w:ind w:left="132" w:right="0"/>
              <w:rPr>
                <w:rFonts w:hint="default"/>
              </w:rPr>
            </w:pPr>
            <w:r>
              <w:rPr>
                <w:rFonts w:hint="default"/>
                <w:spacing w:val="-7"/>
              </w:rPr>
              <w:t>固废</w:t>
            </w:r>
          </w:p>
        </w:tc>
        <w:tc>
          <w:tcPr>
            <w:tcW w:w="2610" w:type="dxa"/>
            <w:vAlign w:val="top"/>
          </w:tcPr>
          <w:p w14:paraId="1E964BF9">
            <w:pPr>
              <w:pStyle w:val="22"/>
              <w:keepNext w:val="0"/>
              <w:keepLines w:val="0"/>
              <w:suppressLineNumbers w:val="0"/>
              <w:spacing w:before="66" w:beforeAutospacing="0" w:after="0" w:afterAutospacing="0" w:line="221" w:lineRule="auto"/>
              <w:ind w:left="111" w:right="0"/>
              <w:rPr>
                <w:rFonts w:hint="default"/>
              </w:rPr>
            </w:pPr>
            <w:r>
              <w:rPr>
                <w:rFonts w:hint="default"/>
                <w:spacing w:val="-1"/>
              </w:rPr>
              <w:t>废树脂</w:t>
            </w:r>
          </w:p>
        </w:tc>
        <w:tc>
          <w:tcPr>
            <w:tcW w:w="1622" w:type="dxa"/>
            <w:vAlign w:val="top"/>
          </w:tcPr>
          <w:p w14:paraId="0A1D6F4F">
            <w:pPr>
              <w:pStyle w:val="22"/>
              <w:keepNext w:val="0"/>
              <w:keepLines w:val="0"/>
              <w:suppressLineNumbers w:val="0"/>
              <w:spacing w:before="102" w:beforeAutospacing="0" w:after="0" w:afterAutospacing="0" w:line="182" w:lineRule="auto"/>
              <w:ind w:left="119" w:right="0"/>
              <w:rPr>
                <w:rFonts w:hint="default"/>
              </w:rPr>
            </w:pPr>
            <w:r>
              <w:rPr>
                <w:rFonts w:hint="default"/>
                <w:spacing w:val="-2"/>
              </w:rPr>
              <w:t>2.5</w:t>
            </w:r>
          </w:p>
        </w:tc>
      </w:tr>
      <w:tr w14:paraId="7AA06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31" w:type="dxa"/>
            <w:vAlign w:val="top"/>
          </w:tcPr>
          <w:p w14:paraId="292B3DF1">
            <w:pPr>
              <w:pStyle w:val="22"/>
              <w:keepNext w:val="0"/>
              <w:keepLines w:val="0"/>
              <w:suppressLineNumbers w:val="0"/>
              <w:spacing w:before="67" w:beforeAutospacing="0" w:after="0" w:afterAutospacing="0" w:line="222" w:lineRule="auto"/>
              <w:ind w:left="116" w:right="0"/>
              <w:rPr>
                <w:rFonts w:hint="default"/>
              </w:rPr>
            </w:pPr>
            <w:r>
              <w:rPr>
                <w:rFonts w:hint="default"/>
                <w:spacing w:val="-2"/>
              </w:rPr>
              <w:t>合计</w:t>
            </w:r>
          </w:p>
        </w:tc>
        <w:tc>
          <w:tcPr>
            <w:tcW w:w="1641" w:type="dxa"/>
            <w:vAlign w:val="top"/>
          </w:tcPr>
          <w:p w14:paraId="053F53E4">
            <w:pPr>
              <w:keepNext w:val="0"/>
              <w:keepLines w:val="0"/>
              <w:suppressLineNumbers w:val="0"/>
              <w:spacing w:before="0" w:beforeAutospacing="0" w:after="0" w:afterAutospacing="0"/>
              <w:ind w:left="0" w:right="0"/>
              <w:rPr>
                <w:rFonts w:hint="default" w:ascii="Arial"/>
                <w:sz w:val="21"/>
              </w:rPr>
            </w:pPr>
          </w:p>
        </w:tc>
        <w:tc>
          <w:tcPr>
            <w:tcW w:w="1245" w:type="dxa"/>
            <w:vAlign w:val="top"/>
          </w:tcPr>
          <w:p w14:paraId="02DA6BCF">
            <w:pPr>
              <w:pStyle w:val="22"/>
              <w:keepNext w:val="0"/>
              <w:keepLines w:val="0"/>
              <w:suppressLineNumbers w:val="0"/>
              <w:spacing w:before="101" w:beforeAutospacing="0" w:after="0" w:afterAutospacing="0" w:line="183" w:lineRule="auto"/>
              <w:ind w:left="126" w:right="0"/>
              <w:rPr>
                <w:rFonts w:hint="default"/>
              </w:rPr>
            </w:pPr>
            <w:r>
              <w:rPr>
                <w:rFonts w:hint="default"/>
                <w:spacing w:val="-3"/>
              </w:rPr>
              <w:t>18409.3</w:t>
            </w:r>
          </w:p>
        </w:tc>
        <w:tc>
          <w:tcPr>
            <w:tcW w:w="1257" w:type="dxa"/>
            <w:vAlign w:val="top"/>
          </w:tcPr>
          <w:p w14:paraId="2FFE09CA">
            <w:pPr>
              <w:pStyle w:val="22"/>
              <w:keepNext w:val="0"/>
              <w:keepLines w:val="0"/>
              <w:suppressLineNumbers w:val="0"/>
              <w:spacing w:before="67" w:beforeAutospacing="0" w:after="0" w:afterAutospacing="0" w:line="222" w:lineRule="auto"/>
              <w:ind w:left="114" w:right="0"/>
              <w:rPr>
                <w:rFonts w:hint="default"/>
              </w:rPr>
            </w:pPr>
            <w:r>
              <w:rPr>
                <w:rFonts w:hint="default"/>
                <w:spacing w:val="-2"/>
              </w:rPr>
              <w:t>合计</w:t>
            </w:r>
          </w:p>
        </w:tc>
        <w:tc>
          <w:tcPr>
            <w:tcW w:w="2610" w:type="dxa"/>
            <w:vAlign w:val="top"/>
          </w:tcPr>
          <w:p w14:paraId="6CF568A5">
            <w:pPr>
              <w:keepNext w:val="0"/>
              <w:keepLines w:val="0"/>
              <w:suppressLineNumbers w:val="0"/>
              <w:spacing w:before="0" w:beforeAutospacing="0" w:after="0" w:afterAutospacing="0"/>
              <w:ind w:left="0" w:right="0"/>
              <w:rPr>
                <w:rFonts w:hint="default" w:ascii="Arial"/>
                <w:sz w:val="21"/>
              </w:rPr>
            </w:pPr>
          </w:p>
        </w:tc>
        <w:tc>
          <w:tcPr>
            <w:tcW w:w="1622" w:type="dxa"/>
            <w:vAlign w:val="top"/>
          </w:tcPr>
          <w:p w14:paraId="2FED39EB">
            <w:pPr>
              <w:pStyle w:val="22"/>
              <w:keepNext w:val="0"/>
              <w:keepLines w:val="0"/>
              <w:suppressLineNumbers w:val="0"/>
              <w:spacing w:before="101" w:beforeAutospacing="0" w:after="0" w:afterAutospacing="0" w:line="183" w:lineRule="auto"/>
              <w:ind w:left="132" w:right="0"/>
              <w:rPr>
                <w:rFonts w:hint="default"/>
              </w:rPr>
            </w:pPr>
            <w:r>
              <w:rPr>
                <w:rFonts w:hint="default"/>
                <w:spacing w:val="-3"/>
              </w:rPr>
              <w:t>18409.3</w:t>
            </w:r>
          </w:p>
        </w:tc>
      </w:tr>
    </w:tbl>
    <w:p w14:paraId="5501B2E7">
      <w:pPr>
        <w:pStyle w:val="6"/>
        <w:spacing w:line="328" w:lineRule="auto"/>
      </w:pPr>
    </w:p>
    <w:p w14:paraId="05E19346">
      <w:pPr>
        <w:pStyle w:val="6"/>
        <w:spacing w:before="91" w:line="220" w:lineRule="auto"/>
        <w:ind w:left="120"/>
        <w:rPr>
          <w:rFonts w:ascii="宋体" w:hAnsi="宋体" w:eastAsia="宋体" w:cs="宋体"/>
          <w:sz w:val="28"/>
          <w:szCs w:val="28"/>
        </w:rPr>
      </w:pPr>
      <w:r>
        <w:fldChar w:fldCharType="begin"/>
      </w:r>
      <w:r>
        <w:instrText xml:space="preserve"> HYPERLINK "2.6.1.2" </w:instrText>
      </w:r>
      <w:r>
        <w:fldChar w:fldCharType="separate"/>
      </w:r>
      <w:r>
        <w:rPr>
          <w:spacing w:val="-4"/>
          <w:sz w:val="28"/>
          <w:szCs w:val="28"/>
        </w:rPr>
        <w:t>2.6.1.2</w:t>
      </w:r>
      <w:r>
        <w:rPr>
          <w:spacing w:val="-4"/>
          <w:sz w:val="28"/>
          <w:szCs w:val="28"/>
        </w:rPr>
        <w:fldChar w:fldCharType="end"/>
      </w:r>
      <w:r>
        <w:rPr>
          <w:spacing w:val="55"/>
          <w:sz w:val="28"/>
          <w:szCs w:val="28"/>
        </w:rPr>
        <w:t xml:space="preserve"> </w:t>
      </w:r>
      <w:r>
        <w:rPr>
          <w:rFonts w:ascii="宋体" w:hAnsi="宋体" w:eastAsia="宋体" w:cs="宋体"/>
          <w:spacing w:val="-4"/>
          <w:sz w:val="28"/>
          <w:szCs w:val="28"/>
        </w:rPr>
        <w:t>电子级氨水工艺流程</w:t>
      </w:r>
    </w:p>
    <w:p w14:paraId="4BEE02BA">
      <w:pPr>
        <w:spacing w:before="212" w:line="350" w:lineRule="auto"/>
        <w:ind w:left="122" w:right="113" w:firstLine="561"/>
        <w:rPr>
          <w:rFonts w:ascii="宋体" w:hAnsi="宋体" w:eastAsia="宋体" w:cs="宋体"/>
          <w:sz w:val="28"/>
          <w:szCs w:val="28"/>
        </w:rPr>
      </w:pPr>
      <w:r>
        <w:rPr>
          <w:rFonts w:ascii="宋体" w:hAnsi="宋体" w:eastAsia="宋体" w:cs="宋体"/>
          <w:spacing w:val="-2"/>
          <w:sz w:val="28"/>
          <w:szCs w:val="28"/>
        </w:rPr>
        <w:t>本项目超纯氨水产品工艺流程主要工艺包括原料卸料及贮</w:t>
      </w:r>
      <w:r>
        <w:rPr>
          <w:rFonts w:ascii="宋体" w:hAnsi="宋体" w:eastAsia="宋体" w:cs="宋体"/>
          <w:spacing w:val="-3"/>
          <w:sz w:val="28"/>
          <w:szCs w:val="28"/>
        </w:rPr>
        <w:t>存、分离、稀</w:t>
      </w:r>
      <w:r>
        <w:rPr>
          <w:rFonts w:ascii="宋体" w:hAnsi="宋体" w:eastAsia="宋体" w:cs="宋体"/>
          <w:sz w:val="28"/>
          <w:szCs w:val="28"/>
        </w:rPr>
        <w:t xml:space="preserve"> </w:t>
      </w:r>
      <w:r>
        <w:rPr>
          <w:rFonts w:ascii="宋体" w:hAnsi="宋体" w:eastAsia="宋体" w:cs="宋体"/>
          <w:spacing w:val="-2"/>
          <w:sz w:val="28"/>
          <w:szCs w:val="28"/>
        </w:rPr>
        <w:t>释、离子交换、产品灌装等工序步骤。包括液氨卸车贮存、氨净化、纯水吸</w:t>
      </w:r>
      <w:r>
        <w:rPr>
          <w:rFonts w:ascii="宋体" w:hAnsi="宋体" w:eastAsia="宋体" w:cs="宋体"/>
          <w:sz w:val="28"/>
          <w:szCs w:val="28"/>
        </w:rPr>
        <w:t xml:space="preserve"> </w:t>
      </w:r>
      <w:r>
        <w:rPr>
          <w:rFonts w:ascii="宋体" w:hAnsi="宋体" w:eastAsia="宋体" w:cs="宋体"/>
          <w:spacing w:val="-1"/>
          <w:sz w:val="28"/>
          <w:szCs w:val="28"/>
        </w:rPr>
        <w:t>收、灌装等环节。</w:t>
      </w:r>
    </w:p>
    <w:p w14:paraId="2D2A28D4">
      <w:pPr>
        <w:spacing w:before="40" w:line="220" w:lineRule="auto"/>
        <w:ind w:left="690"/>
        <w:rPr>
          <w:rFonts w:ascii="宋体" w:hAnsi="宋体" w:eastAsia="宋体" w:cs="宋体"/>
          <w:sz w:val="28"/>
          <w:szCs w:val="28"/>
        </w:rPr>
      </w:pPr>
      <w:r>
        <w:rPr>
          <w:rFonts w:ascii="宋体" w:hAnsi="宋体" w:eastAsia="宋体" w:cs="宋体"/>
          <w:spacing w:val="-3"/>
          <w:sz w:val="28"/>
          <w:szCs w:val="28"/>
        </w:rPr>
        <w:t>（1）液氨卸车贮存</w:t>
      </w:r>
    </w:p>
    <w:p w14:paraId="26D73AB7">
      <w:pPr>
        <w:spacing w:before="209" w:line="353" w:lineRule="auto"/>
        <w:ind w:left="124" w:right="110" w:firstLine="559"/>
        <w:rPr>
          <w:rFonts w:ascii="宋体" w:hAnsi="宋体" w:eastAsia="宋体" w:cs="宋体"/>
          <w:sz w:val="28"/>
          <w:szCs w:val="28"/>
        </w:rPr>
      </w:pPr>
      <w:r>
        <w:rPr>
          <w:rFonts w:ascii="宋体" w:hAnsi="宋体" w:eastAsia="宋体" w:cs="宋体"/>
          <w:spacing w:val="2"/>
          <w:sz w:val="28"/>
          <w:szCs w:val="28"/>
        </w:rPr>
        <w:t>来自液氨槽车的液氨经过液氨卸车万向鹤管Z290101通过自身压力送往</w:t>
      </w:r>
      <w:r>
        <w:rPr>
          <w:rFonts w:ascii="宋体" w:hAnsi="宋体" w:eastAsia="宋体" w:cs="宋体"/>
          <w:spacing w:val="5"/>
          <w:sz w:val="28"/>
          <w:szCs w:val="28"/>
        </w:rPr>
        <w:t xml:space="preserve"> </w:t>
      </w:r>
      <w:r>
        <w:rPr>
          <w:rFonts w:ascii="宋体" w:hAnsi="宋体" w:eastAsia="宋体" w:cs="宋体"/>
          <w:spacing w:val="-4"/>
          <w:sz w:val="28"/>
          <w:szCs w:val="28"/>
        </w:rPr>
        <w:t>液氨贮罐</w:t>
      </w:r>
      <w:r>
        <w:rPr>
          <w:rFonts w:ascii="宋体" w:hAnsi="宋体" w:eastAsia="宋体" w:cs="宋体"/>
          <w:spacing w:val="-64"/>
          <w:sz w:val="28"/>
          <w:szCs w:val="28"/>
        </w:rPr>
        <w:t xml:space="preserve"> </w:t>
      </w:r>
      <w:r>
        <w:rPr>
          <w:rFonts w:ascii="宋体" w:hAnsi="宋体" w:eastAsia="宋体" w:cs="宋体"/>
          <w:spacing w:val="-4"/>
          <w:sz w:val="28"/>
          <w:szCs w:val="28"/>
        </w:rPr>
        <w:t>V250101A/B</w:t>
      </w:r>
      <w:r>
        <w:rPr>
          <w:rFonts w:ascii="宋体" w:hAnsi="宋体" w:eastAsia="宋体" w:cs="宋体"/>
          <w:spacing w:val="-53"/>
          <w:sz w:val="28"/>
          <w:szCs w:val="28"/>
        </w:rPr>
        <w:t xml:space="preserve"> </w:t>
      </w:r>
      <w:r>
        <w:rPr>
          <w:rFonts w:ascii="宋体" w:hAnsi="宋体" w:eastAsia="宋体" w:cs="宋体"/>
          <w:spacing w:val="-4"/>
          <w:sz w:val="28"/>
          <w:szCs w:val="28"/>
        </w:rPr>
        <w:t>缓存，操作压力为</w:t>
      </w:r>
      <w:r>
        <w:rPr>
          <w:rFonts w:ascii="宋体" w:hAnsi="宋体" w:eastAsia="宋体" w:cs="宋体"/>
          <w:spacing w:val="-57"/>
          <w:sz w:val="28"/>
          <w:szCs w:val="28"/>
        </w:rPr>
        <w:t xml:space="preserve"> </w:t>
      </w:r>
      <w:r>
        <w:rPr>
          <w:rFonts w:ascii="宋体" w:hAnsi="宋体" w:eastAsia="宋体" w:cs="宋体"/>
          <w:spacing w:val="-4"/>
          <w:sz w:val="28"/>
          <w:szCs w:val="28"/>
        </w:rPr>
        <w:t>0.7-0.95MPa。贮槽中的气氨经气氨</w:t>
      </w:r>
      <w:r>
        <w:rPr>
          <w:rFonts w:ascii="宋体" w:hAnsi="宋体" w:eastAsia="宋体" w:cs="宋体"/>
          <w:sz w:val="28"/>
          <w:szCs w:val="28"/>
        </w:rPr>
        <w:t xml:space="preserve"> </w:t>
      </w:r>
      <w:r>
        <w:rPr>
          <w:rFonts w:ascii="宋体" w:hAnsi="宋体" w:eastAsia="宋体" w:cs="宋体"/>
          <w:spacing w:val="-3"/>
          <w:sz w:val="28"/>
          <w:szCs w:val="28"/>
        </w:rPr>
        <w:t>缓冲罐</w:t>
      </w:r>
      <w:r>
        <w:rPr>
          <w:rFonts w:ascii="宋体" w:hAnsi="宋体" w:eastAsia="宋体" w:cs="宋体"/>
          <w:spacing w:val="-66"/>
          <w:sz w:val="28"/>
          <w:szCs w:val="28"/>
        </w:rPr>
        <w:t xml:space="preserve"> </w:t>
      </w:r>
      <w:r>
        <w:rPr>
          <w:rFonts w:ascii="宋体" w:hAnsi="宋体" w:eastAsia="宋体" w:cs="宋体"/>
          <w:spacing w:val="-3"/>
          <w:sz w:val="28"/>
          <w:szCs w:val="28"/>
        </w:rPr>
        <w:t>V250102</w:t>
      </w:r>
      <w:r>
        <w:rPr>
          <w:rFonts w:ascii="宋体" w:hAnsi="宋体" w:eastAsia="宋体" w:cs="宋体"/>
          <w:spacing w:val="-57"/>
          <w:sz w:val="28"/>
          <w:szCs w:val="28"/>
        </w:rPr>
        <w:t xml:space="preserve"> </w:t>
      </w:r>
      <w:r>
        <w:rPr>
          <w:rFonts w:ascii="宋体" w:hAnsi="宋体" w:eastAsia="宋体" w:cs="宋体"/>
          <w:spacing w:val="-3"/>
          <w:sz w:val="28"/>
          <w:szCs w:val="28"/>
        </w:rPr>
        <w:t>缓冲后，经卸氨压缩机</w:t>
      </w:r>
      <w:r>
        <w:rPr>
          <w:rFonts w:ascii="宋体" w:hAnsi="宋体" w:eastAsia="宋体" w:cs="宋体"/>
          <w:spacing w:val="-63"/>
          <w:sz w:val="28"/>
          <w:szCs w:val="28"/>
        </w:rPr>
        <w:t xml:space="preserve"> </w:t>
      </w:r>
      <w:r>
        <w:rPr>
          <w:rFonts w:ascii="宋体" w:hAnsi="宋体" w:eastAsia="宋体" w:cs="宋体"/>
          <w:spacing w:val="-3"/>
          <w:sz w:val="28"/>
          <w:szCs w:val="28"/>
        </w:rPr>
        <w:t>K250101</w:t>
      </w:r>
      <w:r>
        <w:rPr>
          <w:rFonts w:ascii="宋体" w:hAnsi="宋体" w:eastAsia="宋体" w:cs="宋体"/>
          <w:spacing w:val="-57"/>
          <w:sz w:val="28"/>
          <w:szCs w:val="28"/>
        </w:rPr>
        <w:t xml:space="preserve"> </w:t>
      </w:r>
      <w:r>
        <w:rPr>
          <w:rFonts w:ascii="宋体" w:hAnsi="宋体" w:eastAsia="宋体" w:cs="宋体"/>
          <w:spacing w:val="-3"/>
          <w:sz w:val="28"/>
          <w:szCs w:val="28"/>
        </w:rPr>
        <w:t>增压至</w:t>
      </w:r>
      <w:r>
        <w:rPr>
          <w:rFonts w:ascii="宋体" w:hAnsi="宋体" w:eastAsia="宋体" w:cs="宋体"/>
          <w:spacing w:val="-59"/>
          <w:sz w:val="28"/>
          <w:szCs w:val="28"/>
        </w:rPr>
        <w:t xml:space="preserve"> </w:t>
      </w:r>
      <w:r>
        <w:rPr>
          <w:rFonts w:ascii="宋体" w:hAnsi="宋体" w:eastAsia="宋体" w:cs="宋体"/>
          <w:spacing w:val="-3"/>
          <w:sz w:val="28"/>
          <w:szCs w:val="28"/>
        </w:rPr>
        <w:t>0.95MPa</w:t>
      </w:r>
      <w:r>
        <w:rPr>
          <w:rFonts w:ascii="宋体" w:hAnsi="宋体" w:eastAsia="宋体" w:cs="宋体"/>
          <w:spacing w:val="-55"/>
          <w:sz w:val="28"/>
          <w:szCs w:val="28"/>
        </w:rPr>
        <w:t xml:space="preserve"> </w:t>
      </w:r>
      <w:r>
        <w:rPr>
          <w:rFonts w:ascii="宋体" w:hAnsi="宋体" w:eastAsia="宋体" w:cs="宋体"/>
          <w:spacing w:val="-3"/>
          <w:sz w:val="28"/>
          <w:szCs w:val="28"/>
        </w:rPr>
        <w:t>左右后</w:t>
      </w:r>
      <w:r>
        <w:rPr>
          <w:rFonts w:ascii="宋体" w:hAnsi="宋体" w:eastAsia="宋体" w:cs="宋体"/>
          <w:spacing w:val="-4"/>
          <w:sz w:val="28"/>
          <w:szCs w:val="28"/>
        </w:rPr>
        <w:t>，通</w:t>
      </w:r>
      <w:r>
        <w:rPr>
          <w:rFonts w:ascii="宋体" w:hAnsi="宋体" w:eastAsia="宋体" w:cs="宋体"/>
          <w:sz w:val="28"/>
          <w:szCs w:val="28"/>
        </w:rPr>
        <w:t xml:space="preserve"> </w:t>
      </w:r>
      <w:r>
        <w:rPr>
          <w:rFonts w:ascii="宋体" w:hAnsi="宋体" w:eastAsia="宋体" w:cs="宋体"/>
          <w:spacing w:val="-4"/>
          <w:sz w:val="28"/>
          <w:szCs w:val="28"/>
        </w:rPr>
        <w:t>过卸车万向鹤管送入槽车。</w:t>
      </w:r>
    </w:p>
    <w:p w14:paraId="4AD01F06">
      <w:pPr>
        <w:spacing w:before="40" w:line="346" w:lineRule="auto"/>
        <w:ind w:left="124" w:right="112" w:firstLine="559"/>
        <w:rPr>
          <w:rFonts w:ascii="宋体" w:hAnsi="宋体" w:eastAsia="宋体" w:cs="宋体"/>
          <w:sz w:val="28"/>
          <w:szCs w:val="28"/>
        </w:rPr>
      </w:pPr>
      <w:r>
        <w:rPr>
          <w:rFonts w:ascii="宋体" w:hAnsi="宋体" w:eastAsia="宋体" w:cs="宋体"/>
          <w:spacing w:val="-1"/>
          <w:sz w:val="28"/>
          <w:szCs w:val="28"/>
        </w:rPr>
        <w:t>贮存于液氨贮槽中的液氨经自压力或者液氨泵</w:t>
      </w:r>
      <w:r>
        <w:rPr>
          <w:rFonts w:ascii="宋体" w:hAnsi="宋体" w:eastAsia="宋体" w:cs="宋体"/>
          <w:spacing w:val="-60"/>
          <w:sz w:val="28"/>
          <w:szCs w:val="28"/>
        </w:rPr>
        <w:t xml:space="preserve"> </w:t>
      </w:r>
      <w:r>
        <w:rPr>
          <w:rFonts w:ascii="宋体" w:hAnsi="宋体" w:eastAsia="宋体" w:cs="宋体"/>
          <w:spacing w:val="-1"/>
          <w:sz w:val="28"/>
          <w:szCs w:val="28"/>
        </w:rPr>
        <w:t>P250101A/B</w:t>
      </w:r>
      <w:r>
        <w:rPr>
          <w:rFonts w:ascii="宋体" w:hAnsi="宋体" w:eastAsia="宋体" w:cs="宋体"/>
          <w:spacing w:val="-55"/>
          <w:sz w:val="28"/>
          <w:szCs w:val="28"/>
        </w:rPr>
        <w:t xml:space="preserve"> </w:t>
      </w:r>
      <w:r>
        <w:rPr>
          <w:rFonts w:ascii="宋体" w:hAnsi="宋体" w:eastAsia="宋体" w:cs="宋体"/>
          <w:spacing w:val="-1"/>
          <w:sz w:val="28"/>
          <w:szCs w:val="28"/>
        </w:rPr>
        <w:t>送往</w:t>
      </w:r>
      <w:r>
        <w:rPr>
          <w:rFonts w:ascii="宋体" w:hAnsi="宋体" w:eastAsia="宋体" w:cs="宋体"/>
          <w:spacing w:val="-53"/>
          <w:sz w:val="28"/>
          <w:szCs w:val="28"/>
        </w:rPr>
        <w:t xml:space="preserve"> </w:t>
      </w:r>
      <w:r>
        <w:rPr>
          <w:rFonts w:ascii="宋体" w:hAnsi="宋体" w:eastAsia="宋体" w:cs="宋体"/>
          <w:spacing w:val="-1"/>
          <w:sz w:val="28"/>
          <w:szCs w:val="28"/>
        </w:rPr>
        <w:t>2#</w:t>
      </w:r>
      <w:r>
        <w:rPr>
          <w:rFonts w:ascii="宋体" w:hAnsi="宋体" w:eastAsia="宋体" w:cs="宋体"/>
          <w:spacing w:val="-2"/>
          <w:sz w:val="28"/>
          <w:szCs w:val="28"/>
        </w:rPr>
        <w:t>厂房</w:t>
      </w:r>
      <w:r>
        <w:rPr>
          <w:rFonts w:ascii="宋体" w:hAnsi="宋体" w:eastAsia="宋体" w:cs="宋体"/>
          <w:sz w:val="28"/>
          <w:szCs w:val="28"/>
        </w:rPr>
        <w:t xml:space="preserve"> </w:t>
      </w:r>
      <w:r>
        <w:rPr>
          <w:rFonts w:ascii="宋体" w:hAnsi="宋体" w:eastAsia="宋体" w:cs="宋体"/>
          <w:spacing w:val="-2"/>
          <w:sz w:val="28"/>
          <w:szCs w:val="28"/>
        </w:rPr>
        <w:t>制备氨水。</w:t>
      </w:r>
    </w:p>
    <w:p w14:paraId="580E9FBA">
      <w:pPr>
        <w:spacing w:before="40" w:line="346" w:lineRule="auto"/>
        <w:ind w:left="123" w:right="112" w:firstLine="561"/>
        <w:rPr>
          <w:rFonts w:ascii="宋体" w:hAnsi="宋体" w:eastAsia="宋体" w:cs="宋体"/>
          <w:sz w:val="28"/>
          <w:szCs w:val="28"/>
        </w:rPr>
      </w:pPr>
      <w:r>
        <w:rPr>
          <w:rFonts w:ascii="宋体" w:hAnsi="宋体" w:eastAsia="宋体" w:cs="宋体"/>
          <w:spacing w:val="-2"/>
          <w:sz w:val="28"/>
          <w:szCs w:val="28"/>
        </w:rPr>
        <w:t>液氨倒罐流程:液氨贮罐</w:t>
      </w:r>
      <w:r>
        <w:rPr>
          <w:rFonts w:ascii="宋体" w:hAnsi="宋体" w:eastAsia="宋体" w:cs="宋体"/>
          <w:spacing w:val="-45"/>
          <w:sz w:val="28"/>
          <w:szCs w:val="28"/>
        </w:rPr>
        <w:t xml:space="preserve"> </w:t>
      </w:r>
      <w:r>
        <w:rPr>
          <w:rFonts w:ascii="宋体" w:hAnsi="宋体" w:eastAsia="宋体" w:cs="宋体"/>
          <w:spacing w:val="-2"/>
          <w:sz w:val="28"/>
          <w:szCs w:val="28"/>
        </w:rPr>
        <w:t>V250101A 的液氨经液氨泵</w:t>
      </w:r>
      <w:r>
        <w:rPr>
          <w:rFonts w:ascii="宋体" w:hAnsi="宋体" w:eastAsia="宋体" w:cs="宋体"/>
          <w:spacing w:val="-42"/>
          <w:sz w:val="28"/>
          <w:szCs w:val="28"/>
        </w:rPr>
        <w:t xml:space="preserve"> </w:t>
      </w:r>
      <w:r>
        <w:rPr>
          <w:rFonts w:ascii="宋体" w:hAnsi="宋体" w:eastAsia="宋体" w:cs="宋体"/>
          <w:spacing w:val="-2"/>
          <w:sz w:val="28"/>
          <w:szCs w:val="28"/>
        </w:rPr>
        <w:t>P250101A/B</w:t>
      </w:r>
      <w:r>
        <w:rPr>
          <w:rFonts w:ascii="宋体" w:hAnsi="宋体" w:eastAsia="宋体" w:cs="宋体"/>
          <w:spacing w:val="-38"/>
          <w:sz w:val="28"/>
          <w:szCs w:val="28"/>
        </w:rPr>
        <w:t xml:space="preserve"> </w:t>
      </w:r>
      <w:r>
        <w:rPr>
          <w:rFonts w:ascii="宋体" w:hAnsi="宋体" w:eastAsia="宋体" w:cs="宋体"/>
          <w:spacing w:val="-3"/>
          <w:sz w:val="28"/>
          <w:szCs w:val="28"/>
        </w:rPr>
        <w:t>送入液</w:t>
      </w:r>
      <w:r>
        <w:rPr>
          <w:rFonts w:ascii="宋体" w:hAnsi="宋体" w:eastAsia="宋体" w:cs="宋体"/>
          <w:sz w:val="28"/>
          <w:szCs w:val="28"/>
        </w:rPr>
        <w:t xml:space="preserve"> </w:t>
      </w:r>
      <w:r>
        <w:rPr>
          <w:rFonts w:ascii="宋体" w:hAnsi="宋体" w:eastAsia="宋体" w:cs="宋体"/>
          <w:spacing w:val="-5"/>
          <w:sz w:val="28"/>
          <w:szCs w:val="28"/>
        </w:rPr>
        <w:t>氨贮罐</w:t>
      </w:r>
      <w:r>
        <w:rPr>
          <w:rFonts w:ascii="宋体" w:hAnsi="宋体" w:eastAsia="宋体" w:cs="宋体"/>
          <w:spacing w:val="-57"/>
          <w:sz w:val="28"/>
          <w:szCs w:val="28"/>
        </w:rPr>
        <w:t xml:space="preserve"> </w:t>
      </w:r>
      <w:r>
        <w:rPr>
          <w:rFonts w:ascii="宋体" w:hAnsi="宋体" w:eastAsia="宋体" w:cs="宋体"/>
          <w:spacing w:val="-5"/>
          <w:sz w:val="28"/>
          <w:szCs w:val="28"/>
        </w:rPr>
        <w:t>V250101B</w:t>
      </w:r>
      <w:r>
        <w:rPr>
          <w:rFonts w:ascii="宋体" w:hAnsi="宋体" w:eastAsia="宋体" w:cs="宋体"/>
          <w:spacing w:val="-32"/>
          <w:sz w:val="28"/>
          <w:szCs w:val="28"/>
        </w:rPr>
        <w:t xml:space="preserve"> </w:t>
      </w:r>
      <w:r>
        <w:rPr>
          <w:rFonts w:ascii="宋体" w:hAnsi="宋体" w:eastAsia="宋体" w:cs="宋体"/>
          <w:spacing w:val="-5"/>
          <w:sz w:val="28"/>
          <w:szCs w:val="28"/>
        </w:rPr>
        <w:t>中，反之亦然。</w:t>
      </w:r>
    </w:p>
    <w:p w14:paraId="431538B7">
      <w:pPr>
        <w:spacing w:before="40" w:line="221" w:lineRule="auto"/>
        <w:ind w:left="690"/>
        <w:rPr>
          <w:rFonts w:ascii="宋体" w:hAnsi="宋体" w:eastAsia="宋体" w:cs="宋体"/>
          <w:sz w:val="28"/>
          <w:szCs w:val="28"/>
        </w:rPr>
      </w:pPr>
      <w:r>
        <w:rPr>
          <w:rFonts w:ascii="宋体" w:hAnsi="宋体" w:eastAsia="宋体" w:cs="宋体"/>
          <w:spacing w:val="-4"/>
          <w:sz w:val="28"/>
          <w:szCs w:val="28"/>
        </w:rPr>
        <w:t>（2）氨净化</w:t>
      </w:r>
    </w:p>
    <w:p w14:paraId="5B0D6586">
      <w:pPr>
        <w:tabs>
          <w:tab w:val="left" w:pos="683"/>
        </w:tabs>
        <w:spacing w:before="210" w:line="353" w:lineRule="auto"/>
        <w:ind w:left="122" w:right="100" w:firstLine="560"/>
        <w:jc w:val="right"/>
        <w:rPr>
          <w:rFonts w:ascii="宋体" w:hAnsi="宋体" w:eastAsia="宋体" w:cs="宋体"/>
          <w:sz w:val="28"/>
          <w:szCs w:val="28"/>
        </w:rPr>
      </w:pPr>
      <w:r>
        <w:rPr>
          <w:rFonts w:ascii="宋体" w:hAnsi="宋体" w:eastAsia="宋体" w:cs="宋体"/>
          <w:spacing w:val="-2"/>
          <w:sz w:val="28"/>
          <w:szCs w:val="28"/>
        </w:rPr>
        <w:t>氨净化系统工序主要去除原料氨中的少量水分、固体颗粒、金属离子。</w:t>
      </w:r>
      <w:r>
        <w:rPr>
          <w:rFonts w:ascii="宋体" w:hAnsi="宋体" w:eastAsia="宋体" w:cs="宋体"/>
          <w:spacing w:val="9"/>
          <w:sz w:val="28"/>
          <w:szCs w:val="28"/>
        </w:rPr>
        <w:t xml:space="preserve"> </w:t>
      </w:r>
      <w:r>
        <w:rPr>
          <w:rFonts w:ascii="宋体" w:hAnsi="宋体" w:eastAsia="宋体" w:cs="宋体"/>
          <w:sz w:val="28"/>
          <w:szCs w:val="28"/>
        </w:rPr>
        <w:tab/>
      </w:r>
      <w:r>
        <w:rPr>
          <w:rFonts w:ascii="宋体" w:hAnsi="宋体" w:eastAsia="宋体" w:cs="宋体"/>
          <w:spacing w:val="-2"/>
          <w:sz w:val="28"/>
          <w:szCs w:val="28"/>
        </w:rPr>
        <w:t>来自液氨罐区的液氨进入液氨汽化器 E120101A 中通过加热汽化（温度</w:t>
      </w:r>
      <w:r>
        <w:rPr>
          <w:rFonts w:ascii="宋体" w:hAnsi="宋体" w:eastAsia="宋体" w:cs="宋体"/>
          <w:spacing w:val="6"/>
          <w:sz w:val="28"/>
          <w:szCs w:val="28"/>
        </w:rPr>
        <w:t xml:space="preserve"> </w:t>
      </w:r>
      <w:r>
        <w:rPr>
          <w:rFonts w:ascii="宋体" w:hAnsi="宋体" w:eastAsia="宋体" w:cs="宋体"/>
          <w:spacing w:val="-5"/>
          <w:sz w:val="28"/>
          <w:szCs w:val="28"/>
        </w:rPr>
        <w:t>45℃, 压力</w:t>
      </w:r>
      <w:r>
        <w:rPr>
          <w:rFonts w:ascii="宋体" w:hAnsi="宋体" w:eastAsia="宋体" w:cs="宋体"/>
          <w:spacing w:val="-57"/>
          <w:sz w:val="28"/>
          <w:szCs w:val="28"/>
        </w:rPr>
        <w:t xml:space="preserve"> </w:t>
      </w:r>
      <w:r>
        <w:rPr>
          <w:rFonts w:ascii="宋体" w:hAnsi="宋体" w:eastAsia="宋体" w:cs="宋体"/>
          <w:spacing w:val="-5"/>
          <w:sz w:val="28"/>
          <w:szCs w:val="28"/>
        </w:rPr>
        <w:t>0.3MPaG</w:t>
      </w:r>
      <w:r>
        <w:rPr>
          <w:rFonts w:ascii="宋体" w:hAnsi="宋体" w:eastAsia="宋体" w:cs="宋体"/>
          <w:spacing w:val="-46"/>
          <w:sz w:val="28"/>
          <w:szCs w:val="28"/>
        </w:rPr>
        <w:t>），</w:t>
      </w:r>
      <w:r>
        <w:rPr>
          <w:rFonts w:ascii="宋体" w:hAnsi="宋体" w:eastAsia="宋体" w:cs="宋体"/>
          <w:spacing w:val="-5"/>
          <w:sz w:val="28"/>
          <w:szCs w:val="28"/>
        </w:rPr>
        <w:t>气氨经过滤</w:t>
      </w:r>
      <w:r>
        <w:rPr>
          <w:rFonts w:ascii="宋体" w:hAnsi="宋体" w:eastAsia="宋体" w:cs="宋体"/>
          <w:spacing w:val="-6"/>
          <w:sz w:val="28"/>
          <w:szCs w:val="28"/>
        </w:rPr>
        <w:t>器</w:t>
      </w:r>
      <w:r>
        <w:rPr>
          <w:rFonts w:ascii="宋体" w:hAnsi="宋体" w:eastAsia="宋体" w:cs="宋体"/>
          <w:spacing w:val="-59"/>
          <w:sz w:val="28"/>
          <w:szCs w:val="28"/>
        </w:rPr>
        <w:t xml:space="preserve"> </w:t>
      </w:r>
      <w:r>
        <w:rPr>
          <w:rFonts w:ascii="宋体" w:hAnsi="宋体" w:eastAsia="宋体" w:cs="宋体"/>
          <w:spacing w:val="-6"/>
          <w:sz w:val="28"/>
          <w:szCs w:val="28"/>
        </w:rPr>
        <w:t>S120101</w:t>
      </w:r>
      <w:r>
        <w:rPr>
          <w:rFonts w:ascii="宋体" w:hAnsi="宋体" w:eastAsia="宋体" w:cs="宋体"/>
          <w:spacing w:val="-55"/>
          <w:sz w:val="28"/>
          <w:szCs w:val="28"/>
        </w:rPr>
        <w:t xml:space="preserve"> </w:t>
      </w:r>
      <w:r>
        <w:rPr>
          <w:rFonts w:ascii="宋体" w:hAnsi="宋体" w:eastAsia="宋体" w:cs="宋体"/>
          <w:spacing w:val="-6"/>
          <w:sz w:val="28"/>
          <w:szCs w:val="28"/>
        </w:rPr>
        <w:t>后，依次进入气氨净化塔（温</w:t>
      </w:r>
      <w:r>
        <w:rPr>
          <w:rFonts w:ascii="宋体" w:hAnsi="宋体" w:eastAsia="宋体" w:cs="宋体"/>
          <w:sz w:val="28"/>
          <w:szCs w:val="28"/>
        </w:rPr>
        <w:t xml:space="preserve"> </w:t>
      </w:r>
      <w:r>
        <w:rPr>
          <w:rFonts w:ascii="宋体" w:hAnsi="宋体" w:eastAsia="宋体" w:cs="宋体"/>
          <w:spacing w:val="-3"/>
          <w:sz w:val="28"/>
          <w:szCs w:val="28"/>
        </w:rPr>
        <w:t>度</w:t>
      </w:r>
      <w:r>
        <w:rPr>
          <w:rFonts w:ascii="宋体" w:hAnsi="宋体" w:eastAsia="宋体" w:cs="宋体"/>
          <w:spacing w:val="-53"/>
          <w:sz w:val="28"/>
          <w:szCs w:val="28"/>
        </w:rPr>
        <w:t xml:space="preserve"> </w:t>
      </w:r>
      <w:r>
        <w:rPr>
          <w:rFonts w:ascii="宋体" w:hAnsi="宋体" w:eastAsia="宋体" w:cs="宋体"/>
          <w:spacing w:val="-3"/>
          <w:sz w:val="28"/>
          <w:szCs w:val="28"/>
        </w:rPr>
        <w:t>50℃,</w:t>
      </w:r>
      <w:r>
        <w:rPr>
          <w:rFonts w:ascii="宋体" w:hAnsi="宋体" w:eastAsia="宋体" w:cs="宋体"/>
          <w:spacing w:val="60"/>
          <w:sz w:val="28"/>
          <w:szCs w:val="28"/>
        </w:rPr>
        <w:t xml:space="preserve"> </w:t>
      </w:r>
      <w:r>
        <w:rPr>
          <w:rFonts w:ascii="宋体" w:hAnsi="宋体" w:eastAsia="宋体" w:cs="宋体"/>
          <w:spacing w:val="-3"/>
          <w:sz w:val="28"/>
          <w:szCs w:val="28"/>
        </w:rPr>
        <w:t>压力</w:t>
      </w:r>
      <w:r>
        <w:rPr>
          <w:rFonts w:ascii="宋体" w:hAnsi="宋体" w:eastAsia="宋体" w:cs="宋体"/>
          <w:spacing w:val="-59"/>
          <w:sz w:val="28"/>
          <w:szCs w:val="28"/>
        </w:rPr>
        <w:t xml:space="preserve"> </w:t>
      </w:r>
      <w:r>
        <w:rPr>
          <w:rFonts w:ascii="宋体" w:hAnsi="宋体" w:eastAsia="宋体" w:cs="宋体"/>
          <w:spacing w:val="-3"/>
          <w:sz w:val="28"/>
          <w:szCs w:val="28"/>
        </w:rPr>
        <w:t>0.15MPaG</w:t>
      </w:r>
      <w:r>
        <w:rPr>
          <w:rFonts w:ascii="宋体" w:hAnsi="宋体" w:eastAsia="宋体" w:cs="宋体"/>
          <w:spacing w:val="-15"/>
          <w:sz w:val="28"/>
          <w:szCs w:val="28"/>
        </w:rPr>
        <w:t>），</w:t>
      </w:r>
      <w:r>
        <w:rPr>
          <w:rFonts w:ascii="宋体" w:hAnsi="宋体" w:eastAsia="宋体" w:cs="宋体"/>
          <w:spacing w:val="-3"/>
          <w:sz w:val="28"/>
          <w:szCs w:val="28"/>
        </w:rPr>
        <w:t>用循环氨水洗涤气氨,以</w:t>
      </w:r>
      <w:r>
        <w:rPr>
          <w:rFonts w:ascii="宋体" w:hAnsi="宋体" w:eastAsia="宋体" w:cs="宋体"/>
          <w:spacing w:val="-4"/>
          <w:sz w:val="28"/>
          <w:szCs w:val="28"/>
        </w:rPr>
        <w:t>除去杂质。洗涤后的氨</w:t>
      </w:r>
      <w:r>
        <w:rPr>
          <w:rFonts w:ascii="宋体" w:hAnsi="宋体" w:eastAsia="宋体" w:cs="宋体"/>
          <w:sz w:val="28"/>
          <w:szCs w:val="28"/>
        </w:rPr>
        <w:t xml:space="preserve"> </w:t>
      </w:r>
      <w:r>
        <w:rPr>
          <w:rFonts w:ascii="宋体" w:hAnsi="宋体" w:eastAsia="宋体" w:cs="宋体"/>
          <w:spacing w:val="-2"/>
          <w:sz w:val="28"/>
          <w:szCs w:val="28"/>
        </w:rPr>
        <w:t>水排入原料罐区废氨水贮罐 V260103 中储存，通过鹤管装车外售,然后向净</w:t>
      </w:r>
    </w:p>
    <w:p w14:paraId="3FB468D9">
      <w:pPr>
        <w:spacing w:line="353" w:lineRule="auto"/>
        <w:rPr>
          <w:rFonts w:ascii="宋体" w:hAnsi="宋体" w:eastAsia="宋体" w:cs="宋体"/>
          <w:sz w:val="28"/>
          <w:szCs w:val="28"/>
        </w:rPr>
        <w:sectPr>
          <w:headerReference r:id="rId7" w:type="default"/>
          <w:footerReference r:id="rId8" w:type="default"/>
          <w:pgSz w:w="11907" w:h="16839"/>
          <w:pgMar w:top="1120" w:right="1018" w:bottom="946" w:left="1476" w:header="809" w:footer="685" w:gutter="0"/>
          <w:cols w:space="720" w:num="1"/>
        </w:sectPr>
      </w:pPr>
    </w:p>
    <w:p w14:paraId="70301CE6">
      <w:pPr>
        <w:pStyle w:val="6"/>
        <w:spacing w:line="242" w:lineRule="auto"/>
      </w:pPr>
    </w:p>
    <w:p w14:paraId="1CFEC7E8">
      <w:pPr>
        <w:spacing w:before="91" w:line="220" w:lineRule="auto"/>
        <w:ind w:left="124"/>
        <w:rPr>
          <w:rFonts w:ascii="宋体" w:hAnsi="宋体" w:eastAsia="宋体" w:cs="宋体"/>
          <w:sz w:val="28"/>
          <w:szCs w:val="28"/>
        </w:rPr>
      </w:pPr>
      <w:r>
        <w:rPr>
          <w:rFonts w:ascii="宋体" w:hAnsi="宋体" w:eastAsia="宋体" w:cs="宋体"/>
          <w:spacing w:val="-2"/>
          <w:sz w:val="28"/>
          <w:szCs w:val="28"/>
        </w:rPr>
        <w:t>化塔内补充超纯水。</w:t>
      </w:r>
    </w:p>
    <w:p w14:paraId="441BDDB7">
      <w:pPr>
        <w:spacing w:before="211" w:line="220" w:lineRule="auto"/>
        <w:ind w:left="691"/>
        <w:rPr>
          <w:rFonts w:ascii="宋体" w:hAnsi="宋体" w:eastAsia="宋体" w:cs="宋体"/>
          <w:sz w:val="28"/>
          <w:szCs w:val="28"/>
        </w:rPr>
      </w:pPr>
      <w:r>
        <w:rPr>
          <w:rFonts w:ascii="宋体" w:hAnsi="宋体" w:eastAsia="宋体" w:cs="宋体"/>
          <w:spacing w:val="-3"/>
          <w:sz w:val="28"/>
          <w:szCs w:val="28"/>
        </w:rPr>
        <w:t>（3）纯水吸收</w:t>
      </w:r>
    </w:p>
    <w:p w14:paraId="2E4BCC6B">
      <w:pPr>
        <w:spacing w:before="212" w:line="344" w:lineRule="auto"/>
        <w:ind w:left="128" w:right="113" w:firstLine="557"/>
        <w:rPr>
          <w:rFonts w:ascii="宋体" w:hAnsi="宋体" w:eastAsia="宋体" w:cs="宋体"/>
          <w:sz w:val="28"/>
          <w:szCs w:val="28"/>
        </w:rPr>
      </w:pPr>
      <w:r>
        <w:rPr>
          <w:rFonts w:ascii="宋体" w:hAnsi="宋体" w:eastAsia="宋体" w:cs="宋体"/>
          <w:sz w:val="28"/>
          <w:szCs w:val="28"/>
        </w:rPr>
        <w:t>经过洗涤净化后的洁净气氨由管道通入吸收塔T12010</w:t>
      </w:r>
      <w:r>
        <w:rPr>
          <w:rFonts w:ascii="宋体" w:hAnsi="宋体" w:eastAsia="宋体" w:cs="宋体"/>
          <w:spacing w:val="-1"/>
          <w:sz w:val="28"/>
          <w:szCs w:val="28"/>
        </w:rPr>
        <w:t>3</w:t>
      </w:r>
      <w:r>
        <w:rPr>
          <w:rFonts w:ascii="宋体" w:hAnsi="宋体" w:eastAsia="宋体" w:cs="宋体"/>
          <w:spacing w:val="-60"/>
          <w:sz w:val="28"/>
          <w:szCs w:val="28"/>
        </w:rPr>
        <w:t xml:space="preserve"> </w:t>
      </w:r>
      <w:r>
        <w:rPr>
          <w:rFonts w:ascii="宋体" w:hAnsi="宋体" w:eastAsia="宋体" w:cs="宋体"/>
          <w:spacing w:val="-1"/>
          <w:sz w:val="28"/>
          <w:szCs w:val="28"/>
        </w:rPr>
        <w:t>中采用超纯水进</w:t>
      </w:r>
      <w:r>
        <w:rPr>
          <w:rFonts w:ascii="宋体" w:hAnsi="宋体" w:eastAsia="宋体" w:cs="宋体"/>
          <w:sz w:val="28"/>
          <w:szCs w:val="28"/>
        </w:rPr>
        <w:t xml:space="preserve"> </w:t>
      </w:r>
      <w:r>
        <w:rPr>
          <w:rFonts w:ascii="宋体" w:hAnsi="宋体" w:eastAsia="宋体" w:cs="宋体"/>
          <w:spacing w:val="1"/>
          <w:sz w:val="28"/>
          <w:szCs w:val="28"/>
        </w:rPr>
        <w:t>行吸收（温度</w:t>
      </w:r>
      <w:r>
        <w:rPr>
          <w:rFonts w:ascii="宋体" w:hAnsi="宋体" w:eastAsia="宋体" w:cs="宋体"/>
          <w:spacing w:val="-59"/>
          <w:sz w:val="28"/>
          <w:szCs w:val="28"/>
        </w:rPr>
        <w:t xml:space="preserve"> </w:t>
      </w:r>
      <w:r>
        <w:rPr>
          <w:rFonts w:ascii="宋体" w:hAnsi="宋体" w:eastAsia="宋体" w:cs="宋体"/>
          <w:spacing w:val="1"/>
          <w:sz w:val="28"/>
          <w:szCs w:val="28"/>
        </w:rPr>
        <w:t>45℃,压力</w:t>
      </w:r>
      <w:r>
        <w:rPr>
          <w:rFonts w:ascii="宋体" w:hAnsi="宋体" w:eastAsia="宋体" w:cs="宋体"/>
          <w:spacing w:val="-33"/>
          <w:sz w:val="28"/>
          <w:szCs w:val="28"/>
        </w:rPr>
        <w:t xml:space="preserve"> </w:t>
      </w:r>
      <w:r>
        <w:rPr>
          <w:rFonts w:ascii="宋体" w:hAnsi="宋体" w:eastAsia="宋体" w:cs="宋体"/>
          <w:spacing w:val="1"/>
          <w:sz w:val="28"/>
          <w:szCs w:val="28"/>
        </w:rPr>
        <w:t>0.15</w:t>
      </w:r>
      <w:r>
        <w:rPr>
          <w:rFonts w:ascii="宋体" w:hAnsi="宋体" w:eastAsia="宋体" w:cs="宋体"/>
          <w:sz w:val="28"/>
          <w:szCs w:val="28"/>
        </w:rPr>
        <w:t>MPaG</w:t>
      </w:r>
      <w:r>
        <w:rPr>
          <w:rFonts w:ascii="宋体" w:hAnsi="宋体" w:eastAsia="宋体" w:cs="宋体"/>
          <w:spacing w:val="11"/>
          <w:sz w:val="28"/>
          <w:szCs w:val="28"/>
        </w:rPr>
        <w:t>），</w:t>
      </w:r>
      <w:r>
        <w:rPr>
          <w:rFonts w:ascii="宋体" w:hAnsi="宋体" w:eastAsia="宋体" w:cs="宋体"/>
          <w:spacing w:val="1"/>
          <w:sz w:val="28"/>
          <w:szCs w:val="28"/>
        </w:rPr>
        <w:t>以制得合格的氨水产品。</w:t>
      </w:r>
    </w:p>
    <w:p w14:paraId="41378C3D">
      <w:pPr>
        <w:spacing w:before="46" w:line="350" w:lineRule="auto"/>
        <w:ind w:left="125" w:right="15" w:firstLine="558"/>
        <w:rPr>
          <w:rFonts w:ascii="宋体" w:hAnsi="宋体" w:eastAsia="宋体" w:cs="宋体"/>
          <w:sz w:val="28"/>
          <w:szCs w:val="28"/>
        </w:rPr>
      </w:pPr>
      <w:r>
        <w:rPr>
          <w:rFonts w:ascii="宋体" w:hAnsi="宋体" w:eastAsia="宋体" w:cs="宋体"/>
          <w:spacing w:val="-2"/>
          <w:sz w:val="28"/>
          <w:szCs w:val="28"/>
        </w:rPr>
        <w:t>本项目生产的超纯氨水产品浓度，根据客户要求通过加</w:t>
      </w:r>
      <w:r>
        <w:rPr>
          <w:rFonts w:ascii="宋体" w:hAnsi="宋体" w:eastAsia="宋体" w:cs="宋体"/>
          <w:spacing w:val="-3"/>
          <w:sz w:val="28"/>
          <w:szCs w:val="28"/>
        </w:rPr>
        <w:t>入超纯水的量来</w:t>
      </w:r>
      <w:r>
        <w:rPr>
          <w:rFonts w:ascii="宋体" w:hAnsi="宋体" w:eastAsia="宋体" w:cs="宋体"/>
          <w:sz w:val="28"/>
          <w:szCs w:val="28"/>
        </w:rPr>
        <w:t xml:space="preserve"> </w:t>
      </w:r>
      <w:r>
        <w:rPr>
          <w:rFonts w:ascii="宋体" w:hAnsi="宋体" w:eastAsia="宋体" w:cs="宋体"/>
          <w:spacing w:val="-1"/>
          <w:sz w:val="28"/>
          <w:szCs w:val="28"/>
        </w:rPr>
        <w:t>调整氨水浓度。合格品由泵送入氨水精制罐</w:t>
      </w:r>
      <w:r>
        <w:rPr>
          <w:rFonts w:ascii="宋体" w:hAnsi="宋体" w:eastAsia="宋体" w:cs="宋体"/>
          <w:spacing w:val="-25"/>
          <w:sz w:val="28"/>
          <w:szCs w:val="28"/>
        </w:rPr>
        <w:t xml:space="preserve"> </w:t>
      </w:r>
      <w:r>
        <w:rPr>
          <w:rFonts w:ascii="宋体" w:hAnsi="宋体" w:eastAsia="宋体" w:cs="宋体"/>
          <w:spacing w:val="-1"/>
          <w:sz w:val="28"/>
          <w:szCs w:val="28"/>
        </w:rPr>
        <w:t>V120102A/B/C 中储存</w:t>
      </w:r>
      <w:r>
        <w:rPr>
          <w:rFonts w:ascii="宋体" w:hAnsi="宋体" w:eastAsia="宋体" w:cs="宋体"/>
          <w:spacing w:val="-2"/>
          <w:sz w:val="28"/>
          <w:szCs w:val="28"/>
        </w:rPr>
        <w:t>，并进入</w:t>
      </w:r>
      <w:r>
        <w:rPr>
          <w:rFonts w:ascii="宋体" w:hAnsi="宋体" w:eastAsia="宋体" w:cs="宋体"/>
          <w:sz w:val="28"/>
          <w:szCs w:val="28"/>
        </w:rPr>
        <w:t xml:space="preserve"> </w:t>
      </w:r>
      <w:r>
        <w:rPr>
          <w:rFonts w:ascii="宋体" w:hAnsi="宋体" w:eastAsia="宋体" w:cs="宋体"/>
          <w:spacing w:val="-8"/>
          <w:sz w:val="28"/>
          <w:szCs w:val="28"/>
        </w:rPr>
        <w:t>后续工序进行灌装，不合格品排入废氨水贮罐</w:t>
      </w:r>
      <w:r>
        <w:rPr>
          <w:rFonts w:ascii="宋体" w:hAnsi="宋体" w:eastAsia="宋体" w:cs="宋体"/>
          <w:spacing w:val="-61"/>
          <w:sz w:val="28"/>
          <w:szCs w:val="28"/>
        </w:rPr>
        <w:t xml:space="preserve"> </w:t>
      </w:r>
      <w:r>
        <w:rPr>
          <w:rFonts w:ascii="宋体" w:hAnsi="宋体" w:eastAsia="宋体" w:cs="宋体"/>
          <w:spacing w:val="-8"/>
          <w:sz w:val="28"/>
          <w:szCs w:val="28"/>
        </w:rPr>
        <w:t>V260103</w:t>
      </w:r>
      <w:r>
        <w:rPr>
          <w:rFonts w:ascii="宋体" w:hAnsi="宋体" w:eastAsia="宋体" w:cs="宋体"/>
          <w:spacing w:val="-34"/>
          <w:sz w:val="28"/>
          <w:szCs w:val="28"/>
        </w:rPr>
        <w:t xml:space="preserve"> </w:t>
      </w:r>
      <w:r>
        <w:rPr>
          <w:rFonts w:ascii="宋体" w:hAnsi="宋体" w:eastAsia="宋体" w:cs="宋体"/>
          <w:spacing w:val="-8"/>
          <w:sz w:val="28"/>
          <w:szCs w:val="28"/>
        </w:rPr>
        <w:t>中，作为副产品出售。</w:t>
      </w:r>
    </w:p>
    <w:p w14:paraId="68784248">
      <w:pPr>
        <w:spacing w:before="40" w:line="220" w:lineRule="auto"/>
        <w:ind w:left="691"/>
        <w:rPr>
          <w:rFonts w:ascii="宋体" w:hAnsi="宋体" w:eastAsia="宋体" w:cs="宋体"/>
          <w:sz w:val="28"/>
          <w:szCs w:val="28"/>
        </w:rPr>
      </w:pPr>
      <w:r>
        <w:rPr>
          <w:rFonts w:ascii="宋体" w:hAnsi="宋体" w:eastAsia="宋体" w:cs="宋体"/>
          <w:spacing w:val="-4"/>
          <w:sz w:val="28"/>
          <w:szCs w:val="28"/>
        </w:rPr>
        <w:t>（4）灌装</w:t>
      </w:r>
    </w:p>
    <w:p w14:paraId="5CFF837C">
      <w:pPr>
        <w:spacing w:before="210" w:line="219" w:lineRule="auto"/>
        <w:ind w:left="684"/>
        <w:rPr>
          <w:rFonts w:ascii="宋体" w:hAnsi="宋体" w:eastAsia="宋体" w:cs="宋体"/>
          <w:sz w:val="28"/>
          <w:szCs w:val="28"/>
        </w:rPr>
      </w:pPr>
      <w:r>
        <w:rPr>
          <w:rFonts w:ascii="宋体" w:hAnsi="宋体" w:eastAsia="宋体" w:cs="宋体"/>
          <w:spacing w:val="-1"/>
          <w:sz w:val="28"/>
          <w:szCs w:val="28"/>
        </w:rPr>
        <w:t>本项目灌装过程分为灌装入桶和灌装入槽车两种形式。</w:t>
      </w:r>
    </w:p>
    <w:p w14:paraId="0CA7A054">
      <w:pPr>
        <w:spacing w:before="212" w:line="218" w:lineRule="auto"/>
        <w:ind w:left="682"/>
        <w:rPr>
          <w:rFonts w:ascii="宋体" w:hAnsi="宋体" w:eastAsia="宋体" w:cs="宋体"/>
          <w:sz w:val="28"/>
          <w:szCs w:val="28"/>
        </w:rPr>
      </w:pPr>
      <w:r>
        <w:rPr>
          <w:rFonts w:ascii="宋体" w:hAnsi="宋体" w:eastAsia="宋体" w:cs="宋体"/>
          <w:spacing w:val="-2"/>
          <w:sz w:val="28"/>
          <w:szCs w:val="28"/>
        </w:rPr>
        <w:t>①灌装入桶</w:t>
      </w:r>
    </w:p>
    <w:p w14:paraId="79200EF5">
      <w:pPr>
        <w:spacing w:before="213" w:line="346" w:lineRule="auto"/>
        <w:ind w:left="128" w:right="112" w:firstLine="558"/>
        <w:rPr>
          <w:rFonts w:ascii="宋体" w:hAnsi="宋体" w:eastAsia="宋体" w:cs="宋体"/>
          <w:sz w:val="28"/>
          <w:szCs w:val="28"/>
        </w:rPr>
      </w:pPr>
      <w:r>
        <w:rPr>
          <w:rFonts w:ascii="宋体" w:hAnsi="宋体" w:eastAsia="宋体" w:cs="宋体"/>
          <w:spacing w:val="-3"/>
          <w:sz w:val="28"/>
          <w:szCs w:val="28"/>
        </w:rPr>
        <w:t>灌装入桶是在灌装车间内进行。2#车间配置氨水自动灌装</w:t>
      </w:r>
      <w:r>
        <w:rPr>
          <w:rFonts w:ascii="宋体" w:hAnsi="宋体" w:eastAsia="宋体" w:cs="宋体"/>
          <w:spacing w:val="-55"/>
          <w:sz w:val="28"/>
          <w:szCs w:val="28"/>
        </w:rPr>
        <w:t xml:space="preserve"> </w:t>
      </w:r>
      <w:r>
        <w:rPr>
          <w:rFonts w:ascii="宋体" w:hAnsi="宋体" w:eastAsia="宋体" w:cs="宋体"/>
          <w:spacing w:val="-3"/>
          <w:sz w:val="28"/>
          <w:szCs w:val="28"/>
        </w:rPr>
        <w:t>200</w:t>
      </w:r>
      <w:r>
        <w:rPr>
          <w:rFonts w:ascii="宋体" w:hAnsi="宋体" w:eastAsia="宋体" w:cs="宋体"/>
          <w:spacing w:val="-55"/>
          <w:sz w:val="28"/>
          <w:szCs w:val="28"/>
        </w:rPr>
        <w:t xml:space="preserve"> </w:t>
      </w:r>
      <w:r>
        <w:rPr>
          <w:rFonts w:ascii="宋体" w:hAnsi="宋体" w:eastAsia="宋体" w:cs="宋体"/>
          <w:spacing w:val="-3"/>
          <w:sz w:val="28"/>
          <w:szCs w:val="28"/>
        </w:rPr>
        <w:t>升桶系统</w:t>
      </w:r>
      <w:r>
        <w:rPr>
          <w:rFonts w:ascii="宋体" w:hAnsi="宋体" w:eastAsia="宋体" w:cs="宋体"/>
          <w:sz w:val="28"/>
          <w:szCs w:val="28"/>
        </w:rPr>
        <w:t xml:space="preserve"> </w:t>
      </w:r>
      <w:r>
        <w:rPr>
          <w:rFonts w:ascii="宋体" w:hAnsi="宋体" w:eastAsia="宋体" w:cs="宋体"/>
          <w:spacing w:val="-3"/>
          <w:sz w:val="28"/>
          <w:szCs w:val="28"/>
        </w:rPr>
        <w:t>一套，灌装区洁净室等级为千级，面积约</w:t>
      </w:r>
      <w:r>
        <w:rPr>
          <w:rFonts w:ascii="宋体" w:hAnsi="宋体" w:eastAsia="宋体" w:cs="宋体"/>
          <w:spacing w:val="-46"/>
          <w:sz w:val="28"/>
          <w:szCs w:val="28"/>
        </w:rPr>
        <w:t xml:space="preserve"> </w:t>
      </w:r>
      <w:r>
        <w:rPr>
          <w:rFonts w:ascii="宋体" w:hAnsi="宋体" w:eastAsia="宋体" w:cs="宋体"/>
          <w:spacing w:val="-3"/>
          <w:sz w:val="28"/>
          <w:szCs w:val="28"/>
        </w:rPr>
        <w:t>280</w:t>
      </w:r>
      <w:r>
        <w:rPr>
          <w:rFonts w:ascii="宋体" w:hAnsi="宋体" w:eastAsia="宋体" w:cs="宋体"/>
          <w:spacing w:val="-61"/>
          <w:sz w:val="28"/>
          <w:szCs w:val="28"/>
        </w:rPr>
        <w:t xml:space="preserve"> </w:t>
      </w:r>
      <w:r>
        <w:rPr>
          <w:rFonts w:ascii="宋体" w:hAnsi="宋体" w:eastAsia="宋体" w:cs="宋体"/>
          <w:spacing w:val="-3"/>
          <w:sz w:val="28"/>
          <w:szCs w:val="28"/>
        </w:rPr>
        <w:t>平方。</w:t>
      </w:r>
    </w:p>
    <w:p w14:paraId="2371C947">
      <w:pPr>
        <w:spacing w:before="41" w:line="218" w:lineRule="auto"/>
        <w:ind w:left="681"/>
        <w:rPr>
          <w:rFonts w:ascii="宋体" w:hAnsi="宋体" w:eastAsia="宋体" w:cs="宋体"/>
          <w:sz w:val="28"/>
          <w:szCs w:val="28"/>
        </w:rPr>
      </w:pPr>
      <w:r>
        <w:rPr>
          <w:rFonts w:ascii="宋体" w:hAnsi="宋体" w:eastAsia="宋体" w:cs="宋体"/>
          <w:spacing w:val="-1"/>
          <w:sz w:val="28"/>
          <w:szCs w:val="28"/>
        </w:rPr>
        <w:t>②灌装入槽车</w:t>
      </w:r>
    </w:p>
    <w:p w14:paraId="4771F98A">
      <w:pPr>
        <w:spacing w:before="216" w:line="350" w:lineRule="auto"/>
        <w:ind w:left="123" w:right="111" w:firstLine="558"/>
        <w:rPr>
          <w:rFonts w:ascii="宋体" w:hAnsi="宋体" w:eastAsia="宋体" w:cs="宋体"/>
          <w:sz w:val="28"/>
          <w:szCs w:val="28"/>
        </w:rPr>
      </w:pPr>
      <w:r>
        <w:rPr>
          <w:rFonts w:ascii="宋体" w:hAnsi="宋体" w:eastAsia="宋体" w:cs="宋体"/>
          <w:spacing w:val="-2"/>
          <w:sz w:val="28"/>
          <w:szCs w:val="28"/>
        </w:rPr>
        <w:t>槽车到达本厂区后停靠在罐区附近的洁净灌装区域，通过自动灌装</w:t>
      </w:r>
      <w:r>
        <w:rPr>
          <w:rFonts w:ascii="宋体" w:hAnsi="宋体" w:eastAsia="宋体" w:cs="宋体"/>
          <w:spacing w:val="-3"/>
          <w:sz w:val="28"/>
          <w:szCs w:val="28"/>
        </w:rPr>
        <w:t>机将</w:t>
      </w:r>
      <w:r>
        <w:rPr>
          <w:rFonts w:ascii="宋体" w:hAnsi="宋体" w:eastAsia="宋体" w:cs="宋体"/>
          <w:sz w:val="28"/>
          <w:szCs w:val="28"/>
        </w:rPr>
        <w:t xml:space="preserve"> </w:t>
      </w:r>
      <w:r>
        <w:rPr>
          <w:rFonts w:ascii="宋体" w:hAnsi="宋体" w:eastAsia="宋体" w:cs="宋体"/>
          <w:spacing w:val="-3"/>
          <w:sz w:val="28"/>
          <w:szCs w:val="28"/>
        </w:rPr>
        <w:t>通过液相和气相平衡管线将槽车的</w:t>
      </w:r>
      <w:r>
        <w:rPr>
          <w:rFonts w:ascii="宋体" w:hAnsi="宋体" w:eastAsia="宋体" w:cs="宋体"/>
          <w:spacing w:val="-45"/>
          <w:sz w:val="28"/>
          <w:szCs w:val="28"/>
        </w:rPr>
        <w:t xml:space="preserve"> </w:t>
      </w:r>
      <w:r>
        <w:rPr>
          <w:rFonts w:ascii="宋体" w:hAnsi="宋体" w:eastAsia="宋体" w:cs="宋体"/>
          <w:spacing w:val="-3"/>
          <w:sz w:val="28"/>
          <w:szCs w:val="28"/>
        </w:rPr>
        <w:t>ISO</w:t>
      </w:r>
      <w:r>
        <w:rPr>
          <w:rFonts w:ascii="宋体" w:hAnsi="宋体" w:eastAsia="宋体" w:cs="宋体"/>
          <w:spacing w:val="-57"/>
          <w:sz w:val="28"/>
          <w:szCs w:val="28"/>
        </w:rPr>
        <w:t xml:space="preserve"> </w:t>
      </w:r>
      <w:r>
        <w:rPr>
          <w:rFonts w:ascii="宋体" w:hAnsi="宋体" w:eastAsia="宋体" w:cs="宋体"/>
          <w:spacing w:val="-3"/>
          <w:sz w:val="28"/>
          <w:szCs w:val="28"/>
        </w:rPr>
        <w:t>标准槽罐与自动灌装机相连接，使灌</w:t>
      </w:r>
      <w:r>
        <w:rPr>
          <w:rFonts w:ascii="宋体" w:hAnsi="宋体" w:eastAsia="宋体" w:cs="宋体"/>
          <w:sz w:val="28"/>
          <w:szCs w:val="28"/>
        </w:rPr>
        <w:t xml:space="preserve"> </w:t>
      </w:r>
      <w:r>
        <w:rPr>
          <w:rFonts w:ascii="宋体" w:hAnsi="宋体" w:eastAsia="宋体" w:cs="宋体"/>
          <w:spacing w:val="-1"/>
          <w:sz w:val="28"/>
          <w:szCs w:val="28"/>
        </w:rPr>
        <w:t>装过程形成闭路循环，减少灌装过程的无组织排放。</w:t>
      </w:r>
    </w:p>
    <w:p w14:paraId="08950D26">
      <w:pPr>
        <w:spacing w:before="40" w:line="221" w:lineRule="auto"/>
        <w:ind w:left="686"/>
        <w:rPr>
          <w:rFonts w:ascii="宋体" w:hAnsi="宋体" w:eastAsia="宋体" w:cs="宋体"/>
          <w:sz w:val="28"/>
          <w:szCs w:val="28"/>
        </w:rPr>
      </w:pPr>
      <w:r>
        <w:rPr>
          <w:rFonts w:ascii="宋体" w:hAnsi="宋体" w:eastAsia="宋体" w:cs="宋体"/>
          <w:spacing w:val="-5"/>
          <w:sz w:val="28"/>
          <w:szCs w:val="28"/>
        </w:rPr>
        <w:t>工艺流程示意图如下：</w:t>
      </w:r>
    </w:p>
    <w:p w14:paraId="0C59123E">
      <w:pPr>
        <w:spacing w:before="169" w:line="1567" w:lineRule="exact"/>
        <w:ind w:firstLine="671"/>
      </w:pPr>
      <w:r>
        <w:rPr>
          <w:position w:val="-31"/>
        </w:rPr>
        <w:drawing>
          <wp:inline distT="0" distB="0" distL="0" distR="0">
            <wp:extent cx="5302250" cy="995045"/>
            <wp:effectExtent l="0" t="0" r="1270" b="1079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5"/>
                    <a:stretch>
                      <a:fillRect/>
                    </a:stretch>
                  </pic:blipFill>
                  <pic:spPr>
                    <a:xfrm>
                      <a:off x="0" y="0"/>
                      <a:ext cx="5302250" cy="995045"/>
                    </a:xfrm>
                    <a:prstGeom prst="rect">
                      <a:avLst/>
                    </a:prstGeom>
                  </pic:spPr>
                </pic:pic>
              </a:graphicData>
            </a:graphic>
          </wp:inline>
        </w:drawing>
      </w:r>
    </w:p>
    <w:p w14:paraId="7877DBF0">
      <w:pPr>
        <w:pStyle w:val="6"/>
        <w:spacing w:line="296" w:lineRule="auto"/>
      </w:pPr>
    </w:p>
    <w:p w14:paraId="4E593599">
      <w:pPr>
        <w:spacing w:before="79" w:line="372" w:lineRule="auto"/>
        <w:ind w:left="3057" w:right="2567"/>
        <w:rPr>
          <w:rFonts w:ascii="宋体" w:hAnsi="宋体" w:eastAsia="宋体" w:cs="宋体"/>
          <w:sz w:val="24"/>
          <w:szCs w:val="24"/>
        </w:rPr>
      </w:pPr>
      <w:r>
        <w:rPr>
          <w:rFonts w:ascii="宋体" w:hAnsi="宋体" w:eastAsia="宋体" w:cs="宋体"/>
          <w:b/>
          <w:bCs/>
          <w:spacing w:val="-7"/>
          <w:sz w:val="24"/>
          <w:szCs w:val="24"/>
        </w:rPr>
        <w:t>图</w:t>
      </w:r>
      <w:r>
        <w:rPr>
          <w:rFonts w:ascii="宋体" w:hAnsi="宋体" w:eastAsia="宋体" w:cs="宋体"/>
          <w:spacing w:val="-31"/>
          <w:sz w:val="24"/>
          <w:szCs w:val="24"/>
        </w:rPr>
        <w:t xml:space="preserve"> </w:t>
      </w:r>
      <w:r>
        <w:rPr>
          <w:rFonts w:ascii="宋体" w:hAnsi="宋体" w:eastAsia="宋体" w:cs="宋体"/>
          <w:b/>
          <w:bCs/>
          <w:spacing w:val="-7"/>
          <w:sz w:val="24"/>
          <w:szCs w:val="24"/>
        </w:rPr>
        <w:t>2.6.1--2</w:t>
      </w:r>
      <w:r>
        <w:rPr>
          <w:rFonts w:ascii="宋体" w:hAnsi="宋体" w:eastAsia="宋体" w:cs="宋体"/>
          <w:spacing w:val="40"/>
          <w:sz w:val="24"/>
          <w:szCs w:val="24"/>
        </w:rPr>
        <w:t xml:space="preserve"> </w:t>
      </w:r>
      <w:r>
        <w:rPr>
          <w:rFonts w:ascii="宋体" w:hAnsi="宋体" w:eastAsia="宋体" w:cs="宋体"/>
          <w:b/>
          <w:bCs/>
          <w:spacing w:val="-7"/>
          <w:sz w:val="24"/>
          <w:szCs w:val="24"/>
        </w:rPr>
        <w:t>电子级氨水流程方框图</w:t>
      </w:r>
      <w:r>
        <w:rPr>
          <w:rFonts w:ascii="宋体" w:hAnsi="宋体" w:eastAsia="宋体" w:cs="宋体"/>
          <w:sz w:val="24"/>
          <w:szCs w:val="24"/>
        </w:rPr>
        <w:t xml:space="preserve"> </w:t>
      </w:r>
      <w:r>
        <w:rPr>
          <w:rFonts w:ascii="宋体" w:hAnsi="宋体" w:eastAsia="宋体" w:cs="宋体"/>
          <w:b/>
          <w:bCs/>
          <w:spacing w:val="-5"/>
          <w:sz w:val="24"/>
          <w:szCs w:val="24"/>
        </w:rPr>
        <w:t>表</w:t>
      </w:r>
      <w:r>
        <w:rPr>
          <w:rFonts w:ascii="宋体" w:hAnsi="宋体" w:eastAsia="宋体" w:cs="宋体"/>
          <w:spacing w:val="-44"/>
          <w:sz w:val="24"/>
          <w:szCs w:val="24"/>
        </w:rPr>
        <w:t xml:space="preserve"> </w:t>
      </w:r>
      <w:r>
        <w:rPr>
          <w:rFonts w:ascii="宋体" w:hAnsi="宋体" w:eastAsia="宋体" w:cs="宋体"/>
          <w:b/>
          <w:bCs/>
          <w:spacing w:val="-5"/>
          <w:sz w:val="24"/>
          <w:szCs w:val="24"/>
        </w:rPr>
        <w:t>2.6.1--2</w:t>
      </w:r>
      <w:r>
        <w:rPr>
          <w:rFonts w:ascii="宋体" w:hAnsi="宋体" w:eastAsia="宋体" w:cs="宋体"/>
          <w:spacing w:val="37"/>
          <w:sz w:val="24"/>
          <w:szCs w:val="24"/>
        </w:rPr>
        <w:t xml:space="preserve"> </w:t>
      </w:r>
      <w:r>
        <w:rPr>
          <w:rFonts w:ascii="宋体" w:hAnsi="宋体" w:eastAsia="宋体" w:cs="宋体"/>
          <w:b/>
          <w:bCs/>
          <w:spacing w:val="-5"/>
          <w:sz w:val="24"/>
          <w:szCs w:val="24"/>
        </w:rPr>
        <w:t>电子级氨水物料平衡表</w:t>
      </w:r>
    </w:p>
    <w:tbl>
      <w:tblPr>
        <w:tblStyle w:val="21"/>
        <w:tblW w:w="9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1867"/>
        <w:gridCol w:w="1468"/>
        <w:gridCol w:w="722"/>
        <w:gridCol w:w="2588"/>
        <w:gridCol w:w="1574"/>
      </w:tblGrid>
      <w:tr w14:paraId="6C27D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88" w:type="dxa"/>
            <w:vAlign w:val="top"/>
          </w:tcPr>
          <w:p w14:paraId="14204669">
            <w:pPr>
              <w:pStyle w:val="22"/>
              <w:keepNext w:val="0"/>
              <w:keepLines w:val="0"/>
              <w:suppressLineNumbers w:val="0"/>
              <w:spacing w:before="224" w:beforeAutospacing="0" w:after="0" w:afterAutospacing="0" w:line="208" w:lineRule="auto"/>
              <w:ind w:left="389" w:right="0"/>
              <w:rPr>
                <w:rFonts w:hint="default"/>
              </w:rPr>
            </w:pPr>
            <w:r>
              <w:rPr>
                <w:rFonts w:hint="default"/>
                <w:spacing w:val="-2"/>
              </w:rPr>
              <w:t>序号</w:t>
            </w:r>
          </w:p>
        </w:tc>
        <w:tc>
          <w:tcPr>
            <w:tcW w:w="3335" w:type="dxa"/>
            <w:gridSpan w:val="2"/>
            <w:vAlign w:val="top"/>
          </w:tcPr>
          <w:p w14:paraId="79002D65">
            <w:pPr>
              <w:pStyle w:val="22"/>
              <w:keepNext w:val="0"/>
              <w:keepLines w:val="0"/>
              <w:suppressLineNumbers w:val="0"/>
              <w:spacing w:before="224" w:beforeAutospacing="0" w:after="0" w:afterAutospacing="0" w:line="208" w:lineRule="auto"/>
              <w:ind w:left="1461" w:right="0"/>
              <w:rPr>
                <w:rFonts w:hint="default"/>
              </w:rPr>
            </w:pPr>
            <w:r>
              <w:rPr>
                <w:rFonts w:hint="default"/>
                <w:spacing w:val="-2"/>
              </w:rPr>
              <w:t>入方</w:t>
            </w:r>
          </w:p>
        </w:tc>
        <w:tc>
          <w:tcPr>
            <w:tcW w:w="4884" w:type="dxa"/>
            <w:gridSpan w:val="3"/>
            <w:vAlign w:val="top"/>
          </w:tcPr>
          <w:p w14:paraId="55DFFB17">
            <w:pPr>
              <w:pStyle w:val="22"/>
              <w:keepNext w:val="0"/>
              <w:keepLines w:val="0"/>
              <w:suppressLineNumbers w:val="0"/>
              <w:spacing w:before="224" w:beforeAutospacing="0" w:after="0" w:afterAutospacing="0" w:line="208" w:lineRule="auto"/>
              <w:ind w:left="2255" w:right="0"/>
              <w:rPr>
                <w:rFonts w:hint="default"/>
              </w:rPr>
            </w:pPr>
            <w:r>
              <w:rPr>
                <w:rFonts w:hint="default"/>
                <w:spacing w:val="-7"/>
              </w:rPr>
              <w:t>出方</w:t>
            </w:r>
          </w:p>
        </w:tc>
      </w:tr>
      <w:tr w14:paraId="34BA0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188" w:type="dxa"/>
            <w:vAlign w:val="top"/>
          </w:tcPr>
          <w:p w14:paraId="71F06C05">
            <w:pPr>
              <w:keepNext w:val="0"/>
              <w:keepLines w:val="0"/>
              <w:suppressLineNumbers w:val="0"/>
              <w:spacing w:before="0" w:beforeAutospacing="0" w:after="0" w:afterAutospacing="0"/>
              <w:ind w:left="0" w:right="0"/>
              <w:rPr>
                <w:rFonts w:hint="default" w:ascii="Arial"/>
                <w:sz w:val="21"/>
              </w:rPr>
            </w:pPr>
          </w:p>
        </w:tc>
        <w:tc>
          <w:tcPr>
            <w:tcW w:w="1867" w:type="dxa"/>
            <w:vAlign w:val="top"/>
          </w:tcPr>
          <w:p w14:paraId="406F8C60">
            <w:pPr>
              <w:pStyle w:val="22"/>
              <w:keepNext w:val="0"/>
              <w:keepLines w:val="0"/>
              <w:suppressLineNumbers w:val="0"/>
              <w:spacing w:before="220" w:beforeAutospacing="0" w:after="0" w:afterAutospacing="0" w:line="208" w:lineRule="auto"/>
              <w:ind w:left="730" w:right="0"/>
              <w:rPr>
                <w:rFonts w:hint="default"/>
              </w:rPr>
            </w:pPr>
            <w:r>
              <w:rPr>
                <w:rFonts w:hint="default"/>
                <w:spacing w:val="-3"/>
              </w:rPr>
              <w:t>名称</w:t>
            </w:r>
          </w:p>
        </w:tc>
        <w:tc>
          <w:tcPr>
            <w:tcW w:w="1468" w:type="dxa"/>
            <w:vAlign w:val="top"/>
          </w:tcPr>
          <w:p w14:paraId="56C9B9FA">
            <w:pPr>
              <w:pStyle w:val="22"/>
              <w:keepNext w:val="0"/>
              <w:keepLines w:val="0"/>
              <w:suppressLineNumbers w:val="0"/>
              <w:spacing w:before="220" w:beforeAutospacing="0" w:after="0" w:afterAutospacing="0" w:line="208" w:lineRule="auto"/>
              <w:ind w:left="270" w:right="0"/>
              <w:rPr>
                <w:rFonts w:hint="default"/>
              </w:rPr>
            </w:pPr>
            <w:r>
              <w:rPr>
                <w:rFonts w:hint="default"/>
                <w:spacing w:val="-1"/>
              </w:rPr>
              <w:t>数量(t/a)</w:t>
            </w:r>
          </w:p>
        </w:tc>
        <w:tc>
          <w:tcPr>
            <w:tcW w:w="722" w:type="dxa"/>
            <w:vAlign w:val="top"/>
          </w:tcPr>
          <w:p w14:paraId="444CF26F">
            <w:pPr>
              <w:pStyle w:val="22"/>
              <w:keepNext w:val="0"/>
              <w:keepLines w:val="0"/>
              <w:suppressLineNumbers w:val="0"/>
              <w:spacing w:before="220" w:beforeAutospacing="0" w:after="0" w:afterAutospacing="0" w:line="208" w:lineRule="auto"/>
              <w:ind w:left="158" w:right="0"/>
              <w:rPr>
                <w:rFonts w:hint="default"/>
              </w:rPr>
            </w:pPr>
            <w:r>
              <w:rPr>
                <w:rFonts w:hint="default"/>
                <w:spacing w:val="-3"/>
              </w:rPr>
              <w:t>名称</w:t>
            </w:r>
          </w:p>
        </w:tc>
        <w:tc>
          <w:tcPr>
            <w:tcW w:w="2588" w:type="dxa"/>
            <w:vAlign w:val="top"/>
          </w:tcPr>
          <w:p w14:paraId="3486D166">
            <w:pPr>
              <w:keepNext w:val="0"/>
              <w:keepLines w:val="0"/>
              <w:suppressLineNumbers w:val="0"/>
              <w:spacing w:before="0" w:beforeAutospacing="0" w:after="0" w:afterAutospacing="0"/>
              <w:ind w:left="0" w:right="0"/>
              <w:rPr>
                <w:rFonts w:hint="default" w:ascii="Arial"/>
                <w:sz w:val="21"/>
              </w:rPr>
            </w:pPr>
          </w:p>
        </w:tc>
        <w:tc>
          <w:tcPr>
            <w:tcW w:w="1574" w:type="dxa"/>
            <w:vAlign w:val="top"/>
          </w:tcPr>
          <w:p w14:paraId="2C69310A">
            <w:pPr>
              <w:pStyle w:val="22"/>
              <w:keepNext w:val="0"/>
              <w:keepLines w:val="0"/>
              <w:suppressLineNumbers w:val="0"/>
              <w:spacing w:before="220" w:beforeAutospacing="0" w:after="0" w:afterAutospacing="0" w:line="208" w:lineRule="auto"/>
              <w:ind w:left="321" w:right="0"/>
              <w:rPr>
                <w:rFonts w:hint="default"/>
              </w:rPr>
            </w:pPr>
            <w:r>
              <w:rPr>
                <w:rFonts w:hint="default"/>
                <w:spacing w:val="-1"/>
              </w:rPr>
              <w:t>数量(t/a)</w:t>
            </w:r>
          </w:p>
        </w:tc>
      </w:tr>
      <w:tr w14:paraId="6ADA3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188" w:type="dxa"/>
            <w:vAlign w:val="top"/>
          </w:tcPr>
          <w:p w14:paraId="3EB6FF87">
            <w:pPr>
              <w:pStyle w:val="22"/>
              <w:keepNext w:val="0"/>
              <w:keepLines w:val="0"/>
              <w:suppressLineNumbers w:val="0"/>
              <w:spacing w:before="255" w:beforeAutospacing="0" w:after="0" w:afterAutospacing="0" w:line="176" w:lineRule="auto"/>
              <w:ind w:left="561" w:right="0"/>
              <w:rPr>
                <w:rFonts w:hint="default"/>
              </w:rPr>
            </w:pPr>
            <w:r>
              <w:rPr>
                <w:rFonts w:hint="default"/>
              </w:rPr>
              <w:t>1</w:t>
            </w:r>
          </w:p>
        </w:tc>
        <w:tc>
          <w:tcPr>
            <w:tcW w:w="1867" w:type="dxa"/>
            <w:vAlign w:val="top"/>
          </w:tcPr>
          <w:p w14:paraId="38B83AEA">
            <w:pPr>
              <w:pStyle w:val="22"/>
              <w:keepNext w:val="0"/>
              <w:keepLines w:val="0"/>
              <w:suppressLineNumbers w:val="0"/>
              <w:spacing w:before="221" w:beforeAutospacing="0" w:after="0" w:afterAutospacing="0" w:line="206" w:lineRule="auto"/>
              <w:ind w:left="257" w:right="0"/>
              <w:rPr>
                <w:rFonts w:hint="default"/>
              </w:rPr>
            </w:pPr>
            <w:r>
              <w:rPr>
                <w:rFonts w:hint="default"/>
                <w:spacing w:val="-1"/>
              </w:rPr>
              <w:t>液氨（99.7%）</w:t>
            </w:r>
          </w:p>
        </w:tc>
        <w:tc>
          <w:tcPr>
            <w:tcW w:w="1468" w:type="dxa"/>
            <w:vAlign w:val="top"/>
          </w:tcPr>
          <w:p w14:paraId="7938F65F">
            <w:pPr>
              <w:pStyle w:val="22"/>
              <w:keepNext w:val="0"/>
              <w:keepLines w:val="0"/>
              <w:suppressLineNumbers w:val="0"/>
              <w:spacing w:before="256" w:beforeAutospacing="0" w:after="0" w:afterAutospacing="0" w:line="175" w:lineRule="auto"/>
              <w:ind w:left="530" w:right="0"/>
              <w:rPr>
                <w:rFonts w:hint="default"/>
              </w:rPr>
            </w:pPr>
            <w:r>
              <w:rPr>
                <w:rFonts w:hint="default"/>
                <w:spacing w:val="-2"/>
              </w:rPr>
              <w:t>8865</w:t>
            </w:r>
          </w:p>
        </w:tc>
        <w:tc>
          <w:tcPr>
            <w:tcW w:w="722" w:type="dxa"/>
            <w:vAlign w:val="top"/>
          </w:tcPr>
          <w:p w14:paraId="2D0A2F9E">
            <w:pPr>
              <w:pStyle w:val="22"/>
              <w:keepNext w:val="0"/>
              <w:keepLines w:val="0"/>
              <w:suppressLineNumbers w:val="0"/>
              <w:spacing w:before="221" w:beforeAutospacing="0" w:after="0" w:afterAutospacing="0" w:line="206" w:lineRule="auto"/>
              <w:ind w:left="156" w:right="0"/>
              <w:rPr>
                <w:rFonts w:hint="default"/>
              </w:rPr>
            </w:pPr>
            <w:r>
              <w:rPr>
                <w:rFonts w:hint="default"/>
                <w:spacing w:val="-2"/>
              </w:rPr>
              <w:t>产品</w:t>
            </w:r>
          </w:p>
        </w:tc>
        <w:tc>
          <w:tcPr>
            <w:tcW w:w="2588" w:type="dxa"/>
            <w:vAlign w:val="top"/>
          </w:tcPr>
          <w:p w14:paraId="2084E709">
            <w:pPr>
              <w:pStyle w:val="22"/>
              <w:keepNext w:val="0"/>
              <w:keepLines w:val="0"/>
              <w:suppressLineNumbers w:val="0"/>
              <w:spacing w:before="221" w:beforeAutospacing="0" w:after="0" w:afterAutospacing="0" w:line="206" w:lineRule="auto"/>
              <w:ind w:left="511" w:right="0"/>
              <w:rPr>
                <w:rFonts w:hint="default"/>
              </w:rPr>
            </w:pPr>
            <w:r>
              <w:rPr>
                <w:rFonts w:hint="default"/>
                <w:spacing w:val="-1"/>
              </w:rPr>
              <w:t>超纯氨水（29%）</w:t>
            </w:r>
          </w:p>
        </w:tc>
        <w:tc>
          <w:tcPr>
            <w:tcW w:w="1574" w:type="dxa"/>
            <w:vAlign w:val="top"/>
          </w:tcPr>
          <w:p w14:paraId="37FECEEA">
            <w:pPr>
              <w:pStyle w:val="22"/>
              <w:keepNext w:val="0"/>
              <w:keepLines w:val="0"/>
              <w:suppressLineNumbers w:val="0"/>
              <w:spacing w:before="256" w:beforeAutospacing="0" w:after="0" w:afterAutospacing="0" w:line="175" w:lineRule="auto"/>
              <w:ind w:left="533" w:right="0"/>
              <w:rPr>
                <w:rFonts w:hint="default"/>
              </w:rPr>
            </w:pPr>
            <w:r>
              <w:rPr>
                <w:rFonts w:hint="default"/>
                <w:spacing w:val="-2"/>
              </w:rPr>
              <w:t>30000</w:t>
            </w:r>
          </w:p>
        </w:tc>
      </w:tr>
      <w:tr w14:paraId="670BE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88" w:type="dxa"/>
            <w:vAlign w:val="top"/>
          </w:tcPr>
          <w:p w14:paraId="201C65DE">
            <w:pPr>
              <w:pStyle w:val="22"/>
              <w:keepNext w:val="0"/>
              <w:keepLines w:val="0"/>
              <w:suppressLineNumbers w:val="0"/>
              <w:spacing w:before="258" w:beforeAutospacing="0" w:after="0" w:afterAutospacing="0" w:line="178" w:lineRule="auto"/>
              <w:ind w:left="548" w:right="0"/>
              <w:rPr>
                <w:rFonts w:hint="default"/>
              </w:rPr>
            </w:pPr>
            <w:r>
              <w:rPr>
                <w:rFonts w:hint="default"/>
              </w:rPr>
              <w:t>2</w:t>
            </w:r>
          </w:p>
        </w:tc>
        <w:tc>
          <w:tcPr>
            <w:tcW w:w="1867" w:type="dxa"/>
            <w:vAlign w:val="top"/>
          </w:tcPr>
          <w:p w14:paraId="76CD3431">
            <w:pPr>
              <w:pStyle w:val="22"/>
              <w:keepNext w:val="0"/>
              <w:keepLines w:val="0"/>
              <w:suppressLineNumbers w:val="0"/>
              <w:spacing w:before="223" w:beforeAutospacing="0" w:after="0" w:afterAutospacing="0" w:line="209" w:lineRule="auto"/>
              <w:ind w:left="621" w:right="0"/>
              <w:rPr>
                <w:rFonts w:hint="default"/>
              </w:rPr>
            </w:pPr>
            <w:r>
              <w:rPr>
                <w:rFonts w:hint="default"/>
                <w:spacing w:val="-1"/>
              </w:rPr>
              <w:t>超纯水</w:t>
            </w:r>
          </w:p>
        </w:tc>
        <w:tc>
          <w:tcPr>
            <w:tcW w:w="1468" w:type="dxa"/>
            <w:vAlign w:val="top"/>
          </w:tcPr>
          <w:p w14:paraId="683483E5">
            <w:pPr>
              <w:pStyle w:val="22"/>
              <w:keepNext w:val="0"/>
              <w:keepLines w:val="0"/>
              <w:suppressLineNumbers w:val="0"/>
              <w:spacing w:before="257" w:beforeAutospacing="0" w:after="0" w:afterAutospacing="0" w:line="179" w:lineRule="auto"/>
              <w:ind w:left="376" w:right="0"/>
              <w:rPr>
                <w:rFonts w:hint="default"/>
              </w:rPr>
            </w:pPr>
            <w:r>
              <w:rPr>
                <w:rFonts w:hint="default"/>
                <w:spacing w:val="-2"/>
              </w:rPr>
              <w:t>21175.5</w:t>
            </w:r>
          </w:p>
        </w:tc>
        <w:tc>
          <w:tcPr>
            <w:tcW w:w="722" w:type="dxa"/>
            <w:vAlign w:val="top"/>
          </w:tcPr>
          <w:p w14:paraId="2AC10FD5">
            <w:pPr>
              <w:keepNext w:val="0"/>
              <w:keepLines w:val="0"/>
              <w:suppressLineNumbers w:val="0"/>
              <w:spacing w:before="0" w:beforeAutospacing="0" w:after="0" w:afterAutospacing="0"/>
              <w:ind w:left="0" w:right="0"/>
              <w:rPr>
                <w:rFonts w:hint="default" w:ascii="Arial"/>
                <w:sz w:val="21"/>
              </w:rPr>
            </w:pPr>
          </w:p>
        </w:tc>
        <w:tc>
          <w:tcPr>
            <w:tcW w:w="2588" w:type="dxa"/>
            <w:vAlign w:val="top"/>
          </w:tcPr>
          <w:p w14:paraId="35E3B9E1">
            <w:pPr>
              <w:pStyle w:val="22"/>
              <w:keepNext w:val="0"/>
              <w:keepLines w:val="0"/>
              <w:suppressLineNumbers w:val="0"/>
              <w:spacing w:before="223" w:beforeAutospacing="0" w:after="0" w:afterAutospacing="0" w:line="209" w:lineRule="auto"/>
              <w:ind w:left="773" w:right="0"/>
              <w:rPr>
                <w:rFonts w:hint="default"/>
              </w:rPr>
            </w:pPr>
            <w:r>
              <w:rPr>
                <w:rFonts w:hint="default"/>
                <w:spacing w:val="-1"/>
              </w:rPr>
              <w:t>低浓度氨水</w:t>
            </w:r>
          </w:p>
        </w:tc>
        <w:tc>
          <w:tcPr>
            <w:tcW w:w="1574" w:type="dxa"/>
            <w:vAlign w:val="top"/>
          </w:tcPr>
          <w:p w14:paraId="7EB25FC9">
            <w:pPr>
              <w:pStyle w:val="22"/>
              <w:keepNext w:val="0"/>
              <w:keepLines w:val="0"/>
              <w:suppressLineNumbers w:val="0"/>
              <w:spacing w:before="258" w:beforeAutospacing="0" w:after="0" w:afterAutospacing="0" w:line="178" w:lineRule="auto"/>
              <w:ind w:left="480" w:right="0"/>
              <w:rPr>
                <w:rFonts w:hint="default"/>
              </w:rPr>
            </w:pPr>
            <w:r>
              <w:rPr>
                <w:rFonts w:hint="default"/>
                <w:spacing w:val="-2"/>
              </w:rPr>
              <w:t>347.97</w:t>
            </w:r>
          </w:p>
        </w:tc>
      </w:tr>
    </w:tbl>
    <w:p w14:paraId="0E3778E9">
      <w:pPr>
        <w:pStyle w:val="6"/>
      </w:pPr>
    </w:p>
    <w:p w14:paraId="5BBDAA8A">
      <w:pPr>
        <w:sectPr>
          <w:headerReference r:id="rId9" w:type="default"/>
          <w:footerReference r:id="rId10" w:type="default"/>
          <w:pgSz w:w="11907" w:h="16839"/>
          <w:pgMar w:top="1120" w:right="1474" w:bottom="946" w:left="1020" w:header="809" w:footer="685" w:gutter="0"/>
          <w:cols w:space="720" w:num="1"/>
        </w:sectPr>
      </w:pPr>
    </w:p>
    <w:p w14:paraId="073E4A14">
      <w:pPr>
        <w:spacing w:before="56"/>
      </w:pPr>
    </w:p>
    <w:tbl>
      <w:tblPr>
        <w:tblStyle w:val="21"/>
        <w:tblW w:w="94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7"/>
        <w:gridCol w:w="1867"/>
        <w:gridCol w:w="1468"/>
        <w:gridCol w:w="722"/>
        <w:gridCol w:w="2589"/>
        <w:gridCol w:w="1573"/>
      </w:tblGrid>
      <w:tr w14:paraId="1BE9D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87" w:type="dxa"/>
            <w:vAlign w:val="top"/>
          </w:tcPr>
          <w:p w14:paraId="58A0280C">
            <w:pPr>
              <w:pStyle w:val="22"/>
              <w:keepNext w:val="0"/>
              <w:keepLines w:val="0"/>
              <w:suppressLineNumbers w:val="0"/>
              <w:spacing w:before="259" w:beforeAutospacing="0" w:after="0" w:afterAutospacing="0" w:line="177" w:lineRule="auto"/>
              <w:ind w:left="549" w:right="0"/>
              <w:rPr>
                <w:rFonts w:hint="default"/>
              </w:rPr>
            </w:pPr>
            <w:r>
              <w:rPr>
                <w:rFonts w:hint="default"/>
              </w:rPr>
              <w:t>3</w:t>
            </w:r>
          </w:p>
        </w:tc>
        <w:tc>
          <w:tcPr>
            <w:tcW w:w="1867" w:type="dxa"/>
            <w:vAlign w:val="top"/>
          </w:tcPr>
          <w:p w14:paraId="57605740">
            <w:pPr>
              <w:pStyle w:val="22"/>
              <w:keepNext w:val="0"/>
              <w:keepLines w:val="0"/>
              <w:suppressLineNumbers w:val="0"/>
              <w:spacing w:before="224" w:beforeAutospacing="0" w:after="0" w:afterAutospacing="0" w:line="208" w:lineRule="auto"/>
              <w:ind w:left="409" w:right="0"/>
              <w:rPr>
                <w:rFonts w:hint="default"/>
              </w:rPr>
            </w:pPr>
            <w:r>
              <w:rPr>
                <w:rFonts w:hint="default"/>
                <w:spacing w:val="-1"/>
              </w:rPr>
              <w:t>含氨清洗水</w:t>
            </w:r>
          </w:p>
        </w:tc>
        <w:tc>
          <w:tcPr>
            <w:tcW w:w="1468" w:type="dxa"/>
            <w:vAlign w:val="top"/>
          </w:tcPr>
          <w:p w14:paraId="66021026">
            <w:pPr>
              <w:pStyle w:val="22"/>
              <w:keepNext w:val="0"/>
              <w:keepLines w:val="0"/>
              <w:suppressLineNumbers w:val="0"/>
              <w:spacing w:before="259" w:beforeAutospacing="0" w:after="0" w:afterAutospacing="0" w:line="177" w:lineRule="auto"/>
              <w:ind w:left="479" w:right="0"/>
              <w:rPr>
                <w:rFonts w:hint="default"/>
              </w:rPr>
            </w:pPr>
            <w:r>
              <w:rPr>
                <w:rFonts w:hint="default"/>
                <w:spacing w:val="-2"/>
              </w:rPr>
              <w:t>337.5</w:t>
            </w:r>
          </w:p>
        </w:tc>
        <w:tc>
          <w:tcPr>
            <w:tcW w:w="722" w:type="dxa"/>
            <w:vAlign w:val="top"/>
          </w:tcPr>
          <w:p w14:paraId="205E48E8">
            <w:pPr>
              <w:pStyle w:val="22"/>
              <w:keepNext w:val="0"/>
              <w:keepLines w:val="0"/>
              <w:suppressLineNumbers w:val="0"/>
              <w:spacing w:before="224" w:beforeAutospacing="0" w:after="0" w:afterAutospacing="0" w:line="208" w:lineRule="auto"/>
              <w:ind w:left="154" w:right="0"/>
              <w:rPr>
                <w:rFonts w:hint="default"/>
              </w:rPr>
            </w:pPr>
            <w:r>
              <w:rPr>
                <w:rFonts w:hint="default"/>
                <w:spacing w:val="-2"/>
              </w:rPr>
              <w:t>氨气</w:t>
            </w:r>
          </w:p>
        </w:tc>
        <w:tc>
          <w:tcPr>
            <w:tcW w:w="2589" w:type="dxa"/>
            <w:vAlign w:val="top"/>
          </w:tcPr>
          <w:p w14:paraId="199E2398">
            <w:pPr>
              <w:keepNext w:val="0"/>
              <w:keepLines w:val="0"/>
              <w:suppressLineNumbers w:val="0"/>
              <w:spacing w:before="0" w:beforeAutospacing="0" w:after="0" w:afterAutospacing="0" w:line="254" w:lineRule="auto"/>
              <w:ind w:left="0" w:right="0"/>
              <w:rPr>
                <w:rFonts w:hint="default" w:ascii="Arial"/>
                <w:sz w:val="21"/>
              </w:rPr>
            </w:pPr>
          </w:p>
          <w:p w14:paraId="2F14B8EE">
            <w:pPr>
              <w:pStyle w:val="22"/>
              <w:keepNext w:val="0"/>
              <w:keepLines w:val="0"/>
              <w:suppressLineNumbers w:val="0"/>
              <w:spacing w:before="68" w:beforeAutospacing="0" w:after="0" w:afterAutospacing="0" w:line="137" w:lineRule="exact"/>
              <w:ind w:left="1190" w:right="0"/>
              <w:rPr>
                <w:rFonts w:hint="default"/>
              </w:rPr>
            </w:pPr>
            <w:r>
              <w:rPr>
                <w:rFonts w:hint="default"/>
                <w:spacing w:val="-2"/>
                <w:position w:val="-4"/>
              </w:rPr>
              <w:t>--</w:t>
            </w:r>
          </w:p>
        </w:tc>
        <w:tc>
          <w:tcPr>
            <w:tcW w:w="1573" w:type="dxa"/>
            <w:vAlign w:val="top"/>
          </w:tcPr>
          <w:p w14:paraId="19E93C9D">
            <w:pPr>
              <w:pStyle w:val="22"/>
              <w:keepNext w:val="0"/>
              <w:keepLines w:val="0"/>
              <w:suppressLineNumbers w:val="0"/>
              <w:spacing w:before="259" w:beforeAutospacing="0" w:after="0" w:afterAutospacing="0" w:line="177" w:lineRule="auto"/>
              <w:ind w:left="688" w:right="0"/>
              <w:rPr>
                <w:rFonts w:hint="default"/>
              </w:rPr>
            </w:pPr>
            <w:r>
              <w:rPr>
                <w:rFonts w:hint="default"/>
                <w:spacing w:val="-3"/>
              </w:rPr>
              <w:t>30</w:t>
            </w:r>
          </w:p>
        </w:tc>
      </w:tr>
      <w:tr w14:paraId="74497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187" w:type="dxa"/>
            <w:vAlign w:val="top"/>
          </w:tcPr>
          <w:p w14:paraId="13458E49">
            <w:pPr>
              <w:pStyle w:val="22"/>
              <w:keepNext w:val="0"/>
              <w:keepLines w:val="0"/>
              <w:suppressLineNumbers w:val="0"/>
              <w:spacing w:before="256" w:beforeAutospacing="0" w:after="0" w:afterAutospacing="0" w:line="173" w:lineRule="auto"/>
              <w:ind w:left="544" w:right="0"/>
              <w:rPr>
                <w:rFonts w:hint="default"/>
              </w:rPr>
            </w:pPr>
            <w:r>
              <w:rPr>
                <w:rFonts w:hint="default"/>
              </w:rPr>
              <w:t>4</w:t>
            </w:r>
          </w:p>
        </w:tc>
        <w:tc>
          <w:tcPr>
            <w:tcW w:w="1867" w:type="dxa"/>
            <w:vAlign w:val="top"/>
          </w:tcPr>
          <w:p w14:paraId="7BEAFFC7">
            <w:pPr>
              <w:keepNext w:val="0"/>
              <w:keepLines w:val="0"/>
              <w:suppressLineNumbers w:val="0"/>
              <w:spacing w:before="0" w:beforeAutospacing="0" w:after="0" w:afterAutospacing="0" w:line="251" w:lineRule="auto"/>
              <w:ind w:left="0" w:right="0"/>
              <w:rPr>
                <w:rFonts w:hint="default" w:ascii="Arial"/>
                <w:sz w:val="21"/>
              </w:rPr>
            </w:pPr>
          </w:p>
          <w:p w14:paraId="71BB98B8">
            <w:pPr>
              <w:pStyle w:val="22"/>
              <w:keepNext w:val="0"/>
              <w:keepLines w:val="0"/>
              <w:suppressLineNumbers w:val="0"/>
              <w:spacing w:before="69" w:beforeAutospacing="0" w:after="0" w:afterAutospacing="0" w:line="131" w:lineRule="exact"/>
              <w:ind w:left="828" w:right="0"/>
              <w:rPr>
                <w:rFonts w:hint="default"/>
              </w:rPr>
            </w:pPr>
            <w:r>
              <w:rPr>
                <w:rFonts w:hint="default"/>
                <w:spacing w:val="-2"/>
                <w:position w:val="-4"/>
              </w:rPr>
              <w:t>--</w:t>
            </w:r>
          </w:p>
        </w:tc>
        <w:tc>
          <w:tcPr>
            <w:tcW w:w="1468" w:type="dxa"/>
            <w:vAlign w:val="top"/>
          </w:tcPr>
          <w:p w14:paraId="3F75EFDF">
            <w:pPr>
              <w:keepNext w:val="0"/>
              <w:keepLines w:val="0"/>
              <w:suppressLineNumbers w:val="0"/>
              <w:spacing w:before="0" w:beforeAutospacing="0" w:after="0" w:afterAutospacing="0" w:line="251" w:lineRule="auto"/>
              <w:ind w:left="0" w:right="0"/>
              <w:rPr>
                <w:rFonts w:hint="default" w:ascii="Arial"/>
                <w:sz w:val="21"/>
              </w:rPr>
            </w:pPr>
          </w:p>
          <w:p w14:paraId="2C4CF995">
            <w:pPr>
              <w:pStyle w:val="22"/>
              <w:keepNext w:val="0"/>
              <w:keepLines w:val="0"/>
              <w:suppressLineNumbers w:val="0"/>
              <w:spacing w:before="69" w:beforeAutospacing="0" w:after="0" w:afterAutospacing="0" w:line="131" w:lineRule="exact"/>
              <w:ind w:left="632" w:right="0"/>
              <w:rPr>
                <w:rFonts w:hint="default"/>
              </w:rPr>
            </w:pPr>
            <w:r>
              <w:rPr>
                <w:rFonts w:hint="default"/>
                <w:spacing w:val="-2"/>
                <w:position w:val="-4"/>
              </w:rPr>
              <w:t>--</w:t>
            </w:r>
          </w:p>
        </w:tc>
        <w:tc>
          <w:tcPr>
            <w:tcW w:w="722" w:type="dxa"/>
            <w:vAlign w:val="top"/>
          </w:tcPr>
          <w:p w14:paraId="7DC8D3C5">
            <w:pPr>
              <w:pStyle w:val="22"/>
              <w:keepNext w:val="0"/>
              <w:keepLines w:val="0"/>
              <w:suppressLineNumbers w:val="0"/>
              <w:spacing w:before="220" w:beforeAutospacing="0" w:after="0" w:afterAutospacing="0" w:line="204" w:lineRule="auto"/>
              <w:ind w:left="172" w:right="0"/>
              <w:rPr>
                <w:rFonts w:hint="default"/>
              </w:rPr>
            </w:pPr>
            <w:r>
              <w:rPr>
                <w:rFonts w:hint="default"/>
                <w:spacing w:val="-7"/>
              </w:rPr>
              <w:t>固废</w:t>
            </w:r>
          </w:p>
        </w:tc>
        <w:tc>
          <w:tcPr>
            <w:tcW w:w="2589" w:type="dxa"/>
            <w:vAlign w:val="top"/>
          </w:tcPr>
          <w:p w14:paraId="2D4B6BF2">
            <w:pPr>
              <w:keepNext w:val="0"/>
              <w:keepLines w:val="0"/>
              <w:suppressLineNumbers w:val="0"/>
              <w:spacing w:before="0" w:beforeAutospacing="0" w:after="0" w:afterAutospacing="0" w:line="251" w:lineRule="auto"/>
              <w:ind w:left="0" w:right="0"/>
              <w:rPr>
                <w:rFonts w:hint="default" w:ascii="Arial"/>
                <w:sz w:val="21"/>
              </w:rPr>
            </w:pPr>
          </w:p>
          <w:p w14:paraId="1E1EFB5E">
            <w:pPr>
              <w:pStyle w:val="22"/>
              <w:keepNext w:val="0"/>
              <w:keepLines w:val="0"/>
              <w:suppressLineNumbers w:val="0"/>
              <w:spacing w:before="69" w:beforeAutospacing="0" w:after="0" w:afterAutospacing="0" w:line="131" w:lineRule="exact"/>
              <w:ind w:left="1190" w:right="0"/>
              <w:rPr>
                <w:rFonts w:hint="default"/>
              </w:rPr>
            </w:pPr>
            <w:r>
              <w:rPr>
                <w:rFonts w:hint="default"/>
                <w:spacing w:val="-2"/>
                <w:position w:val="-4"/>
              </w:rPr>
              <w:t>--</w:t>
            </w:r>
          </w:p>
        </w:tc>
        <w:tc>
          <w:tcPr>
            <w:tcW w:w="1573" w:type="dxa"/>
            <w:vAlign w:val="top"/>
          </w:tcPr>
          <w:p w14:paraId="0686ED9E">
            <w:pPr>
              <w:pStyle w:val="22"/>
              <w:keepNext w:val="0"/>
              <w:keepLines w:val="0"/>
              <w:suppressLineNumbers w:val="0"/>
              <w:spacing w:before="256" w:beforeAutospacing="0" w:after="0" w:afterAutospacing="0" w:line="173" w:lineRule="auto"/>
              <w:ind w:left="580" w:right="0"/>
              <w:rPr>
                <w:rFonts w:hint="default"/>
              </w:rPr>
            </w:pPr>
            <w:r>
              <w:rPr>
                <w:rFonts w:hint="default"/>
                <w:spacing w:val="-2"/>
              </w:rPr>
              <w:t>0.03</w:t>
            </w:r>
          </w:p>
        </w:tc>
      </w:tr>
      <w:tr w14:paraId="1399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87" w:type="dxa"/>
            <w:vAlign w:val="top"/>
          </w:tcPr>
          <w:p w14:paraId="1BA7B9CC">
            <w:pPr>
              <w:pStyle w:val="22"/>
              <w:keepNext w:val="0"/>
              <w:keepLines w:val="0"/>
              <w:suppressLineNumbers w:val="0"/>
              <w:spacing w:before="225" w:beforeAutospacing="0" w:after="0" w:afterAutospacing="0" w:line="207" w:lineRule="auto"/>
              <w:ind w:left="390" w:right="0"/>
              <w:rPr>
                <w:rFonts w:hint="default"/>
              </w:rPr>
            </w:pPr>
            <w:r>
              <w:rPr>
                <w:rFonts w:hint="default"/>
                <w:spacing w:val="-2"/>
              </w:rPr>
              <w:t>合计</w:t>
            </w:r>
          </w:p>
        </w:tc>
        <w:tc>
          <w:tcPr>
            <w:tcW w:w="1867" w:type="dxa"/>
            <w:vAlign w:val="top"/>
          </w:tcPr>
          <w:p w14:paraId="59DC6F02">
            <w:pPr>
              <w:keepNext w:val="0"/>
              <w:keepLines w:val="0"/>
              <w:suppressLineNumbers w:val="0"/>
              <w:spacing w:before="0" w:beforeAutospacing="0" w:after="0" w:afterAutospacing="0"/>
              <w:ind w:left="0" w:right="0"/>
              <w:rPr>
                <w:rFonts w:hint="default" w:ascii="Arial"/>
                <w:sz w:val="21"/>
              </w:rPr>
            </w:pPr>
          </w:p>
        </w:tc>
        <w:tc>
          <w:tcPr>
            <w:tcW w:w="1468" w:type="dxa"/>
            <w:vAlign w:val="top"/>
          </w:tcPr>
          <w:p w14:paraId="14E174A7">
            <w:pPr>
              <w:pStyle w:val="22"/>
              <w:keepNext w:val="0"/>
              <w:keepLines w:val="0"/>
              <w:suppressLineNumbers w:val="0"/>
              <w:spacing w:before="261" w:beforeAutospacing="0" w:after="0" w:afterAutospacing="0" w:line="175" w:lineRule="auto"/>
              <w:ind w:left="479" w:right="0"/>
              <w:rPr>
                <w:rFonts w:hint="default"/>
              </w:rPr>
            </w:pPr>
            <w:r>
              <w:rPr>
                <w:rFonts w:hint="default"/>
                <w:spacing w:val="-2"/>
              </w:rPr>
              <w:t>30378</w:t>
            </w:r>
          </w:p>
        </w:tc>
        <w:tc>
          <w:tcPr>
            <w:tcW w:w="722" w:type="dxa"/>
            <w:vAlign w:val="top"/>
          </w:tcPr>
          <w:p w14:paraId="4D7CDE19">
            <w:pPr>
              <w:pStyle w:val="22"/>
              <w:keepNext w:val="0"/>
              <w:keepLines w:val="0"/>
              <w:suppressLineNumbers w:val="0"/>
              <w:spacing w:before="225" w:beforeAutospacing="0" w:after="0" w:afterAutospacing="0" w:line="207" w:lineRule="auto"/>
              <w:ind w:left="155" w:right="0"/>
              <w:rPr>
                <w:rFonts w:hint="default"/>
              </w:rPr>
            </w:pPr>
            <w:r>
              <w:rPr>
                <w:rFonts w:hint="default"/>
                <w:spacing w:val="-2"/>
              </w:rPr>
              <w:t>合计</w:t>
            </w:r>
          </w:p>
        </w:tc>
        <w:tc>
          <w:tcPr>
            <w:tcW w:w="2589" w:type="dxa"/>
            <w:vAlign w:val="top"/>
          </w:tcPr>
          <w:p w14:paraId="4A95FB88">
            <w:pPr>
              <w:keepNext w:val="0"/>
              <w:keepLines w:val="0"/>
              <w:suppressLineNumbers w:val="0"/>
              <w:spacing w:before="0" w:beforeAutospacing="0" w:after="0" w:afterAutospacing="0"/>
              <w:ind w:left="0" w:right="0"/>
              <w:rPr>
                <w:rFonts w:hint="default" w:ascii="Arial"/>
                <w:sz w:val="21"/>
              </w:rPr>
            </w:pPr>
          </w:p>
        </w:tc>
        <w:tc>
          <w:tcPr>
            <w:tcW w:w="1573" w:type="dxa"/>
            <w:vAlign w:val="top"/>
          </w:tcPr>
          <w:p w14:paraId="29DEB6B6">
            <w:pPr>
              <w:pStyle w:val="22"/>
              <w:keepNext w:val="0"/>
              <w:keepLines w:val="0"/>
              <w:suppressLineNumbers w:val="0"/>
              <w:spacing w:before="261" w:beforeAutospacing="0" w:after="0" w:afterAutospacing="0" w:line="175" w:lineRule="auto"/>
              <w:ind w:left="530" w:right="0"/>
              <w:rPr>
                <w:rFonts w:hint="default"/>
              </w:rPr>
            </w:pPr>
            <w:r>
              <w:rPr>
                <w:rFonts w:hint="default"/>
                <w:spacing w:val="-2"/>
              </w:rPr>
              <w:t>30378</w:t>
            </w:r>
          </w:p>
        </w:tc>
      </w:tr>
    </w:tbl>
    <w:p w14:paraId="7C6D4BA2">
      <w:pPr>
        <w:pStyle w:val="6"/>
        <w:spacing w:line="260" w:lineRule="auto"/>
      </w:pPr>
    </w:p>
    <w:p w14:paraId="28D0381C">
      <w:pPr>
        <w:pStyle w:val="6"/>
        <w:spacing w:line="261" w:lineRule="auto"/>
      </w:pPr>
    </w:p>
    <w:p w14:paraId="06600410">
      <w:pPr>
        <w:pStyle w:val="6"/>
        <w:spacing w:before="91" w:line="220" w:lineRule="auto"/>
        <w:ind w:left="120"/>
        <w:rPr>
          <w:rFonts w:ascii="宋体" w:hAnsi="宋体" w:eastAsia="宋体" w:cs="宋体"/>
          <w:sz w:val="28"/>
          <w:szCs w:val="28"/>
        </w:rPr>
      </w:pPr>
      <w:r>
        <w:fldChar w:fldCharType="begin"/>
      </w:r>
      <w:r>
        <w:instrText xml:space="preserve"> HYPERLINK "2.6.1.3" </w:instrText>
      </w:r>
      <w:r>
        <w:fldChar w:fldCharType="separate"/>
      </w:r>
      <w:r>
        <w:rPr>
          <w:spacing w:val="-3"/>
          <w:sz w:val="28"/>
          <w:szCs w:val="28"/>
        </w:rPr>
        <w:t>2.6.1.3</w:t>
      </w:r>
      <w:r>
        <w:rPr>
          <w:spacing w:val="-3"/>
          <w:sz w:val="28"/>
          <w:szCs w:val="28"/>
        </w:rPr>
        <w:fldChar w:fldCharType="end"/>
      </w:r>
      <w:r>
        <w:rPr>
          <w:spacing w:val="42"/>
          <w:sz w:val="28"/>
          <w:szCs w:val="28"/>
        </w:rPr>
        <w:t xml:space="preserve"> </w:t>
      </w:r>
      <w:r>
        <w:rPr>
          <w:rFonts w:ascii="宋体" w:hAnsi="宋体" w:eastAsia="宋体" w:cs="宋体"/>
          <w:spacing w:val="-3"/>
          <w:sz w:val="28"/>
          <w:szCs w:val="28"/>
        </w:rPr>
        <w:t>电子级异丙醇工艺流程</w:t>
      </w:r>
    </w:p>
    <w:p w14:paraId="06932836">
      <w:pPr>
        <w:pStyle w:val="6"/>
        <w:spacing w:line="307" w:lineRule="auto"/>
      </w:pPr>
    </w:p>
    <w:p w14:paraId="2271570B">
      <w:pPr>
        <w:spacing w:before="91" w:line="220" w:lineRule="auto"/>
        <w:ind w:left="681"/>
        <w:rPr>
          <w:rFonts w:ascii="宋体" w:hAnsi="宋体" w:eastAsia="宋体" w:cs="宋体"/>
          <w:sz w:val="28"/>
          <w:szCs w:val="28"/>
        </w:rPr>
      </w:pPr>
      <w:r>
        <w:rPr>
          <w:rFonts w:ascii="宋体" w:hAnsi="宋体" w:eastAsia="宋体" w:cs="宋体"/>
          <w:sz w:val="28"/>
          <w:szCs w:val="28"/>
        </w:rPr>
        <w:t>超纯异丙醇工艺流程包括原料贮存、预处理</w:t>
      </w:r>
      <w:r>
        <w:rPr>
          <w:rFonts w:ascii="宋体" w:hAnsi="宋体" w:eastAsia="宋体" w:cs="宋体"/>
          <w:spacing w:val="-1"/>
          <w:sz w:val="28"/>
          <w:szCs w:val="28"/>
        </w:rPr>
        <w:t>、蒸馏、过滤等环节。</w:t>
      </w:r>
    </w:p>
    <w:p w14:paraId="6D20028D">
      <w:pPr>
        <w:pStyle w:val="6"/>
        <w:spacing w:line="307" w:lineRule="auto"/>
      </w:pPr>
    </w:p>
    <w:p w14:paraId="402F87CB">
      <w:pPr>
        <w:spacing w:before="91" w:line="220" w:lineRule="auto"/>
        <w:ind w:left="690"/>
        <w:rPr>
          <w:rFonts w:ascii="宋体" w:hAnsi="宋体" w:eastAsia="宋体" w:cs="宋体"/>
          <w:sz w:val="28"/>
          <w:szCs w:val="28"/>
        </w:rPr>
      </w:pPr>
      <w:r>
        <w:rPr>
          <w:rFonts w:ascii="宋体" w:hAnsi="宋体" w:eastAsia="宋体" w:cs="宋体"/>
          <w:spacing w:val="-2"/>
          <w:sz w:val="28"/>
          <w:szCs w:val="28"/>
        </w:rPr>
        <w:t>（1）原料卸料及储存</w:t>
      </w:r>
    </w:p>
    <w:p w14:paraId="40B6EA11">
      <w:pPr>
        <w:pStyle w:val="6"/>
        <w:spacing w:line="308" w:lineRule="auto"/>
      </w:pPr>
    </w:p>
    <w:p w14:paraId="22EDE15A">
      <w:pPr>
        <w:spacing w:before="92" w:line="354" w:lineRule="auto"/>
        <w:ind w:left="119" w:right="108" w:firstLine="569"/>
        <w:jc w:val="both"/>
        <w:rPr>
          <w:rFonts w:ascii="宋体" w:hAnsi="宋体" w:eastAsia="宋体" w:cs="宋体"/>
          <w:sz w:val="28"/>
          <w:szCs w:val="28"/>
        </w:rPr>
      </w:pPr>
      <w:r>
        <w:rPr>
          <w:rFonts w:ascii="宋体" w:hAnsi="宋体" w:eastAsia="宋体" w:cs="宋体"/>
          <w:spacing w:val="-2"/>
          <w:sz w:val="28"/>
          <w:szCs w:val="28"/>
        </w:rPr>
        <w:t>外购原料（工业级异丙醇）经槽罐车运至原料罐组</w:t>
      </w:r>
      <w:r>
        <w:rPr>
          <w:rFonts w:ascii="宋体" w:hAnsi="宋体" w:eastAsia="宋体" w:cs="宋体"/>
          <w:spacing w:val="-3"/>
          <w:sz w:val="28"/>
          <w:szCs w:val="28"/>
        </w:rPr>
        <w:t>卸料场地，经卸车泵</w:t>
      </w:r>
      <w:r>
        <w:rPr>
          <w:rFonts w:ascii="宋体" w:hAnsi="宋体" w:eastAsia="宋体" w:cs="宋体"/>
          <w:sz w:val="28"/>
          <w:szCs w:val="28"/>
        </w:rPr>
        <w:t xml:space="preserve"> </w:t>
      </w:r>
      <w:r>
        <w:rPr>
          <w:rFonts w:ascii="宋体" w:hAnsi="宋体" w:eastAsia="宋体" w:cs="宋体"/>
          <w:spacing w:val="-1"/>
          <w:sz w:val="28"/>
          <w:szCs w:val="28"/>
        </w:rPr>
        <w:t>P260101送入异丙醇储罐V260101A/B。储</w:t>
      </w:r>
      <w:r>
        <w:rPr>
          <w:rFonts w:ascii="宋体" w:hAnsi="宋体" w:eastAsia="宋体" w:cs="宋体"/>
          <w:spacing w:val="-2"/>
          <w:sz w:val="28"/>
          <w:szCs w:val="28"/>
        </w:rPr>
        <w:t>罐设置液位高/低报警，高高连锁关</w:t>
      </w:r>
      <w:r>
        <w:rPr>
          <w:rFonts w:ascii="宋体" w:hAnsi="宋体" w:eastAsia="宋体" w:cs="宋体"/>
          <w:sz w:val="28"/>
          <w:szCs w:val="28"/>
        </w:rPr>
        <w:t xml:space="preserve"> </w:t>
      </w:r>
      <w:r>
        <w:rPr>
          <w:rFonts w:ascii="宋体" w:hAnsi="宋体" w:eastAsia="宋体" w:cs="宋体"/>
          <w:spacing w:val="21"/>
          <w:sz w:val="28"/>
          <w:szCs w:val="28"/>
        </w:rPr>
        <w:t>闭异丙醇进料切断</w:t>
      </w:r>
      <w:r>
        <w:rPr>
          <w:rFonts w:ascii="宋体" w:hAnsi="宋体" w:eastAsia="宋体" w:cs="宋体"/>
          <w:spacing w:val="-67"/>
          <w:sz w:val="28"/>
          <w:szCs w:val="28"/>
        </w:rPr>
        <w:t xml:space="preserve"> </w:t>
      </w:r>
      <w:r>
        <w:rPr>
          <w:rFonts w:ascii="宋体" w:hAnsi="宋体" w:eastAsia="宋体" w:cs="宋体"/>
          <w:spacing w:val="21"/>
          <w:sz w:val="28"/>
          <w:szCs w:val="28"/>
        </w:rPr>
        <w:t>阀、</w:t>
      </w:r>
      <w:r>
        <w:rPr>
          <w:rFonts w:ascii="宋体" w:hAnsi="宋体" w:eastAsia="宋体" w:cs="宋体"/>
          <w:spacing w:val="-58"/>
          <w:sz w:val="28"/>
          <w:szCs w:val="28"/>
        </w:rPr>
        <w:t xml:space="preserve"> </w:t>
      </w:r>
      <w:r>
        <w:rPr>
          <w:rFonts w:ascii="宋体" w:hAnsi="宋体" w:eastAsia="宋体" w:cs="宋体"/>
          <w:spacing w:val="21"/>
          <w:sz w:val="28"/>
          <w:szCs w:val="28"/>
        </w:rPr>
        <w:t>停卸车泵P260101</w:t>
      </w:r>
      <w:r>
        <w:rPr>
          <w:rFonts w:ascii="宋体" w:hAnsi="宋体" w:eastAsia="宋体" w:cs="宋体"/>
          <w:spacing w:val="-71"/>
          <w:sz w:val="28"/>
          <w:szCs w:val="28"/>
        </w:rPr>
        <w:t xml:space="preserve"> </w:t>
      </w:r>
      <w:r>
        <w:rPr>
          <w:rFonts w:ascii="宋体" w:hAnsi="宋体" w:eastAsia="宋体" w:cs="宋体"/>
          <w:spacing w:val="21"/>
          <w:sz w:val="28"/>
          <w:szCs w:val="28"/>
        </w:rPr>
        <w:t>，低低连锁停异丙醇输送泵</w:t>
      </w:r>
      <w:r>
        <w:rPr>
          <w:rFonts w:ascii="宋体" w:hAnsi="宋体" w:eastAsia="宋体" w:cs="宋体"/>
          <w:sz w:val="28"/>
          <w:szCs w:val="28"/>
        </w:rPr>
        <w:t xml:space="preserve"> </w:t>
      </w:r>
      <w:r>
        <w:rPr>
          <w:rFonts w:ascii="宋体" w:hAnsi="宋体" w:eastAsia="宋体" w:cs="宋体"/>
          <w:spacing w:val="5"/>
          <w:sz w:val="28"/>
          <w:szCs w:val="28"/>
        </w:rPr>
        <w:t xml:space="preserve">P280102A/B。经缓存后的异丙醇经异丙醇输送泵P260102A/B送往2#生产车 </w:t>
      </w:r>
      <w:r>
        <w:rPr>
          <w:rFonts w:ascii="宋体" w:hAnsi="宋体" w:eastAsia="宋体" w:cs="宋体"/>
          <w:spacing w:val="-12"/>
          <w:sz w:val="28"/>
          <w:szCs w:val="28"/>
        </w:rPr>
        <w:t>间。</w:t>
      </w:r>
    </w:p>
    <w:p w14:paraId="1400D837">
      <w:pPr>
        <w:spacing w:before="228" w:line="220" w:lineRule="auto"/>
        <w:ind w:left="690"/>
        <w:rPr>
          <w:rFonts w:ascii="宋体" w:hAnsi="宋体" w:eastAsia="宋体" w:cs="宋体"/>
          <w:sz w:val="28"/>
          <w:szCs w:val="28"/>
        </w:rPr>
      </w:pPr>
      <w:r>
        <w:rPr>
          <w:rFonts w:ascii="宋体" w:hAnsi="宋体" w:eastAsia="宋体" w:cs="宋体"/>
          <w:spacing w:val="-3"/>
          <w:sz w:val="28"/>
          <w:szCs w:val="28"/>
        </w:rPr>
        <w:t>（2）异丙醇预处理</w:t>
      </w:r>
    </w:p>
    <w:p w14:paraId="6FE30830">
      <w:pPr>
        <w:pStyle w:val="6"/>
        <w:spacing w:line="311" w:lineRule="auto"/>
      </w:pPr>
    </w:p>
    <w:p w14:paraId="1D66D7C7">
      <w:pPr>
        <w:spacing w:before="92" w:line="353" w:lineRule="auto"/>
        <w:ind w:left="120" w:right="110" w:firstLine="563"/>
        <w:jc w:val="both"/>
        <w:rPr>
          <w:rFonts w:ascii="宋体" w:hAnsi="宋体" w:eastAsia="宋体" w:cs="宋体"/>
          <w:sz w:val="28"/>
          <w:szCs w:val="28"/>
        </w:rPr>
      </w:pPr>
      <w:r>
        <w:rPr>
          <w:rFonts w:ascii="宋体" w:hAnsi="宋体" w:eastAsia="宋体" w:cs="宋体"/>
          <w:spacing w:val="7"/>
          <w:sz w:val="28"/>
          <w:szCs w:val="28"/>
        </w:rPr>
        <w:t>来自原料罐区的异丙醇首先进入</w:t>
      </w:r>
      <w:r>
        <w:rPr>
          <w:rFonts w:ascii="宋体" w:hAnsi="宋体" w:eastAsia="宋体" w:cs="宋体"/>
          <w:sz w:val="28"/>
          <w:szCs w:val="28"/>
        </w:rPr>
        <w:t>IPA</w:t>
      </w:r>
      <w:r>
        <w:rPr>
          <w:rFonts w:ascii="宋体" w:hAnsi="宋体" w:eastAsia="宋体" w:cs="宋体"/>
          <w:spacing w:val="7"/>
          <w:sz w:val="28"/>
          <w:szCs w:val="28"/>
        </w:rPr>
        <w:t>脱水模块U1</w:t>
      </w:r>
      <w:r>
        <w:rPr>
          <w:rFonts w:ascii="宋体" w:hAnsi="宋体" w:eastAsia="宋体" w:cs="宋体"/>
          <w:spacing w:val="6"/>
          <w:sz w:val="28"/>
          <w:szCs w:val="28"/>
        </w:rPr>
        <w:t>20201采用脱水树脂进</w:t>
      </w:r>
      <w:r>
        <w:rPr>
          <w:rFonts w:ascii="宋体" w:hAnsi="宋体" w:eastAsia="宋体" w:cs="宋体"/>
          <w:sz w:val="28"/>
          <w:szCs w:val="28"/>
        </w:rPr>
        <w:t xml:space="preserve"> </w:t>
      </w:r>
      <w:r>
        <w:rPr>
          <w:rFonts w:ascii="宋体" w:hAnsi="宋体" w:eastAsia="宋体" w:cs="宋体"/>
          <w:spacing w:val="23"/>
          <w:sz w:val="28"/>
          <w:szCs w:val="28"/>
        </w:rPr>
        <w:t>行脱水处理。将异丙醇中的水分降至100</w:t>
      </w:r>
      <w:r>
        <w:rPr>
          <w:rFonts w:ascii="宋体" w:hAnsi="宋体" w:eastAsia="宋体" w:cs="宋体"/>
          <w:sz w:val="28"/>
          <w:szCs w:val="28"/>
        </w:rPr>
        <w:t>ppm</w:t>
      </w:r>
      <w:r>
        <w:rPr>
          <w:rFonts w:ascii="宋体" w:hAnsi="宋体" w:eastAsia="宋体" w:cs="宋体"/>
          <w:spacing w:val="-55"/>
          <w:sz w:val="28"/>
          <w:szCs w:val="28"/>
        </w:rPr>
        <w:t xml:space="preserve"> </w:t>
      </w:r>
      <w:r>
        <w:rPr>
          <w:rFonts w:ascii="宋体" w:hAnsi="宋体" w:eastAsia="宋体" w:cs="宋体"/>
          <w:spacing w:val="23"/>
          <w:sz w:val="28"/>
          <w:szCs w:val="28"/>
        </w:rPr>
        <w:t>以下后进入预处理蒸发器</w:t>
      </w:r>
      <w:r>
        <w:rPr>
          <w:rFonts w:ascii="宋体" w:hAnsi="宋体" w:eastAsia="宋体" w:cs="宋体"/>
          <w:sz w:val="28"/>
          <w:szCs w:val="28"/>
        </w:rPr>
        <w:t xml:space="preserve"> </w:t>
      </w:r>
      <w:r>
        <w:rPr>
          <w:rFonts w:ascii="宋体" w:hAnsi="宋体" w:eastAsia="宋体" w:cs="宋体"/>
          <w:spacing w:val="-1"/>
          <w:sz w:val="28"/>
          <w:szCs w:val="28"/>
        </w:rPr>
        <w:t>E120201利用蒸汽进行汽化。汽化器的工作压力</w:t>
      </w:r>
      <w:r>
        <w:rPr>
          <w:rFonts w:ascii="宋体" w:hAnsi="宋体" w:eastAsia="宋体" w:cs="宋体"/>
          <w:spacing w:val="-2"/>
          <w:sz w:val="28"/>
          <w:szCs w:val="28"/>
        </w:rPr>
        <w:t>为-0.1～0.08MPa，工作温度</w:t>
      </w:r>
      <w:r>
        <w:rPr>
          <w:rFonts w:ascii="宋体" w:hAnsi="宋体" w:eastAsia="宋体" w:cs="宋体"/>
          <w:sz w:val="28"/>
          <w:szCs w:val="28"/>
        </w:rPr>
        <w:t xml:space="preserve"> </w:t>
      </w:r>
      <w:r>
        <w:rPr>
          <w:rFonts w:ascii="宋体" w:hAnsi="宋体" w:eastAsia="宋体" w:cs="宋体"/>
          <w:spacing w:val="4"/>
          <w:sz w:val="28"/>
          <w:szCs w:val="28"/>
        </w:rPr>
        <w:t>控制在80℃~85℃,</w:t>
      </w:r>
      <w:r>
        <w:rPr>
          <w:rFonts w:ascii="宋体" w:hAnsi="宋体" w:eastAsia="宋体" w:cs="宋体"/>
          <w:spacing w:val="80"/>
          <w:sz w:val="28"/>
          <w:szCs w:val="28"/>
        </w:rPr>
        <w:t xml:space="preserve"> </w:t>
      </w:r>
      <w:r>
        <w:rPr>
          <w:rFonts w:ascii="宋体" w:hAnsi="宋体" w:eastAsia="宋体" w:cs="宋体"/>
          <w:spacing w:val="4"/>
          <w:sz w:val="28"/>
          <w:szCs w:val="28"/>
        </w:rPr>
        <w:t>纯化后的异丙醇经过冷凝进入中间</w:t>
      </w:r>
      <w:r>
        <w:rPr>
          <w:rFonts w:ascii="宋体" w:hAnsi="宋体" w:eastAsia="宋体" w:cs="宋体"/>
          <w:spacing w:val="3"/>
          <w:sz w:val="28"/>
          <w:szCs w:val="28"/>
        </w:rPr>
        <w:t>缓冲罐V120203内缓</w:t>
      </w:r>
      <w:r>
        <w:rPr>
          <w:rFonts w:ascii="宋体" w:hAnsi="宋体" w:eastAsia="宋体" w:cs="宋体"/>
          <w:sz w:val="28"/>
          <w:szCs w:val="28"/>
        </w:rPr>
        <w:t xml:space="preserve"> </w:t>
      </w:r>
      <w:r>
        <w:rPr>
          <w:rFonts w:ascii="宋体" w:hAnsi="宋体" w:eastAsia="宋体" w:cs="宋体"/>
          <w:spacing w:val="-12"/>
          <w:sz w:val="28"/>
          <w:szCs w:val="28"/>
        </w:rPr>
        <w:t>存。</w:t>
      </w:r>
    </w:p>
    <w:p w14:paraId="516C97EC">
      <w:pPr>
        <w:spacing w:before="233" w:line="220" w:lineRule="auto"/>
        <w:ind w:left="690"/>
        <w:rPr>
          <w:rFonts w:ascii="宋体" w:hAnsi="宋体" w:eastAsia="宋体" w:cs="宋体"/>
          <w:sz w:val="28"/>
          <w:szCs w:val="28"/>
        </w:rPr>
      </w:pPr>
      <w:r>
        <w:rPr>
          <w:rFonts w:ascii="宋体" w:hAnsi="宋体" w:eastAsia="宋体" w:cs="宋体"/>
          <w:spacing w:val="-3"/>
          <w:sz w:val="28"/>
          <w:szCs w:val="28"/>
        </w:rPr>
        <w:t>（3）异丙醇蒸发</w:t>
      </w:r>
    </w:p>
    <w:p w14:paraId="6C6BE3CC">
      <w:pPr>
        <w:pStyle w:val="6"/>
        <w:spacing w:line="308" w:lineRule="auto"/>
      </w:pPr>
    </w:p>
    <w:p w14:paraId="48EE390E">
      <w:pPr>
        <w:spacing w:before="92" w:line="352" w:lineRule="auto"/>
        <w:ind w:left="122" w:right="111" w:firstLine="563"/>
        <w:jc w:val="both"/>
        <w:rPr>
          <w:rFonts w:ascii="宋体" w:hAnsi="宋体" w:eastAsia="宋体" w:cs="宋体"/>
          <w:sz w:val="28"/>
          <w:szCs w:val="28"/>
        </w:rPr>
      </w:pPr>
      <w:r>
        <w:rPr>
          <w:rFonts w:ascii="宋体" w:hAnsi="宋体" w:eastAsia="宋体" w:cs="宋体"/>
          <w:spacing w:val="2"/>
          <w:sz w:val="28"/>
          <w:szCs w:val="28"/>
        </w:rPr>
        <w:t>纯化后的异丙醇经泵P120201输送至</w:t>
      </w:r>
      <w:r>
        <w:rPr>
          <w:rFonts w:ascii="宋体" w:hAnsi="宋体" w:eastAsia="宋体" w:cs="宋体"/>
          <w:sz w:val="28"/>
          <w:szCs w:val="28"/>
        </w:rPr>
        <w:t>IPA</w:t>
      </w:r>
      <w:r>
        <w:rPr>
          <w:rFonts w:ascii="宋体" w:hAnsi="宋体" w:eastAsia="宋体" w:cs="宋体"/>
          <w:spacing w:val="2"/>
          <w:sz w:val="28"/>
          <w:szCs w:val="28"/>
        </w:rPr>
        <w:t>蒸发器E120204中加热</w:t>
      </w:r>
      <w:r>
        <w:rPr>
          <w:rFonts w:ascii="宋体" w:hAnsi="宋体" w:eastAsia="宋体" w:cs="宋体"/>
          <w:spacing w:val="1"/>
          <w:sz w:val="28"/>
          <w:szCs w:val="28"/>
        </w:rPr>
        <w:t>气化，蒸</w:t>
      </w:r>
      <w:r>
        <w:rPr>
          <w:rFonts w:ascii="宋体" w:hAnsi="宋体" w:eastAsia="宋体" w:cs="宋体"/>
          <w:sz w:val="28"/>
          <w:szCs w:val="28"/>
        </w:rPr>
        <w:t xml:space="preserve"> </w:t>
      </w:r>
      <w:r>
        <w:rPr>
          <w:rFonts w:ascii="宋体" w:hAnsi="宋体" w:eastAsia="宋体" w:cs="宋体"/>
          <w:spacing w:val="6"/>
          <w:sz w:val="28"/>
          <w:szCs w:val="28"/>
        </w:rPr>
        <w:t>发器内工作压力为-0.1～0.08</w:t>
      </w:r>
      <w:r>
        <w:rPr>
          <w:rFonts w:ascii="宋体" w:hAnsi="宋体" w:eastAsia="宋体" w:cs="宋体"/>
          <w:sz w:val="28"/>
          <w:szCs w:val="28"/>
        </w:rPr>
        <w:t>MPa</w:t>
      </w:r>
      <w:r>
        <w:rPr>
          <w:rFonts w:ascii="宋体" w:hAnsi="宋体" w:eastAsia="宋体" w:cs="宋体"/>
          <w:spacing w:val="6"/>
          <w:sz w:val="28"/>
          <w:szCs w:val="28"/>
        </w:rPr>
        <w:t>，工作温度控制在80℃~85℃</w:t>
      </w:r>
      <w:r>
        <w:rPr>
          <w:rFonts w:ascii="宋体" w:hAnsi="宋体" w:eastAsia="宋体" w:cs="宋体"/>
          <w:spacing w:val="5"/>
          <w:sz w:val="28"/>
          <w:szCs w:val="28"/>
        </w:rPr>
        <w:t>以内。醇类</w:t>
      </w:r>
      <w:r>
        <w:rPr>
          <w:rFonts w:ascii="宋体" w:hAnsi="宋体" w:eastAsia="宋体" w:cs="宋体"/>
          <w:sz w:val="28"/>
          <w:szCs w:val="28"/>
        </w:rPr>
        <w:t xml:space="preserve"> </w:t>
      </w:r>
      <w:r>
        <w:rPr>
          <w:rFonts w:ascii="宋体" w:hAnsi="宋体" w:eastAsia="宋体" w:cs="宋体"/>
          <w:spacing w:val="-2"/>
          <w:sz w:val="28"/>
          <w:szCs w:val="28"/>
        </w:rPr>
        <w:t>原料与原料中的少量金属离子及固体杂质残留在蒸发器底部，排入</w:t>
      </w:r>
      <w:r>
        <w:rPr>
          <w:rFonts w:ascii="宋体" w:hAnsi="宋体" w:eastAsia="宋体" w:cs="宋体"/>
          <w:spacing w:val="-3"/>
          <w:sz w:val="28"/>
          <w:szCs w:val="28"/>
        </w:rPr>
        <w:t>原料罐区</w:t>
      </w:r>
      <w:r>
        <w:rPr>
          <w:rFonts w:ascii="宋体" w:hAnsi="宋体" w:eastAsia="宋体" w:cs="宋体"/>
          <w:sz w:val="28"/>
          <w:szCs w:val="28"/>
        </w:rPr>
        <w:t xml:space="preserve"> 低级IPA储罐V260102进行缓存，作为</w:t>
      </w:r>
      <w:r>
        <w:rPr>
          <w:rFonts w:ascii="宋体" w:hAnsi="宋体" w:eastAsia="宋体" w:cs="宋体"/>
          <w:spacing w:val="-1"/>
          <w:sz w:val="28"/>
          <w:szCs w:val="28"/>
        </w:rPr>
        <w:t>副产品出售。</w:t>
      </w:r>
    </w:p>
    <w:p w14:paraId="0546E433">
      <w:pPr>
        <w:spacing w:before="233" w:line="220" w:lineRule="auto"/>
        <w:ind w:left="686"/>
        <w:rPr>
          <w:rFonts w:ascii="宋体" w:hAnsi="宋体" w:eastAsia="宋体" w:cs="宋体"/>
          <w:sz w:val="28"/>
          <w:szCs w:val="28"/>
        </w:rPr>
      </w:pPr>
      <w:r>
        <w:rPr>
          <w:rFonts w:ascii="宋体" w:hAnsi="宋体" w:eastAsia="宋体" w:cs="宋体"/>
          <w:spacing w:val="-2"/>
          <w:sz w:val="28"/>
          <w:szCs w:val="28"/>
        </w:rPr>
        <w:t>蒸发产生的气态醇类直接进入蒸馏塔，其根据比</w:t>
      </w:r>
      <w:r>
        <w:rPr>
          <w:rFonts w:ascii="宋体" w:hAnsi="宋体" w:eastAsia="宋体" w:cs="宋体"/>
          <w:spacing w:val="-3"/>
          <w:sz w:val="28"/>
          <w:szCs w:val="28"/>
        </w:rPr>
        <w:t>重差异分离出异丙醇气</w:t>
      </w:r>
    </w:p>
    <w:p w14:paraId="61F115B8">
      <w:pPr>
        <w:spacing w:line="220" w:lineRule="auto"/>
        <w:rPr>
          <w:rFonts w:ascii="宋体" w:hAnsi="宋体" w:eastAsia="宋体" w:cs="宋体"/>
          <w:sz w:val="28"/>
          <w:szCs w:val="28"/>
        </w:rPr>
        <w:sectPr>
          <w:headerReference r:id="rId11" w:type="default"/>
          <w:footerReference r:id="rId12" w:type="default"/>
          <w:pgSz w:w="11907" w:h="16839"/>
          <w:pgMar w:top="1120" w:right="1018" w:bottom="946" w:left="1476" w:header="809" w:footer="685" w:gutter="0"/>
          <w:cols w:space="720" w:num="1"/>
        </w:sectPr>
      </w:pPr>
    </w:p>
    <w:p w14:paraId="7043C74F">
      <w:pPr>
        <w:pStyle w:val="6"/>
        <w:spacing w:line="242" w:lineRule="auto"/>
      </w:pPr>
    </w:p>
    <w:p w14:paraId="0A600915">
      <w:pPr>
        <w:spacing w:before="91" w:line="353" w:lineRule="auto"/>
        <w:ind w:left="117" w:right="112" w:firstLine="6"/>
        <w:jc w:val="both"/>
        <w:rPr>
          <w:rFonts w:ascii="宋体" w:hAnsi="宋体" w:eastAsia="宋体" w:cs="宋体"/>
          <w:sz w:val="28"/>
          <w:szCs w:val="28"/>
        </w:rPr>
      </w:pPr>
      <w:r>
        <w:rPr>
          <w:rFonts w:ascii="宋体" w:hAnsi="宋体" w:eastAsia="宋体" w:cs="宋体"/>
          <w:spacing w:val="2"/>
          <w:sz w:val="28"/>
          <w:szCs w:val="28"/>
        </w:rPr>
        <w:t>体中含有的各类杂质，蒸馏塔内工作压强为-0.1～0.08</w:t>
      </w:r>
      <w:r>
        <w:rPr>
          <w:rFonts w:ascii="宋体" w:hAnsi="宋体" w:eastAsia="宋体" w:cs="宋体"/>
          <w:sz w:val="28"/>
          <w:szCs w:val="28"/>
        </w:rPr>
        <w:t>MPa</w:t>
      </w:r>
      <w:r>
        <w:rPr>
          <w:rFonts w:ascii="宋体" w:hAnsi="宋体" w:eastAsia="宋体" w:cs="宋体"/>
          <w:spacing w:val="2"/>
          <w:sz w:val="28"/>
          <w:szCs w:val="28"/>
        </w:rPr>
        <w:t>，工作温度控制</w:t>
      </w:r>
      <w:r>
        <w:rPr>
          <w:rFonts w:ascii="宋体" w:hAnsi="宋体" w:eastAsia="宋体" w:cs="宋体"/>
          <w:spacing w:val="3"/>
          <w:sz w:val="28"/>
          <w:szCs w:val="28"/>
        </w:rPr>
        <w:t xml:space="preserve"> </w:t>
      </w:r>
      <w:r>
        <w:rPr>
          <w:rFonts w:ascii="宋体" w:hAnsi="宋体" w:eastAsia="宋体" w:cs="宋体"/>
          <w:spacing w:val="23"/>
          <w:sz w:val="28"/>
          <w:szCs w:val="28"/>
        </w:rPr>
        <w:t>在82</w:t>
      </w:r>
      <w:r>
        <w:rPr>
          <w:rFonts w:ascii="宋体" w:hAnsi="宋体" w:eastAsia="宋体" w:cs="宋体"/>
          <w:spacing w:val="-72"/>
          <w:sz w:val="28"/>
          <w:szCs w:val="28"/>
        </w:rPr>
        <w:t xml:space="preserve"> </w:t>
      </w:r>
      <w:r>
        <w:rPr>
          <w:rFonts w:ascii="宋体" w:hAnsi="宋体" w:eastAsia="宋体" w:cs="宋体"/>
          <w:spacing w:val="23"/>
          <w:sz w:val="28"/>
          <w:szCs w:val="28"/>
        </w:rPr>
        <w:t>℃以内。塔顶气态高纯醇类通过冷凝器冷凝液化进入成品静置罐</w:t>
      </w:r>
      <w:r>
        <w:rPr>
          <w:rFonts w:ascii="宋体" w:hAnsi="宋体" w:eastAsia="宋体" w:cs="宋体"/>
          <w:sz w:val="28"/>
          <w:szCs w:val="28"/>
        </w:rPr>
        <w:t xml:space="preserve"> </w:t>
      </w:r>
      <w:r>
        <w:rPr>
          <w:rFonts w:ascii="宋体" w:hAnsi="宋体" w:eastAsia="宋体" w:cs="宋体"/>
          <w:spacing w:val="2"/>
          <w:sz w:val="28"/>
          <w:szCs w:val="28"/>
        </w:rPr>
        <w:t>V120204中缓存，蒸馏过程中未冷凝的醇废气进入废气处理设施处理达标后</w:t>
      </w:r>
      <w:r>
        <w:rPr>
          <w:rFonts w:ascii="宋体" w:hAnsi="宋体" w:eastAsia="宋体" w:cs="宋体"/>
          <w:spacing w:val="6"/>
          <w:sz w:val="28"/>
          <w:szCs w:val="28"/>
        </w:rPr>
        <w:t xml:space="preserve"> </w:t>
      </w:r>
      <w:r>
        <w:rPr>
          <w:rFonts w:ascii="宋体" w:hAnsi="宋体" w:eastAsia="宋体" w:cs="宋体"/>
          <w:spacing w:val="-10"/>
          <w:sz w:val="28"/>
          <w:szCs w:val="28"/>
        </w:rPr>
        <w:t>排放。</w:t>
      </w:r>
    </w:p>
    <w:p w14:paraId="387D245D">
      <w:pPr>
        <w:spacing w:before="230" w:line="220" w:lineRule="auto"/>
        <w:ind w:left="691"/>
        <w:rPr>
          <w:rFonts w:ascii="宋体" w:hAnsi="宋体" w:eastAsia="宋体" w:cs="宋体"/>
          <w:sz w:val="28"/>
          <w:szCs w:val="28"/>
        </w:rPr>
      </w:pPr>
      <w:r>
        <w:rPr>
          <w:rFonts w:ascii="宋体" w:hAnsi="宋体" w:eastAsia="宋体" w:cs="宋体"/>
          <w:spacing w:val="-2"/>
          <w:sz w:val="28"/>
          <w:szCs w:val="28"/>
        </w:rPr>
        <w:t>（4）异丙醇过滤灌装</w:t>
      </w:r>
    </w:p>
    <w:p w14:paraId="58829B1D">
      <w:pPr>
        <w:pStyle w:val="6"/>
        <w:spacing w:line="308" w:lineRule="auto"/>
      </w:pPr>
    </w:p>
    <w:p w14:paraId="563CB111">
      <w:pPr>
        <w:spacing w:before="91" w:line="352" w:lineRule="auto"/>
        <w:ind w:left="123" w:right="109" w:firstLine="561"/>
        <w:jc w:val="both"/>
        <w:rPr>
          <w:rFonts w:ascii="宋体" w:hAnsi="宋体" w:eastAsia="宋体" w:cs="宋体"/>
          <w:sz w:val="28"/>
          <w:szCs w:val="28"/>
        </w:rPr>
      </w:pPr>
      <w:r>
        <w:rPr>
          <w:rFonts w:ascii="宋体" w:hAnsi="宋体" w:eastAsia="宋体" w:cs="宋体"/>
          <w:spacing w:val="6"/>
          <w:sz w:val="28"/>
          <w:szCs w:val="28"/>
        </w:rPr>
        <w:t>经成品静置罐V120204中缓存后异丙醇自流进入异丙醇精</w:t>
      </w:r>
      <w:r>
        <w:rPr>
          <w:rFonts w:ascii="宋体" w:hAnsi="宋体" w:eastAsia="宋体" w:cs="宋体"/>
          <w:spacing w:val="5"/>
          <w:sz w:val="28"/>
          <w:szCs w:val="28"/>
        </w:rPr>
        <w:t>制罐V120205</w:t>
      </w:r>
      <w:r>
        <w:rPr>
          <w:rFonts w:ascii="宋体" w:hAnsi="宋体" w:eastAsia="宋体" w:cs="宋体"/>
          <w:sz w:val="28"/>
          <w:szCs w:val="28"/>
        </w:rPr>
        <w:t xml:space="preserve"> </w:t>
      </w:r>
      <w:r>
        <w:rPr>
          <w:rFonts w:ascii="宋体" w:hAnsi="宋体" w:eastAsia="宋体" w:cs="宋体"/>
          <w:spacing w:val="-2"/>
          <w:sz w:val="28"/>
          <w:szCs w:val="28"/>
        </w:rPr>
        <w:t>缓存，液态醇进入成品过滤器S120203A/B中过滤，去除其中剩余的少量金属</w:t>
      </w:r>
      <w:r>
        <w:rPr>
          <w:rFonts w:ascii="宋体" w:hAnsi="宋体" w:eastAsia="宋体" w:cs="宋体"/>
          <w:spacing w:val="11"/>
          <w:sz w:val="28"/>
          <w:szCs w:val="28"/>
        </w:rPr>
        <w:t xml:space="preserve"> </w:t>
      </w:r>
      <w:r>
        <w:rPr>
          <w:rFonts w:ascii="宋体" w:hAnsi="宋体" w:eastAsia="宋体" w:cs="宋体"/>
          <w:spacing w:val="2"/>
          <w:sz w:val="28"/>
          <w:szCs w:val="28"/>
        </w:rPr>
        <w:t>离子。制备完成的产品浓度均为99.7%以上。合格后送往成品罐区或者各灌</w:t>
      </w:r>
      <w:r>
        <w:rPr>
          <w:rFonts w:ascii="宋体" w:hAnsi="宋体" w:eastAsia="宋体" w:cs="宋体"/>
          <w:spacing w:val="8"/>
          <w:sz w:val="28"/>
          <w:szCs w:val="28"/>
        </w:rPr>
        <w:t xml:space="preserve"> </w:t>
      </w:r>
      <w:r>
        <w:rPr>
          <w:rFonts w:ascii="宋体" w:hAnsi="宋体" w:eastAsia="宋体" w:cs="宋体"/>
          <w:spacing w:val="-2"/>
          <w:sz w:val="28"/>
          <w:szCs w:val="28"/>
        </w:rPr>
        <w:t>装点进行灌装，不合格品排入缓冲罐进行二次提纯。</w:t>
      </w:r>
    </w:p>
    <w:p w14:paraId="666216E4">
      <w:pPr>
        <w:spacing w:before="231" w:line="345" w:lineRule="auto"/>
        <w:ind w:left="128" w:right="115" w:firstLine="558"/>
        <w:rPr>
          <w:rFonts w:ascii="宋体" w:hAnsi="宋体" w:eastAsia="宋体" w:cs="宋体"/>
          <w:sz w:val="28"/>
          <w:szCs w:val="28"/>
        </w:rPr>
      </w:pPr>
      <w:r>
        <w:rPr>
          <w:rFonts w:ascii="宋体" w:hAnsi="宋体" w:eastAsia="宋体" w:cs="宋体"/>
          <w:spacing w:val="2"/>
          <w:sz w:val="28"/>
          <w:szCs w:val="28"/>
        </w:rPr>
        <w:t xml:space="preserve">2#车间配置异丙醇自动灌装200升桶系统一套，灌装区洁净室等级为千 </w:t>
      </w:r>
      <w:r>
        <w:rPr>
          <w:rFonts w:ascii="宋体" w:hAnsi="宋体" w:eastAsia="宋体" w:cs="宋体"/>
          <w:spacing w:val="-2"/>
          <w:sz w:val="28"/>
          <w:szCs w:val="28"/>
        </w:rPr>
        <w:t>级，面积约280平方。</w:t>
      </w:r>
    </w:p>
    <w:p w14:paraId="28A854CD">
      <w:pPr>
        <w:spacing w:before="234" w:line="471" w:lineRule="auto"/>
        <w:ind w:left="686" w:right="2060" w:firstLine="1"/>
        <w:rPr>
          <w:rFonts w:ascii="宋体" w:hAnsi="宋体" w:eastAsia="宋体" w:cs="宋体"/>
          <w:sz w:val="28"/>
          <w:szCs w:val="28"/>
        </w:rPr>
      </w:pPr>
      <w:r>
        <w:rPr>
          <w:rFonts w:ascii="宋体" w:hAnsi="宋体" w:eastAsia="宋体" w:cs="宋体"/>
          <w:spacing w:val="-3"/>
          <w:sz w:val="28"/>
          <w:szCs w:val="28"/>
        </w:rPr>
        <w:t>洁净灌装区设置槽车自动灌装机一套，用于槽车灌装。</w:t>
      </w:r>
      <w:r>
        <w:rPr>
          <w:rFonts w:ascii="宋体" w:hAnsi="宋体" w:eastAsia="宋体" w:cs="宋体"/>
          <w:spacing w:val="15"/>
          <w:sz w:val="28"/>
          <w:szCs w:val="28"/>
        </w:rPr>
        <w:t xml:space="preserve"> </w:t>
      </w:r>
      <w:r>
        <w:rPr>
          <w:rFonts w:ascii="宋体" w:hAnsi="宋体" w:eastAsia="宋体" w:cs="宋体"/>
          <w:spacing w:val="-5"/>
          <w:sz w:val="28"/>
          <w:szCs w:val="28"/>
        </w:rPr>
        <w:t>工艺流程示意图如下：</w:t>
      </w:r>
    </w:p>
    <w:p w14:paraId="3042DD3C">
      <w:pPr>
        <w:spacing w:before="88" w:line="1589" w:lineRule="exact"/>
        <w:ind w:firstLine="112"/>
      </w:pPr>
      <w:r>
        <w:rPr>
          <w:position w:val="-31"/>
        </w:rPr>
        <w:drawing>
          <wp:inline distT="0" distB="0" distL="0" distR="0">
            <wp:extent cx="5411470" cy="1009015"/>
            <wp:effectExtent l="0" t="0" r="13970" b="1206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
                    <a:stretch>
                      <a:fillRect/>
                    </a:stretch>
                  </pic:blipFill>
                  <pic:spPr>
                    <a:xfrm>
                      <a:off x="0" y="0"/>
                      <a:ext cx="5411470" cy="1009015"/>
                    </a:xfrm>
                    <a:prstGeom prst="rect">
                      <a:avLst/>
                    </a:prstGeom>
                  </pic:spPr>
                </pic:pic>
              </a:graphicData>
            </a:graphic>
          </wp:inline>
        </w:drawing>
      </w:r>
    </w:p>
    <w:p w14:paraId="65AD527F">
      <w:pPr>
        <w:pStyle w:val="6"/>
        <w:spacing w:line="303" w:lineRule="auto"/>
      </w:pPr>
    </w:p>
    <w:p w14:paraId="5D26A975">
      <w:pPr>
        <w:spacing w:before="78" w:line="419" w:lineRule="auto"/>
        <w:ind w:left="2935" w:right="2447" w:firstLine="24"/>
        <w:rPr>
          <w:rFonts w:ascii="宋体" w:hAnsi="宋体" w:eastAsia="宋体" w:cs="宋体"/>
          <w:sz w:val="24"/>
          <w:szCs w:val="24"/>
        </w:rPr>
      </w:pPr>
      <w:r>
        <w:rPr>
          <w:rFonts w:ascii="宋体" w:hAnsi="宋体" w:eastAsia="宋体" w:cs="宋体"/>
          <w:b/>
          <w:bCs/>
          <w:spacing w:val="-6"/>
          <w:sz w:val="24"/>
          <w:szCs w:val="24"/>
        </w:rPr>
        <w:t>图</w:t>
      </w:r>
      <w:r>
        <w:rPr>
          <w:rFonts w:ascii="宋体" w:hAnsi="宋体" w:eastAsia="宋体" w:cs="宋体"/>
          <w:spacing w:val="-44"/>
          <w:sz w:val="24"/>
          <w:szCs w:val="24"/>
        </w:rPr>
        <w:t xml:space="preserve"> </w:t>
      </w:r>
      <w:r>
        <w:rPr>
          <w:rFonts w:ascii="宋体" w:hAnsi="宋体" w:eastAsia="宋体" w:cs="宋体"/>
          <w:b/>
          <w:bCs/>
          <w:spacing w:val="-6"/>
          <w:sz w:val="24"/>
          <w:szCs w:val="24"/>
        </w:rPr>
        <w:t>2.6.1--3</w:t>
      </w:r>
      <w:r>
        <w:rPr>
          <w:rFonts w:ascii="宋体" w:hAnsi="宋体" w:eastAsia="宋体" w:cs="宋体"/>
          <w:spacing w:val="37"/>
          <w:sz w:val="24"/>
          <w:szCs w:val="24"/>
        </w:rPr>
        <w:t xml:space="preserve"> </w:t>
      </w:r>
      <w:r>
        <w:rPr>
          <w:rFonts w:ascii="宋体" w:hAnsi="宋体" w:eastAsia="宋体" w:cs="宋体"/>
          <w:b/>
          <w:bCs/>
          <w:spacing w:val="-6"/>
          <w:sz w:val="24"/>
          <w:szCs w:val="24"/>
        </w:rPr>
        <w:t>电子级异丙醇流程方框图</w:t>
      </w:r>
      <w:r>
        <w:rPr>
          <w:rFonts w:ascii="宋体" w:hAnsi="宋体" w:eastAsia="宋体" w:cs="宋体"/>
          <w:sz w:val="24"/>
          <w:szCs w:val="24"/>
        </w:rPr>
        <w:t xml:space="preserve"> </w:t>
      </w:r>
      <w:r>
        <w:rPr>
          <w:rFonts w:ascii="宋体" w:hAnsi="宋体" w:eastAsia="宋体" w:cs="宋体"/>
          <w:b/>
          <w:bCs/>
          <w:spacing w:val="-5"/>
          <w:sz w:val="24"/>
          <w:szCs w:val="24"/>
        </w:rPr>
        <w:t>表</w:t>
      </w:r>
      <w:r>
        <w:rPr>
          <w:rFonts w:ascii="宋体" w:hAnsi="宋体" w:eastAsia="宋体" w:cs="宋体"/>
          <w:spacing w:val="-40"/>
          <w:sz w:val="24"/>
          <w:szCs w:val="24"/>
        </w:rPr>
        <w:t xml:space="preserve"> </w:t>
      </w:r>
      <w:r>
        <w:rPr>
          <w:rFonts w:ascii="宋体" w:hAnsi="宋体" w:eastAsia="宋体" w:cs="宋体"/>
          <w:b/>
          <w:bCs/>
          <w:spacing w:val="-5"/>
          <w:sz w:val="24"/>
          <w:szCs w:val="24"/>
        </w:rPr>
        <w:t>2.6.1--3</w:t>
      </w:r>
      <w:r>
        <w:rPr>
          <w:rFonts w:ascii="宋体" w:hAnsi="宋体" w:eastAsia="宋体" w:cs="宋体"/>
          <w:spacing w:val="38"/>
          <w:sz w:val="24"/>
          <w:szCs w:val="24"/>
        </w:rPr>
        <w:t xml:space="preserve"> </w:t>
      </w:r>
      <w:r>
        <w:rPr>
          <w:rFonts w:ascii="宋体" w:hAnsi="宋体" w:eastAsia="宋体" w:cs="宋体"/>
          <w:b/>
          <w:bCs/>
          <w:spacing w:val="-5"/>
          <w:sz w:val="24"/>
          <w:szCs w:val="24"/>
        </w:rPr>
        <w:t>电子级异丙醇物料平衡表</w:t>
      </w:r>
    </w:p>
    <w:tbl>
      <w:tblPr>
        <w:tblStyle w:val="21"/>
        <w:tblW w:w="9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2095"/>
        <w:gridCol w:w="1408"/>
        <w:gridCol w:w="1384"/>
        <w:gridCol w:w="1384"/>
        <w:gridCol w:w="2274"/>
      </w:tblGrid>
      <w:tr w14:paraId="58CE9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2" w:type="dxa"/>
            <w:vAlign w:val="top"/>
          </w:tcPr>
          <w:p w14:paraId="3C8D16F6">
            <w:pPr>
              <w:pStyle w:val="22"/>
              <w:keepNext w:val="0"/>
              <w:keepLines w:val="0"/>
              <w:suppressLineNumbers w:val="0"/>
              <w:spacing w:before="67" w:beforeAutospacing="0" w:after="0" w:afterAutospacing="0" w:line="222" w:lineRule="auto"/>
              <w:ind w:left="225" w:right="0"/>
              <w:rPr>
                <w:rFonts w:hint="default"/>
              </w:rPr>
            </w:pPr>
            <w:r>
              <w:rPr>
                <w:rFonts w:hint="default"/>
                <w:spacing w:val="-2"/>
              </w:rPr>
              <w:t>序号</w:t>
            </w:r>
          </w:p>
        </w:tc>
        <w:tc>
          <w:tcPr>
            <w:tcW w:w="3503" w:type="dxa"/>
            <w:gridSpan w:val="2"/>
            <w:vAlign w:val="top"/>
          </w:tcPr>
          <w:p w14:paraId="76C132CB">
            <w:pPr>
              <w:pStyle w:val="22"/>
              <w:keepNext w:val="0"/>
              <w:keepLines w:val="0"/>
              <w:suppressLineNumbers w:val="0"/>
              <w:spacing w:before="67" w:beforeAutospacing="0" w:after="0" w:afterAutospacing="0" w:line="222" w:lineRule="auto"/>
              <w:ind w:left="1543" w:right="0"/>
              <w:rPr>
                <w:rFonts w:hint="default"/>
              </w:rPr>
            </w:pPr>
            <w:r>
              <w:rPr>
                <w:rFonts w:hint="default"/>
                <w:spacing w:val="-2"/>
              </w:rPr>
              <w:t>入方</w:t>
            </w:r>
          </w:p>
        </w:tc>
        <w:tc>
          <w:tcPr>
            <w:tcW w:w="5042" w:type="dxa"/>
            <w:gridSpan w:val="3"/>
            <w:vAlign w:val="top"/>
          </w:tcPr>
          <w:p w14:paraId="02BCFEA3">
            <w:pPr>
              <w:pStyle w:val="22"/>
              <w:keepNext w:val="0"/>
              <w:keepLines w:val="0"/>
              <w:suppressLineNumbers w:val="0"/>
              <w:spacing w:before="67" w:beforeAutospacing="0" w:after="0" w:afterAutospacing="0" w:line="222" w:lineRule="auto"/>
              <w:ind w:left="2332" w:right="0"/>
              <w:rPr>
                <w:rFonts w:hint="default"/>
              </w:rPr>
            </w:pPr>
            <w:r>
              <w:rPr>
                <w:rFonts w:hint="default"/>
                <w:spacing w:val="-7"/>
              </w:rPr>
              <w:t>出方</w:t>
            </w:r>
          </w:p>
        </w:tc>
      </w:tr>
      <w:tr w14:paraId="1B22A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2" w:type="dxa"/>
            <w:vAlign w:val="top"/>
          </w:tcPr>
          <w:p w14:paraId="4C31C22E">
            <w:pPr>
              <w:keepNext w:val="0"/>
              <w:keepLines w:val="0"/>
              <w:suppressLineNumbers w:val="0"/>
              <w:spacing w:before="0" w:beforeAutospacing="0" w:after="0" w:afterAutospacing="0"/>
              <w:ind w:left="0" w:right="0"/>
              <w:rPr>
                <w:rFonts w:hint="default" w:ascii="Arial"/>
                <w:sz w:val="21"/>
              </w:rPr>
            </w:pPr>
          </w:p>
        </w:tc>
        <w:tc>
          <w:tcPr>
            <w:tcW w:w="2095" w:type="dxa"/>
            <w:vAlign w:val="top"/>
          </w:tcPr>
          <w:p w14:paraId="1B426B0B">
            <w:pPr>
              <w:pStyle w:val="22"/>
              <w:keepNext w:val="0"/>
              <w:keepLines w:val="0"/>
              <w:suppressLineNumbers w:val="0"/>
              <w:spacing w:before="64" w:beforeAutospacing="0" w:after="0" w:afterAutospacing="0" w:line="223" w:lineRule="auto"/>
              <w:ind w:left="843" w:right="0"/>
              <w:rPr>
                <w:rFonts w:hint="default"/>
              </w:rPr>
            </w:pPr>
            <w:r>
              <w:rPr>
                <w:rFonts w:hint="default"/>
                <w:spacing w:val="-3"/>
              </w:rPr>
              <w:t>名称</w:t>
            </w:r>
          </w:p>
        </w:tc>
        <w:tc>
          <w:tcPr>
            <w:tcW w:w="1408" w:type="dxa"/>
            <w:vAlign w:val="top"/>
          </w:tcPr>
          <w:p w14:paraId="65733A0F">
            <w:pPr>
              <w:pStyle w:val="22"/>
              <w:keepNext w:val="0"/>
              <w:keepLines w:val="0"/>
              <w:suppressLineNumbers w:val="0"/>
              <w:spacing w:before="64" w:beforeAutospacing="0" w:after="0" w:afterAutospacing="0" w:line="221" w:lineRule="auto"/>
              <w:ind w:left="236" w:right="0"/>
              <w:rPr>
                <w:rFonts w:hint="default"/>
              </w:rPr>
            </w:pPr>
            <w:r>
              <w:rPr>
                <w:rFonts w:hint="default"/>
                <w:spacing w:val="-1"/>
              </w:rPr>
              <w:t>数量(t/a)</w:t>
            </w:r>
          </w:p>
        </w:tc>
        <w:tc>
          <w:tcPr>
            <w:tcW w:w="1384" w:type="dxa"/>
            <w:vAlign w:val="top"/>
          </w:tcPr>
          <w:p w14:paraId="6A6332E6">
            <w:pPr>
              <w:pStyle w:val="22"/>
              <w:keepNext w:val="0"/>
              <w:keepLines w:val="0"/>
              <w:suppressLineNumbers w:val="0"/>
              <w:spacing w:before="64" w:beforeAutospacing="0" w:after="0" w:afterAutospacing="0" w:line="223" w:lineRule="auto"/>
              <w:ind w:left="489" w:right="0"/>
              <w:rPr>
                <w:rFonts w:hint="default"/>
              </w:rPr>
            </w:pPr>
            <w:r>
              <w:rPr>
                <w:rFonts w:hint="default"/>
                <w:spacing w:val="-3"/>
              </w:rPr>
              <w:t>名称</w:t>
            </w:r>
          </w:p>
        </w:tc>
        <w:tc>
          <w:tcPr>
            <w:tcW w:w="1384" w:type="dxa"/>
            <w:vAlign w:val="top"/>
          </w:tcPr>
          <w:p w14:paraId="51F55BEE">
            <w:pPr>
              <w:keepNext w:val="0"/>
              <w:keepLines w:val="0"/>
              <w:suppressLineNumbers w:val="0"/>
              <w:spacing w:before="0" w:beforeAutospacing="0" w:after="0" w:afterAutospacing="0"/>
              <w:ind w:left="0" w:right="0"/>
              <w:rPr>
                <w:rFonts w:hint="default" w:ascii="Arial"/>
                <w:sz w:val="21"/>
              </w:rPr>
            </w:pPr>
          </w:p>
        </w:tc>
        <w:tc>
          <w:tcPr>
            <w:tcW w:w="2274" w:type="dxa"/>
            <w:vAlign w:val="top"/>
          </w:tcPr>
          <w:p w14:paraId="0603C683">
            <w:pPr>
              <w:pStyle w:val="22"/>
              <w:keepNext w:val="0"/>
              <w:keepLines w:val="0"/>
              <w:suppressLineNumbers w:val="0"/>
              <w:spacing w:before="64" w:beforeAutospacing="0" w:after="0" w:afterAutospacing="0" w:line="221" w:lineRule="auto"/>
              <w:ind w:left="670" w:right="0"/>
              <w:rPr>
                <w:rFonts w:hint="default"/>
              </w:rPr>
            </w:pPr>
            <w:r>
              <w:rPr>
                <w:rFonts w:hint="default"/>
                <w:spacing w:val="-1"/>
              </w:rPr>
              <w:t>数量(t/a)</w:t>
            </w:r>
          </w:p>
        </w:tc>
      </w:tr>
      <w:tr w14:paraId="34AC7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2" w:type="dxa"/>
            <w:vAlign w:val="top"/>
          </w:tcPr>
          <w:p w14:paraId="31D99A45">
            <w:pPr>
              <w:pStyle w:val="22"/>
              <w:keepNext w:val="0"/>
              <w:keepLines w:val="0"/>
              <w:suppressLineNumbers w:val="0"/>
              <w:spacing w:before="99" w:beforeAutospacing="0" w:after="0" w:afterAutospacing="0" w:line="183" w:lineRule="auto"/>
              <w:ind w:left="398" w:right="0"/>
              <w:rPr>
                <w:rFonts w:hint="default"/>
              </w:rPr>
            </w:pPr>
            <w:r>
              <w:rPr>
                <w:rFonts w:hint="default"/>
              </w:rPr>
              <w:t>1</w:t>
            </w:r>
          </w:p>
        </w:tc>
        <w:tc>
          <w:tcPr>
            <w:tcW w:w="2095" w:type="dxa"/>
            <w:vAlign w:val="top"/>
          </w:tcPr>
          <w:p w14:paraId="7FC32239">
            <w:pPr>
              <w:pStyle w:val="22"/>
              <w:keepNext w:val="0"/>
              <w:keepLines w:val="0"/>
              <w:suppressLineNumbers w:val="0"/>
              <w:spacing w:before="64" w:beforeAutospacing="0" w:after="0" w:afterAutospacing="0" w:line="221" w:lineRule="auto"/>
              <w:ind w:left="264" w:right="0"/>
              <w:rPr>
                <w:rFonts w:hint="default"/>
              </w:rPr>
            </w:pPr>
            <w:r>
              <w:rPr>
                <w:rFonts w:hint="default"/>
                <w:spacing w:val="-1"/>
              </w:rPr>
              <w:t>异丙醇（99.5%）</w:t>
            </w:r>
          </w:p>
        </w:tc>
        <w:tc>
          <w:tcPr>
            <w:tcW w:w="1408" w:type="dxa"/>
            <w:vAlign w:val="top"/>
          </w:tcPr>
          <w:p w14:paraId="13A088A3">
            <w:pPr>
              <w:pStyle w:val="22"/>
              <w:keepNext w:val="0"/>
              <w:keepLines w:val="0"/>
              <w:suppressLineNumbers w:val="0"/>
              <w:spacing w:before="99" w:beforeAutospacing="0" w:after="0" w:afterAutospacing="0" w:line="183" w:lineRule="auto"/>
              <w:ind w:left="197" w:right="0"/>
              <w:rPr>
                <w:rFonts w:hint="default"/>
              </w:rPr>
            </w:pPr>
            <w:r>
              <w:rPr>
                <w:rFonts w:hint="default"/>
                <w:spacing w:val="-3"/>
              </w:rPr>
              <w:t>15088.5075</w:t>
            </w:r>
          </w:p>
        </w:tc>
        <w:tc>
          <w:tcPr>
            <w:tcW w:w="1384" w:type="dxa"/>
            <w:vAlign w:val="top"/>
          </w:tcPr>
          <w:p w14:paraId="6B2B2D02">
            <w:pPr>
              <w:pStyle w:val="22"/>
              <w:keepNext w:val="0"/>
              <w:keepLines w:val="0"/>
              <w:suppressLineNumbers w:val="0"/>
              <w:spacing w:before="64" w:beforeAutospacing="0" w:after="0" w:afterAutospacing="0" w:line="221" w:lineRule="auto"/>
              <w:ind w:left="487" w:right="0"/>
              <w:rPr>
                <w:rFonts w:hint="default"/>
              </w:rPr>
            </w:pPr>
            <w:r>
              <w:rPr>
                <w:rFonts w:hint="default"/>
                <w:spacing w:val="-2"/>
              </w:rPr>
              <w:t>产品</w:t>
            </w:r>
          </w:p>
        </w:tc>
        <w:tc>
          <w:tcPr>
            <w:tcW w:w="1384" w:type="dxa"/>
            <w:vAlign w:val="top"/>
          </w:tcPr>
          <w:p w14:paraId="01810DF0">
            <w:pPr>
              <w:pStyle w:val="22"/>
              <w:keepNext w:val="0"/>
              <w:keepLines w:val="0"/>
              <w:suppressLineNumbers w:val="0"/>
              <w:spacing w:before="64" w:beforeAutospacing="0" w:after="0" w:afterAutospacing="0" w:line="221" w:lineRule="auto"/>
              <w:ind w:left="385" w:right="0"/>
              <w:rPr>
                <w:rFonts w:hint="default"/>
              </w:rPr>
            </w:pPr>
            <w:r>
              <w:rPr>
                <w:rFonts w:hint="default"/>
                <w:spacing w:val="-2"/>
              </w:rPr>
              <w:t>异丙醇</w:t>
            </w:r>
          </w:p>
        </w:tc>
        <w:tc>
          <w:tcPr>
            <w:tcW w:w="2274" w:type="dxa"/>
            <w:vAlign w:val="top"/>
          </w:tcPr>
          <w:p w14:paraId="427819B2">
            <w:pPr>
              <w:pStyle w:val="22"/>
              <w:keepNext w:val="0"/>
              <w:keepLines w:val="0"/>
              <w:suppressLineNumbers w:val="0"/>
              <w:spacing w:before="99" w:beforeAutospacing="0" w:after="0" w:afterAutospacing="0" w:line="183" w:lineRule="auto"/>
              <w:ind w:left="894" w:right="0"/>
              <w:rPr>
                <w:rFonts w:hint="default"/>
              </w:rPr>
            </w:pPr>
            <w:r>
              <w:rPr>
                <w:rFonts w:hint="default"/>
                <w:spacing w:val="-4"/>
              </w:rPr>
              <w:t>15000</w:t>
            </w:r>
          </w:p>
        </w:tc>
      </w:tr>
      <w:tr w14:paraId="6B7F0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2" w:type="dxa"/>
            <w:vAlign w:val="top"/>
          </w:tcPr>
          <w:p w14:paraId="1309C7C0">
            <w:pPr>
              <w:keepNext w:val="0"/>
              <w:keepLines w:val="0"/>
              <w:suppressLineNumbers w:val="0"/>
              <w:spacing w:before="0" w:beforeAutospacing="0" w:after="0" w:afterAutospacing="0"/>
              <w:ind w:left="0" w:right="0"/>
              <w:rPr>
                <w:rFonts w:hint="default" w:ascii="Arial"/>
                <w:sz w:val="21"/>
              </w:rPr>
            </w:pPr>
          </w:p>
        </w:tc>
        <w:tc>
          <w:tcPr>
            <w:tcW w:w="2095" w:type="dxa"/>
            <w:vAlign w:val="top"/>
          </w:tcPr>
          <w:p w14:paraId="0B4A13E6">
            <w:pPr>
              <w:keepNext w:val="0"/>
              <w:keepLines w:val="0"/>
              <w:suppressLineNumbers w:val="0"/>
              <w:spacing w:before="0" w:beforeAutospacing="0" w:after="0" w:afterAutospacing="0"/>
              <w:ind w:left="0" w:right="0"/>
              <w:rPr>
                <w:rFonts w:hint="default" w:ascii="Arial"/>
                <w:sz w:val="21"/>
              </w:rPr>
            </w:pPr>
          </w:p>
        </w:tc>
        <w:tc>
          <w:tcPr>
            <w:tcW w:w="1408" w:type="dxa"/>
            <w:vAlign w:val="top"/>
          </w:tcPr>
          <w:p w14:paraId="3DAF0321">
            <w:pPr>
              <w:keepNext w:val="0"/>
              <w:keepLines w:val="0"/>
              <w:suppressLineNumbers w:val="0"/>
              <w:spacing w:before="0" w:beforeAutospacing="0" w:after="0" w:afterAutospacing="0"/>
              <w:ind w:left="0" w:right="0"/>
              <w:rPr>
                <w:rFonts w:hint="default" w:ascii="Arial"/>
                <w:sz w:val="21"/>
              </w:rPr>
            </w:pPr>
          </w:p>
        </w:tc>
        <w:tc>
          <w:tcPr>
            <w:tcW w:w="1384" w:type="dxa"/>
            <w:vAlign w:val="top"/>
          </w:tcPr>
          <w:p w14:paraId="4993F4C3">
            <w:pPr>
              <w:pStyle w:val="22"/>
              <w:keepNext w:val="0"/>
              <w:keepLines w:val="0"/>
              <w:suppressLineNumbers w:val="0"/>
              <w:spacing w:before="65" w:beforeAutospacing="0" w:after="0" w:afterAutospacing="0" w:line="221" w:lineRule="auto"/>
              <w:ind w:left="385" w:right="0"/>
              <w:rPr>
                <w:rFonts w:hint="default"/>
              </w:rPr>
            </w:pPr>
            <w:r>
              <w:rPr>
                <w:rFonts w:hint="default"/>
                <w:spacing w:val="-2"/>
              </w:rPr>
              <w:t>副产品</w:t>
            </w:r>
          </w:p>
        </w:tc>
        <w:tc>
          <w:tcPr>
            <w:tcW w:w="1384" w:type="dxa"/>
            <w:vAlign w:val="top"/>
          </w:tcPr>
          <w:p w14:paraId="06A79614">
            <w:pPr>
              <w:pStyle w:val="22"/>
              <w:keepNext w:val="0"/>
              <w:keepLines w:val="0"/>
              <w:suppressLineNumbers w:val="0"/>
              <w:spacing w:before="65" w:beforeAutospacing="0" w:after="0" w:afterAutospacing="0" w:line="221" w:lineRule="auto"/>
              <w:ind w:left="385" w:right="0"/>
              <w:rPr>
                <w:rFonts w:hint="default"/>
              </w:rPr>
            </w:pPr>
            <w:r>
              <w:rPr>
                <w:rFonts w:hint="default"/>
                <w:spacing w:val="-2"/>
              </w:rPr>
              <w:t>异丙醇</w:t>
            </w:r>
          </w:p>
        </w:tc>
        <w:tc>
          <w:tcPr>
            <w:tcW w:w="2274" w:type="dxa"/>
            <w:vAlign w:val="top"/>
          </w:tcPr>
          <w:p w14:paraId="4396AEDD">
            <w:pPr>
              <w:pStyle w:val="22"/>
              <w:keepNext w:val="0"/>
              <w:keepLines w:val="0"/>
              <w:suppressLineNumbers w:val="0"/>
              <w:spacing w:before="101" w:beforeAutospacing="0" w:after="0" w:afterAutospacing="0" w:line="182" w:lineRule="auto"/>
              <w:ind w:left="882" w:right="0"/>
              <w:rPr>
                <w:rFonts w:hint="default"/>
              </w:rPr>
            </w:pPr>
            <w:r>
              <w:rPr>
                <w:rFonts w:hint="default"/>
                <w:spacing w:val="-2"/>
              </w:rPr>
              <w:t>30.09</w:t>
            </w:r>
          </w:p>
        </w:tc>
      </w:tr>
      <w:tr w14:paraId="086BD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2" w:type="dxa"/>
            <w:vAlign w:val="top"/>
          </w:tcPr>
          <w:p w14:paraId="344B7CAA">
            <w:pPr>
              <w:keepNext w:val="0"/>
              <w:keepLines w:val="0"/>
              <w:suppressLineNumbers w:val="0"/>
              <w:spacing w:before="0" w:beforeAutospacing="0" w:after="0" w:afterAutospacing="0"/>
              <w:ind w:left="0" w:right="0"/>
              <w:rPr>
                <w:rFonts w:hint="default" w:ascii="Arial"/>
                <w:sz w:val="21"/>
              </w:rPr>
            </w:pPr>
          </w:p>
        </w:tc>
        <w:tc>
          <w:tcPr>
            <w:tcW w:w="2095" w:type="dxa"/>
            <w:vAlign w:val="top"/>
          </w:tcPr>
          <w:p w14:paraId="1CC83137">
            <w:pPr>
              <w:keepNext w:val="0"/>
              <w:keepLines w:val="0"/>
              <w:suppressLineNumbers w:val="0"/>
              <w:spacing w:before="0" w:beforeAutospacing="0" w:after="0" w:afterAutospacing="0"/>
              <w:ind w:left="0" w:right="0"/>
              <w:rPr>
                <w:rFonts w:hint="default" w:ascii="Arial"/>
                <w:sz w:val="21"/>
              </w:rPr>
            </w:pPr>
          </w:p>
        </w:tc>
        <w:tc>
          <w:tcPr>
            <w:tcW w:w="1408" w:type="dxa"/>
            <w:vAlign w:val="top"/>
          </w:tcPr>
          <w:p w14:paraId="1732B235">
            <w:pPr>
              <w:keepNext w:val="0"/>
              <w:keepLines w:val="0"/>
              <w:suppressLineNumbers w:val="0"/>
              <w:spacing w:before="0" w:beforeAutospacing="0" w:after="0" w:afterAutospacing="0"/>
              <w:ind w:left="0" w:right="0"/>
              <w:rPr>
                <w:rFonts w:hint="default" w:ascii="Arial"/>
                <w:sz w:val="21"/>
              </w:rPr>
            </w:pPr>
          </w:p>
        </w:tc>
        <w:tc>
          <w:tcPr>
            <w:tcW w:w="1384" w:type="dxa"/>
            <w:vAlign w:val="top"/>
          </w:tcPr>
          <w:p w14:paraId="0BE05AB3">
            <w:pPr>
              <w:pStyle w:val="22"/>
              <w:keepNext w:val="0"/>
              <w:keepLines w:val="0"/>
              <w:suppressLineNumbers w:val="0"/>
              <w:spacing w:before="66" w:beforeAutospacing="0" w:after="0" w:afterAutospacing="0" w:line="221" w:lineRule="auto"/>
              <w:ind w:left="505" w:right="0"/>
              <w:rPr>
                <w:rFonts w:hint="default"/>
              </w:rPr>
            </w:pPr>
            <w:r>
              <w:rPr>
                <w:rFonts w:hint="default"/>
                <w:spacing w:val="-7"/>
              </w:rPr>
              <w:t>固废</w:t>
            </w:r>
          </w:p>
        </w:tc>
        <w:tc>
          <w:tcPr>
            <w:tcW w:w="1384" w:type="dxa"/>
            <w:vAlign w:val="top"/>
          </w:tcPr>
          <w:p w14:paraId="1B867F40">
            <w:pPr>
              <w:keepNext w:val="0"/>
              <w:keepLines w:val="0"/>
              <w:suppressLineNumbers w:val="0"/>
              <w:spacing w:before="0" w:beforeAutospacing="0" w:after="0" w:afterAutospacing="0"/>
              <w:ind w:left="0" w:right="0"/>
              <w:rPr>
                <w:rFonts w:hint="default" w:ascii="Arial"/>
                <w:sz w:val="21"/>
              </w:rPr>
            </w:pPr>
          </w:p>
        </w:tc>
        <w:tc>
          <w:tcPr>
            <w:tcW w:w="2274" w:type="dxa"/>
            <w:vAlign w:val="top"/>
          </w:tcPr>
          <w:p w14:paraId="65817F0A">
            <w:pPr>
              <w:pStyle w:val="22"/>
              <w:keepNext w:val="0"/>
              <w:keepLines w:val="0"/>
              <w:suppressLineNumbers w:val="0"/>
              <w:spacing w:before="101" w:beforeAutospacing="0" w:after="0" w:afterAutospacing="0" w:line="182" w:lineRule="auto"/>
              <w:ind w:left="779" w:right="0"/>
              <w:rPr>
                <w:rFonts w:hint="default"/>
              </w:rPr>
            </w:pPr>
            <w:r>
              <w:rPr>
                <w:rFonts w:hint="default"/>
                <w:spacing w:val="-2"/>
              </w:rPr>
              <w:t>33.6675</w:t>
            </w:r>
          </w:p>
        </w:tc>
      </w:tr>
      <w:tr w14:paraId="13F15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2" w:type="dxa"/>
            <w:vAlign w:val="top"/>
          </w:tcPr>
          <w:p w14:paraId="2DF631B3">
            <w:pPr>
              <w:keepNext w:val="0"/>
              <w:keepLines w:val="0"/>
              <w:suppressLineNumbers w:val="0"/>
              <w:spacing w:before="0" w:beforeAutospacing="0" w:after="0" w:afterAutospacing="0"/>
              <w:ind w:left="0" w:right="0"/>
              <w:rPr>
                <w:rFonts w:hint="default" w:ascii="Arial"/>
                <w:sz w:val="21"/>
              </w:rPr>
            </w:pPr>
          </w:p>
        </w:tc>
        <w:tc>
          <w:tcPr>
            <w:tcW w:w="2095" w:type="dxa"/>
            <w:vAlign w:val="top"/>
          </w:tcPr>
          <w:p w14:paraId="68C1533C">
            <w:pPr>
              <w:keepNext w:val="0"/>
              <w:keepLines w:val="0"/>
              <w:suppressLineNumbers w:val="0"/>
              <w:spacing w:before="0" w:beforeAutospacing="0" w:after="0" w:afterAutospacing="0"/>
              <w:ind w:left="0" w:right="0"/>
              <w:rPr>
                <w:rFonts w:hint="default" w:ascii="Arial"/>
                <w:sz w:val="21"/>
              </w:rPr>
            </w:pPr>
          </w:p>
        </w:tc>
        <w:tc>
          <w:tcPr>
            <w:tcW w:w="1408" w:type="dxa"/>
            <w:vAlign w:val="top"/>
          </w:tcPr>
          <w:p w14:paraId="4F8DB58A">
            <w:pPr>
              <w:keepNext w:val="0"/>
              <w:keepLines w:val="0"/>
              <w:suppressLineNumbers w:val="0"/>
              <w:spacing w:before="0" w:beforeAutospacing="0" w:after="0" w:afterAutospacing="0"/>
              <w:ind w:left="0" w:right="0"/>
              <w:rPr>
                <w:rFonts w:hint="default" w:ascii="Arial"/>
                <w:sz w:val="21"/>
              </w:rPr>
            </w:pPr>
          </w:p>
        </w:tc>
        <w:tc>
          <w:tcPr>
            <w:tcW w:w="1384" w:type="dxa"/>
            <w:vAlign w:val="top"/>
          </w:tcPr>
          <w:p w14:paraId="23903DE9">
            <w:pPr>
              <w:pStyle w:val="22"/>
              <w:keepNext w:val="0"/>
              <w:keepLines w:val="0"/>
              <w:suppressLineNumbers w:val="0"/>
              <w:spacing w:before="69" w:beforeAutospacing="0" w:after="0" w:afterAutospacing="0" w:line="221" w:lineRule="auto"/>
              <w:ind w:left="486" w:right="0"/>
              <w:rPr>
                <w:rFonts w:hint="default"/>
              </w:rPr>
            </w:pPr>
            <w:r>
              <w:rPr>
                <w:rFonts w:hint="default"/>
                <w:spacing w:val="-2"/>
              </w:rPr>
              <w:t>废气</w:t>
            </w:r>
          </w:p>
        </w:tc>
        <w:tc>
          <w:tcPr>
            <w:tcW w:w="1384" w:type="dxa"/>
            <w:vAlign w:val="top"/>
          </w:tcPr>
          <w:p w14:paraId="4D7B59FF">
            <w:pPr>
              <w:keepNext w:val="0"/>
              <w:keepLines w:val="0"/>
              <w:suppressLineNumbers w:val="0"/>
              <w:spacing w:before="0" w:beforeAutospacing="0" w:after="0" w:afterAutospacing="0"/>
              <w:ind w:left="0" w:right="0"/>
              <w:rPr>
                <w:rFonts w:hint="default" w:ascii="Arial"/>
                <w:sz w:val="21"/>
              </w:rPr>
            </w:pPr>
          </w:p>
        </w:tc>
        <w:tc>
          <w:tcPr>
            <w:tcW w:w="2274" w:type="dxa"/>
            <w:vAlign w:val="top"/>
          </w:tcPr>
          <w:p w14:paraId="4C505AF5">
            <w:pPr>
              <w:pStyle w:val="22"/>
              <w:keepNext w:val="0"/>
              <w:keepLines w:val="0"/>
              <w:suppressLineNumbers w:val="0"/>
              <w:spacing w:before="104" w:beforeAutospacing="0" w:after="0" w:afterAutospacing="0" w:line="182" w:lineRule="auto"/>
              <w:ind w:left="881" w:right="0"/>
              <w:rPr>
                <w:rFonts w:hint="default"/>
              </w:rPr>
            </w:pPr>
            <w:r>
              <w:rPr>
                <w:rFonts w:hint="default"/>
                <w:spacing w:val="-2"/>
              </w:rPr>
              <w:t>24.75</w:t>
            </w:r>
          </w:p>
        </w:tc>
      </w:tr>
      <w:tr w14:paraId="48A72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2" w:type="dxa"/>
            <w:vAlign w:val="top"/>
          </w:tcPr>
          <w:p w14:paraId="079FDA12">
            <w:pPr>
              <w:pStyle w:val="22"/>
              <w:keepNext w:val="0"/>
              <w:keepLines w:val="0"/>
              <w:suppressLineNumbers w:val="0"/>
              <w:spacing w:before="67" w:beforeAutospacing="0" w:after="0" w:afterAutospacing="0" w:line="222" w:lineRule="auto"/>
              <w:ind w:left="227" w:right="0"/>
              <w:rPr>
                <w:rFonts w:hint="default"/>
              </w:rPr>
            </w:pPr>
            <w:r>
              <w:rPr>
                <w:rFonts w:hint="default"/>
                <w:spacing w:val="-2"/>
              </w:rPr>
              <w:t>合计</w:t>
            </w:r>
          </w:p>
        </w:tc>
        <w:tc>
          <w:tcPr>
            <w:tcW w:w="2095" w:type="dxa"/>
            <w:vAlign w:val="top"/>
          </w:tcPr>
          <w:p w14:paraId="0136C01F">
            <w:pPr>
              <w:keepNext w:val="0"/>
              <w:keepLines w:val="0"/>
              <w:suppressLineNumbers w:val="0"/>
              <w:spacing w:before="0" w:beforeAutospacing="0" w:after="0" w:afterAutospacing="0"/>
              <w:ind w:left="0" w:right="0"/>
              <w:rPr>
                <w:rFonts w:hint="default" w:ascii="Arial"/>
                <w:sz w:val="21"/>
              </w:rPr>
            </w:pPr>
          </w:p>
        </w:tc>
        <w:tc>
          <w:tcPr>
            <w:tcW w:w="1408" w:type="dxa"/>
            <w:vAlign w:val="top"/>
          </w:tcPr>
          <w:p w14:paraId="65DF573A">
            <w:pPr>
              <w:pStyle w:val="22"/>
              <w:keepNext w:val="0"/>
              <w:keepLines w:val="0"/>
              <w:suppressLineNumbers w:val="0"/>
              <w:spacing w:before="101" w:beforeAutospacing="0" w:after="0" w:afterAutospacing="0" w:line="183" w:lineRule="auto"/>
              <w:ind w:left="197" w:right="0"/>
              <w:rPr>
                <w:rFonts w:hint="default"/>
              </w:rPr>
            </w:pPr>
            <w:r>
              <w:rPr>
                <w:rFonts w:hint="default"/>
                <w:spacing w:val="-3"/>
              </w:rPr>
              <w:t>15088.5075</w:t>
            </w:r>
          </w:p>
        </w:tc>
        <w:tc>
          <w:tcPr>
            <w:tcW w:w="1384" w:type="dxa"/>
            <w:vAlign w:val="top"/>
          </w:tcPr>
          <w:p w14:paraId="05AB6AF5">
            <w:pPr>
              <w:pStyle w:val="22"/>
              <w:keepNext w:val="0"/>
              <w:keepLines w:val="0"/>
              <w:suppressLineNumbers w:val="0"/>
              <w:spacing w:before="67" w:beforeAutospacing="0" w:after="0" w:afterAutospacing="0" w:line="222" w:lineRule="auto"/>
              <w:ind w:left="488" w:right="0"/>
              <w:rPr>
                <w:rFonts w:hint="default"/>
              </w:rPr>
            </w:pPr>
            <w:r>
              <w:rPr>
                <w:rFonts w:hint="default"/>
                <w:spacing w:val="-2"/>
              </w:rPr>
              <w:t>合计</w:t>
            </w:r>
          </w:p>
        </w:tc>
        <w:tc>
          <w:tcPr>
            <w:tcW w:w="1384" w:type="dxa"/>
            <w:vAlign w:val="top"/>
          </w:tcPr>
          <w:p w14:paraId="4CD0E50E">
            <w:pPr>
              <w:keepNext w:val="0"/>
              <w:keepLines w:val="0"/>
              <w:suppressLineNumbers w:val="0"/>
              <w:spacing w:before="0" w:beforeAutospacing="0" w:after="0" w:afterAutospacing="0"/>
              <w:ind w:left="0" w:right="0"/>
              <w:rPr>
                <w:rFonts w:hint="default" w:ascii="Arial"/>
                <w:sz w:val="21"/>
              </w:rPr>
            </w:pPr>
          </w:p>
        </w:tc>
        <w:tc>
          <w:tcPr>
            <w:tcW w:w="2274" w:type="dxa"/>
            <w:vAlign w:val="top"/>
          </w:tcPr>
          <w:p w14:paraId="45FF7FF8">
            <w:pPr>
              <w:pStyle w:val="22"/>
              <w:keepNext w:val="0"/>
              <w:keepLines w:val="0"/>
              <w:suppressLineNumbers w:val="0"/>
              <w:spacing w:before="101" w:beforeAutospacing="0" w:after="0" w:afterAutospacing="0" w:line="183" w:lineRule="auto"/>
              <w:ind w:left="632" w:right="0"/>
              <w:rPr>
                <w:rFonts w:hint="default"/>
              </w:rPr>
            </w:pPr>
            <w:r>
              <w:rPr>
                <w:rFonts w:hint="default"/>
                <w:spacing w:val="-3"/>
              </w:rPr>
              <w:t>15088.5075</w:t>
            </w:r>
          </w:p>
        </w:tc>
      </w:tr>
    </w:tbl>
    <w:p w14:paraId="2311DBF5">
      <w:pPr>
        <w:pStyle w:val="6"/>
      </w:pPr>
    </w:p>
    <w:p w14:paraId="31E4799C">
      <w:pPr>
        <w:sectPr>
          <w:headerReference r:id="rId13" w:type="default"/>
          <w:footerReference r:id="rId14" w:type="default"/>
          <w:pgSz w:w="11907" w:h="16839"/>
          <w:pgMar w:top="1120" w:right="1474" w:bottom="946" w:left="1020" w:header="809" w:footer="685" w:gutter="0"/>
          <w:cols w:space="720" w:num="1"/>
        </w:sectPr>
      </w:pPr>
    </w:p>
    <w:p w14:paraId="465761B0">
      <w:pPr>
        <w:pStyle w:val="6"/>
        <w:spacing w:line="243" w:lineRule="auto"/>
      </w:pPr>
    </w:p>
    <w:p w14:paraId="3AD90EF4">
      <w:pPr>
        <w:pStyle w:val="6"/>
        <w:spacing w:line="244" w:lineRule="auto"/>
      </w:pPr>
    </w:p>
    <w:p w14:paraId="2880EE38">
      <w:pPr>
        <w:pStyle w:val="6"/>
        <w:spacing w:line="244" w:lineRule="auto"/>
      </w:pPr>
    </w:p>
    <w:p w14:paraId="566FAAF4">
      <w:pPr>
        <w:pStyle w:val="6"/>
        <w:spacing w:line="244" w:lineRule="auto"/>
      </w:pPr>
    </w:p>
    <w:p w14:paraId="0F13D735">
      <w:pPr>
        <w:pStyle w:val="6"/>
        <w:spacing w:before="91" w:line="220" w:lineRule="auto"/>
        <w:ind w:left="36"/>
        <w:rPr>
          <w:rFonts w:ascii="宋体" w:hAnsi="宋体" w:eastAsia="宋体" w:cs="宋体"/>
          <w:sz w:val="28"/>
          <w:szCs w:val="28"/>
        </w:rPr>
      </w:pPr>
      <w:r>
        <w:fldChar w:fldCharType="begin"/>
      </w:r>
      <w:r>
        <w:instrText xml:space="preserve"> HYPERLINK "2.6.1.4" </w:instrText>
      </w:r>
      <w:r>
        <w:fldChar w:fldCharType="separate"/>
      </w:r>
      <w:r>
        <w:rPr>
          <w:spacing w:val="-1"/>
          <w:sz w:val="28"/>
          <w:szCs w:val="28"/>
        </w:rPr>
        <w:t>2.6.1.4</w:t>
      </w:r>
      <w:r>
        <w:rPr>
          <w:spacing w:val="-1"/>
          <w:sz w:val="28"/>
          <w:szCs w:val="28"/>
        </w:rPr>
        <w:fldChar w:fldCharType="end"/>
      </w:r>
      <w:r>
        <w:rPr>
          <w:spacing w:val="-1"/>
          <w:sz w:val="28"/>
          <w:szCs w:val="28"/>
        </w:rPr>
        <w:t xml:space="preserve"> </w:t>
      </w:r>
      <w:r>
        <w:rPr>
          <w:rFonts w:ascii="宋体" w:hAnsi="宋体" w:eastAsia="宋体" w:cs="宋体"/>
          <w:spacing w:val="-1"/>
          <w:sz w:val="28"/>
          <w:szCs w:val="28"/>
        </w:rPr>
        <w:t>蚀刻液工艺流程</w:t>
      </w:r>
    </w:p>
    <w:p w14:paraId="2F848D5B">
      <w:pPr>
        <w:pStyle w:val="6"/>
        <w:spacing w:line="307" w:lineRule="auto"/>
      </w:pPr>
    </w:p>
    <w:p w14:paraId="423D1C4E">
      <w:pPr>
        <w:spacing w:before="91" w:line="220" w:lineRule="auto"/>
        <w:ind w:left="597"/>
        <w:rPr>
          <w:rFonts w:ascii="宋体" w:hAnsi="宋体" w:eastAsia="宋体" w:cs="宋体"/>
          <w:sz w:val="28"/>
          <w:szCs w:val="28"/>
        </w:rPr>
      </w:pPr>
      <w:r>
        <w:rPr>
          <w:rFonts w:ascii="宋体" w:hAnsi="宋体" w:eastAsia="宋体" w:cs="宋体"/>
          <w:spacing w:val="-1"/>
          <w:sz w:val="28"/>
          <w:szCs w:val="28"/>
        </w:rPr>
        <w:t>蚀刻液生产为物理混合过程。蚀刻液根据客户需求按照工艺单配比。</w:t>
      </w:r>
    </w:p>
    <w:p w14:paraId="486F09B6">
      <w:pPr>
        <w:pStyle w:val="6"/>
        <w:spacing w:line="303" w:lineRule="auto"/>
      </w:pPr>
    </w:p>
    <w:p w14:paraId="20941605">
      <w:pPr>
        <w:spacing w:before="91" w:line="355" w:lineRule="auto"/>
        <w:ind w:left="35" w:right="26" w:firstLine="561"/>
        <w:jc w:val="both"/>
        <w:rPr>
          <w:rFonts w:ascii="宋体" w:hAnsi="宋体" w:eastAsia="宋体" w:cs="宋体"/>
          <w:sz w:val="28"/>
          <w:szCs w:val="28"/>
        </w:rPr>
      </w:pPr>
      <w:r>
        <w:rPr>
          <w:rFonts w:ascii="宋体" w:hAnsi="宋体" w:eastAsia="宋体" w:cs="宋体"/>
          <w:spacing w:val="2"/>
          <w:sz w:val="28"/>
          <w:szCs w:val="28"/>
        </w:rPr>
        <w:t>将超纯水与物料A、物料B、物料C中的几种物料通过洁净上料单元抽取</w:t>
      </w:r>
      <w:r>
        <w:rPr>
          <w:rFonts w:ascii="宋体" w:hAnsi="宋体" w:eastAsia="宋体" w:cs="宋体"/>
          <w:spacing w:val="15"/>
          <w:sz w:val="28"/>
          <w:szCs w:val="28"/>
        </w:rPr>
        <w:t xml:space="preserve"> </w:t>
      </w:r>
      <w:r>
        <w:rPr>
          <w:rFonts w:ascii="宋体" w:hAnsi="宋体" w:eastAsia="宋体" w:cs="宋体"/>
          <w:spacing w:val="2"/>
          <w:sz w:val="28"/>
          <w:szCs w:val="28"/>
        </w:rPr>
        <w:t>到混配槽V110201中，采用自动称重模块来进行计量控制；利用混配混合泵</w:t>
      </w:r>
      <w:r>
        <w:rPr>
          <w:rFonts w:ascii="宋体" w:hAnsi="宋体" w:eastAsia="宋体" w:cs="宋体"/>
          <w:spacing w:val="4"/>
          <w:sz w:val="28"/>
          <w:szCs w:val="28"/>
        </w:rPr>
        <w:t xml:space="preserve"> </w:t>
      </w:r>
      <w:r>
        <w:rPr>
          <w:rFonts w:ascii="宋体" w:hAnsi="宋体" w:eastAsia="宋体" w:cs="宋体"/>
          <w:spacing w:val="2"/>
          <w:sz w:val="28"/>
          <w:szCs w:val="28"/>
        </w:rPr>
        <w:t>P110201打循环混合；在混合过程中可自动选择时段进行过滤处理，混合过</w:t>
      </w:r>
      <w:r>
        <w:rPr>
          <w:rFonts w:ascii="宋体" w:hAnsi="宋体" w:eastAsia="宋体" w:cs="宋体"/>
          <w:spacing w:val="9"/>
          <w:sz w:val="28"/>
          <w:szCs w:val="28"/>
        </w:rPr>
        <w:t xml:space="preserve"> </w:t>
      </w:r>
      <w:r>
        <w:rPr>
          <w:rFonts w:ascii="宋体" w:hAnsi="宋体" w:eastAsia="宋体" w:cs="宋体"/>
          <w:spacing w:val="-2"/>
          <w:sz w:val="28"/>
          <w:szCs w:val="28"/>
        </w:rPr>
        <w:t>滤到设定时间后，程序暂停运行，进行人工取样分析浓度和颗粒等相关控制</w:t>
      </w:r>
      <w:r>
        <w:rPr>
          <w:rFonts w:ascii="宋体" w:hAnsi="宋体" w:eastAsia="宋体" w:cs="宋体"/>
          <w:spacing w:val="2"/>
          <w:sz w:val="28"/>
          <w:szCs w:val="28"/>
        </w:rPr>
        <w:t xml:space="preserve"> </w:t>
      </w:r>
      <w:r>
        <w:rPr>
          <w:rFonts w:ascii="宋体" w:hAnsi="宋体" w:eastAsia="宋体" w:cs="宋体"/>
          <w:spacing w:val="-2"/>
          <w:sz w:val="28"/>
          <w:szCs w:val="28"/>
        </w:rPr>
        <w:t>指标，合格后继续运行程序把产品输送到产品罐储存；如分析不合格，则程</w:t>
      </w:r>
      <w:r>
        <w:rPr>
          <w:rFonts w:ascii="宋体" w:hAnsi="宋体" w:eastAsia="宋体" w:cs="宋体"/>
          <w:spacing w:val="4"/>
          <w:sz w:val="28"/>
          <w:szCs w:val="28"/>
        </w:rPr>
        <w:t xml:space="preserve"> </w:t>
      </w:r>
      <w:r>
        <w:rPr>
          <w:rFonts w:ascii="宋体" w:hAnsi="宋体" w:eastAsia="宋体" w:cs="宋体"/>
          <w:spacing w:val="-2"/>
          <w:sz w:val="28"/>
          <w:szCs w:val="28"/>
        </w:rPr>
        <w:t>序可以自动进行二次混配，直到混合合格。</w:t>
      </w:r>
    </w:p>
    <w:p w14:paraId="3E5FDF84">
      <w:pPr>
        <w:spacing w:before="231" w:line="345" w:lineRule="auto"/>
        <w:ind w:left="44" w:right="31" w:firstLine="575"/>
        <w:rPr>
          <w:rFonts w:ascii="宋体" w:hAnsi="宋体" w:eastAsia="宋体" w:cs="宋体"/>
          <w:sz w:val="28"/>
          <w:szCs w:val="28"/>
        </w:rPr>
      </w:pPr>
      <w:r>
        <w:rPr>
          <w:rFonts w:ascii="宋体" w:hAnsi="宋体" w:eastAsia="宋体" w:cs="宋体"/>
          <w:spacing w:val="1"/>
          <w:sz w:val="28"/>
          <w:szCs w:val="28"/>
        </w:rPr>
        <w:t>1#车间配置蚀刻液自动灌装200升桶系统一套，灌装区洁净室等级为千</w:t>
      </w:r>
      <w:r>
        <w:rPr>
          <w:rFonts w:ascii="宋体" w:hAnsi="宋体" w:eastAsia="宋体" w:cs="宋体"/>
          <w:spacing w:val="18"/>
          <w:sz w:val="28"/>
          <w:szCs w:val="28"/>
        </w:rPr>
        <w:t xml:space="preserve"> </w:t>
      </w:r>
      <w:r>
        <w:rPr>
          <w:rFonts w:ascii="宋体" w:hAnsi="宋体" w:eastAsia="宋体" w:cs="宋体"/>
          <w:spacing w:val="-2"/>
          <w:sz w:val="28"/>
          <w:szCs w:val="28"/>
        </w:rPr>
        <w:t>级，面积约170平方。</w:t>
      </w:r>
    </w:p>
    <w:p w14:paraId="323D7CE3">
      <w:pPr>
        <w:spacing w:before="234" w:line="447" w:lineRule="auto"/>
        <w:ind w:left="602" w:right="1138" w:firstLine="1"/>
        <w:rPr>
          <w:rFonts w:ascii="宋体" w:hAnsi="宋体" w:eastAsia="宋体" w:cs="宋体"/>
          <w:sz w:val="28"/>
          <w:szCs w:val="28"/>
        </w:rPr>
      </w:pPr>
      <w:r>
        <w:rPr>
          <w:rFonts w:ascii="宋体" w:hAnsi="宋体" w:eastAsia="宋体" w:cs="宋体"/>
          <w:spacing w:val="-2"/>
          <w:sz w:val="28"/>
          <w:szCs w:val="28"/>
        </w:rPr>
        <w:t>洁净灌装区设置槽车自动灌装机一套，用于蚀刻液</w:t>
      </w:r>
      <w:r>
        <w:rPr>
          <w:rFonts w:ascii="宋体" w:hAnsi="宋体" w:eastAsia="宋体" w:cs="宋体"/>
          <w:spacing w:val="-3"/>
          <w:sz w:val="28"/>
          <w:szCs w:val="28"/>
        </w:rPr>
        <w:t>槽车灌装。</w:t>
      </w:r>
      <w:r>
        <w:rPr>
          <w:rFonts w:ascii="宋体" w:hAnsi="宋体" w:eastAsia="宋体" w:cs="宋体"/>
          <w:sz w:val="28"/>
          <w:szCs w:val="28"/>
        </w:rPr>
        <w:t xml:space="preserve"> </w:t>
      </w:r>
      <w:r>
        <w:rPr>
          <w:rFonts w:ascii="宋体" w:hAnsi="宋体" w:eastAsia="宋体" w:cs="宋体"/>
          <w:spacing w:val="-5"/>
          <w:sz w:val="28"/>
          <w:szCs w:val="28"/>
        </w:rPr>
        <w:t>工艺流程示意图如下：</w:t>
      </w:r>
    </w:p>
    <w:p w14:paraId="67C44D72">
      <w:pPr>
        <w:spacing w:line="3576" w:lineRule="exact"/>
        <w:ind w:firstLine="1681"/>
      </w:pPr>
      <w:r>
        <w:rPr>
          <w:position w:val="-71"/>
        </w:rPr>
        <w:drawing>
          <wp:inline distT="0" distB="0" distL="0" distR="0">
            <wp:extent cx="3590925" cy="2270125"/>
            <wp:effectExtent l="0" t="0" r="5715" b="635"/>
            <wp:docPr id="18" name="IM 8"/>
            <wp:cNvGraphicFramePr/>
            <a:graphic xmlns:a="http://schemas.openxmlformats.org/drawingml/2006/main">
              <a:graphicData uri="http://schemas.openxmlformats.org/drawingml/2006/picture">
                <pic:pic xmlns:pic="http://schemas.openxmlformats.org/drawingml/2006/picture">
                  <pic:nvPicPr>
                    <pic:cNvPr id="18" name="IM 8"/>
                    <pic:cNvPicPr/>
                  </pic:nvPicPr>
                  <pic:blipFill>
                    <a:blip r:embed="rId37"/>
                    <a:stretch>
                      <a:fillRect/>
                    </a:stretch>
                  </pic:blipFill>
                  <pic:spPr>
                    <a:xfrm>
                      <a:off x="0" y="0"/>
                      <a:ext cx="3590925" cy="2270759"/>
                    </a:xfrm>
                    <a:prstGeom prst="rect">
                      <a:avLst/>
                    </a:prstGeom>
                  </pic:spPr>
                </pic:pic>
              </a:graphicData>
            </a:graphic>
          </wp:inline>
        </w:drawing>
      </w:r>
    </w:p>
    <w:p w14:paraId="060FF127">
      <w:pPr>
        <w:pStyle w:val="6"/>
        <w:spacing w:line="262" w:lineRule="auto"/>
      </w:pPr>
    </w:p>
    <w:p w14:paraId="657B0AD1">
      <w:pPr>
        <w:spacing w:before="79" w:line="220" w:lineRule="auto"/>
        <w:ind w:left="3237"/>
        <w:rPr>
          <w:rFonts w:ascii="宋体" w:hAnsi="宋体" w:eastAsia="宋体" w:cs="宋体"/>
          <w:sz w:val="24"/>
          <w:szCs w:val="24"/>
        </w:rPr>
      </w:pPr>
      <w:r>
        <w:rPr>
          <w:rFonts w:ascii="宋体" w:hAnsi="宋体" w:eastAsia="宋体" w:cs="宋体"/>
          <w:b/>
          <w:bCs/>
          <w:spacing w:val="-5"/>
          <w:sz w:val="24"/>
          <w:szCs w:val="24"/>
        </w:rPr>
        <w:t>图</w:t>
      </w:r>
      <w:r>
        <w:rPr>
          <w:rFonts w:ascii="宋体" w:hAnsi="宋体" w:eastAsia="宋体" w:cs="宋体"/>
          <w:spacing w:val="-31"/>
          <w:sz w:val="24"/>
          <w:szCs w:val="24"/>
        </w:rPr>
        <w:t xml:space="preserve"> </w:t>
      </w:r>
      <w:r>
        <w:rPr>
          <w:rFonts w:ascii="宋体" w:hAnsi="宋体" w:eastAsia="宋体" w:cs="宋体"/>
          <w:b/>
          <w:bCs/>
          <w:spacing w:val="-5"/>
          <w:sz w:val="24"/>
          <w:szCs w:val="24"/>
        </w:rPr>
        <w:t>2.6.1--4</w:t>
      </w:r>
      <w:r>
        <w:rPr>
          <w:rFonts w:ascii="宋体" w:hAnsi="宋体" w:eastAsia="宋体" w:cs="宋体"/>
          <w:spacing w:val="-5"/>
          <w:sz w:val="24"/>
          <w:szCs w:val="24"/>
        </w:rPr>
        <w:t xml:space="preserve"> </w:t>
      </w:r>
      <w:r>
        <w:rPr>
          <w:rFonts w:ascii="宋体" w:hAnsi="宋体" w:eastAsia="宋体" w:cs="宋体"/>
          <w:b/>
          <w:bCs/>
          <w:spacing w:val="-5"/>
          <w:sz w:val="24"/>
          <w:szCs w:val="24"/>
        </w:rPr>
        <w:t>蚀刻液流程方框图</w:t>
      </w:r>
    </w:p>
    <w:p w14:paraId="3F4DA73B">
      <w:pPr>
        <w:spacing w:line="220" w:lineRule="auto"/>
        <w:rPr>
          <w:rFonts w:ascii="宋体" w:hAnsi="宋体" w:eastAsia="宋体" w:cs="宋体"/>
          <w:sz w:val="24"/>
          <w:szCs w:val="24"/>
        </w:rPr>
        <w:sectPr>
          <w:headerReference r:id="rId15" w:type="default"/>
          <w:footerReference r:id="rId16" w:type="default"/>
          <w:pgSz w:w="11907" w:h="16839"/>
          <w:pgMar w:top="1120" w:right="1102" w:bottom="946" w:left="1560" w:header="809" w:footer="685" w:gutter="0"/>
          <w:cols w:space="720" w:num="1"/>
        </w:sectPr>
      </w:pPr>
    </w:p>
    <w:p w14:paraId="53E162C3">
      <w:pPr>
        <w:pStyle w:val="6"/>
        <w:spacing w:line="251" w:lineRule="auto"/>
      </w:pPr>
    </w:p>
    <w:p w14:paraId="5DA21C81">
      <w:pPr>
        <w:spacing w:before="78" w:line="220" w:lineRule="auto"/>
        <w:ind w:left="3297"/>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2"/>
          <w:sz w:val="24"/>
          <w:szCs w:val="24"/>
        </w:rPr>
        <w:t xml:space="preserve"> </w:t>
      </w:r>
      <w:r>
        <w:rPr>
          <w:rFonts w:ascii="宋体" w:hAnsi="宋体" w:eastAsia="宋体" w:cs="宋体"/>
          <w:b/>
          <w:bCs/>
          <w:spacing w:val="-3"/>
          <w:sz w:val="24"/>
          <w:szCs w:val="24"/>
        </w:rPr>
        <w:t>2.6.1--4</w:t>
      </w:r>
      <w:r>
        <w:rPr>
          <w:rFonts w:ascii="宋体" w:hAnsi="宋体" w:eastAsia="宋体" w:cs="宋体"/>
          <w:spacing w:val="-3"/>
          <w:sz w:val="24"/>
          <w:szCs w:val="24"/>
        </w:rPr>
        <w:t xml:space="preserve"> </w:t>
      </w:r>
      <w:r>
        <w:rPr>
          <w:rFonts w:ascii="宋体" w:hAnsi="宋体" w:eastAsia="宋体" w:cs="宋体"/>
          <w:b/>
          <w:bCs/>
          <w:spacing w:val="-3"/>
          <w:sz w:val="24"/>
          <w:szCs w:val="24"/>
        </w:rPr>
        <w:t>蚀刻液物料平衡表</w:t>
      </w:r>
    </w:p>
    <w:p w14:paraId="20C10DBC">
      <w:pPr>
        <w:spacing w:line="146" w:lineRule="exact"/>
      </w:pPr>
    </w:p>
    <w:tbl>
      <w:tblPr>
        <w:tblStyle w:val="21"/>
        <w:tblW w:w="9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909"/>
        <w:gridCol w:w="1560"/>
        <w:gridCol w:w="1660"/>
        <w:gridCol w:w="1456"/>
        <w:gridCol w:w="1644"/>
        <w:gridCol w:w="1132"/>
      </w:tblGrid>
      <w:tr w14:paraId="20F55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46" w:type="dxa"/>
            <w:vMerge w:val="restart"/>
            <w:tcBorders>
              <w:top w:val="single" w:color="000000" w:sz="4" w:space="0"/>
              <w:bottom w:val="nil"/>
            </w:tcBorders>
            <w:vAlign w:val="top"/>
          </w:tcPr>
          <w:p w14:paraId="20506625">
            <w:pPr>
              <w:keepNext w:val="0"/>
              <w:keepLines w:val="0"/>
              <w:suppressLineNumbers w:val="0"/>
              <w:spacing w:before="0" w:beforeAutospacing="0" w:after="0" w:afterAutospacing="0" w:line="285" w:lineRule="auto"/>
              <w:ind w:left="0" w:right="0"/>
              <w:rPr>
                <w:rFonts w:hint="default" w:ascii="Arial"/>
                <w:sz w:val="21"/>
              </w:rPr>
            </w:pPr>
          </w:p>
          <w:p w14:paraId="4B67AED2">
            <w:pPr>
              <w:keepNext w:val="0"/>
              <w:keepLines w:val="0"/>
              <w:suppressLineNumbers w:val="0"/>
              <w:spacing w:before="0" w:beforeAutospacing="0" w:after="0" w:afterAutospacing="0" w:line="285" w:lineRule="auto"/>
              <w:ind w:left="0" w:right="0"/>
              <w:rPr>
                <w:rFonts w:hint="default" w:ascii="Arial"/>
                <w:sz w:val="21"/>
              </w:rPr>
            </w:pPr>
          </w:p>
          <w:p w14:paraId="4B6815C1">
            <w:pPr>
              <w:keepNext w:val="0"/>
              <w:keepLines w:val="0"/>
              <w:suppressLineNumbers w:val="0"/>
              <w:spacing w:before="0" w:beforeAutospacing="0" w:after="0" w:afterAutospacing="0" w:line="286" w:lineRule="auto"/>
              <w:ind w:left="0" w:right="0"/>
              <w:rPr>
                <w:rFonts w:hint="default" w:ascii="Arial"/>
                <w:sz w:val="21"/>
              </w:rPr>
            </w:pPr>
          </w:p>
          <w:p w14:paraId="315F68DA">
            <w:pPr>
              <w:keepNext w:val="0"/>
              <w:keepLines w:val="0"/>
              <w:suppressLineNumbers w:val="0"/>
              <w:spacing w:before="0" w:beforeAutospacing="0" w:after="0" w:afterAutospacing="0" w:line="286" w:lineRule="auto"/>
              <w:ind w:left="0" w:right="0"/>
              <w:rPr>
                <w:rFonts w:hint="default" w:ascii="Arial"/>
                <w:sz w:val="21"/>
              </w:rPr>
            </w:pPr>
          </w:p>
          <w:p w14:paraId="34E84B9F">
            <w:pPr>
              <w:pStyle w:val="22"/>
              <w:keepNext w:val="0"/>
              <w:keepLines w:val="0"/>
              <w:suppressLineNumbers w:val="0"/>
              <w:spacing w:before="68" w:beforeAutospacing="0" w:after="0" w:afterAutospacing="0" w:line="221" w:lineRule="auto"/>
              <w:ind w:left="134" w:right="0"/>
              <w:rPr>
                <w:rFonts w:hint="default"/>
              </w:rPr>
            </w:pPr>
            <w:r>
              <w:rPr>
                <w:rFonts w:hint="default"/>
                <w:spacing w:val="-2"/>
              </w:rPr>
              <w:t>蚀刻液</w:t>
            </w:r>
            <w:r>
              <w:rPr>
                <w:rFonts w:hint="default"/>
                <w:spacing w:val="-28"/>
              </w:rPr>
              <w:t xml:space="preserve"> </w:t>
            </w:r>
            <w:r>
              <w:rPr>
                <w:rFonts w:hint="default"/>
                <w:spacing w:val="-2"/>
              </w:rPr>
              <w:t>1</w:t>
            </w:r>
          </w:p>
        </w:tc>
        <w:tc>
          <w:tcPr>
            <w:tcW w:w="909" w:type="dxa"/>
            <w:vMerge w:val="restart"/>
            <w:tcBorders>
              <w:top w:val="single" w:color="000000" w:sz="4" w:space="0"/>
              <w:bottom w:val="nil"/>
            </w:tcBorders>
            <w:vAlign w:val="top"/>
          </w:tcPr>
          <w:p w14:paraId="1E066F64">
            <w:pPr>
              <w:keepNext w:val="0"/>
              <w:keepLines w:val="0"/>
              <w:suppressLineNumbers w:val="0"/>
              <w:spacing w:before="0" w:beforeAutospacing="0" w:after="0" w:afterAutospacing="0" w:line="271" w:lineRule="auto"/>
              <w:ind w:left="0" w:right="0"/>
              <w:rPr>
                <w:rFonts w:hint="default" w:ascii="Arial"/>
                <w:sz w:val="21"/>
              </w:rPr>
            </w:pPr>
          </w:p>
          <w:p w14:paraId="78EF6013">
            <w:pPr>
              <w:pStyle w:val="22"/>
              <w:keepNext w:val="0"/>
              <w:keepLines w:val="0"/>
              <w:suppressLineNumbers w:val="0"/>
              <w:spacing w:before="69" w:beforeAutospacing="0" w:after="0" w:afterAutospacing="0" w:line="222" w:lineRule="auto"/>
              <w:ind w:left="250" w:right="0"/>
              <w:rPr>
                <w:rFonts w:hint="default"/>
              </w:rPr>
            </w:pPr>
            <w:r>
              <w:rPr>
                <w:rFonts w:hint="default"/>
                <w:spacing w:val="-2"/>
              </w:rPr>
              <w:t>序号</w:t>
            </w:r>
          </w:p>
        </w:tc>
        <w:tc>
          <w:tcPr>
            <w:tcW w:w="3220" w:type="dxa"/>
            <w:gridSpan w:val="2"/>
            <w:tcBorders>
              <w:top w:val="single" w:color="000000" w:sz="4" w:space="0"/>
            </w:tcBorders>
            <w:vAlign w:val="top"/>
          </w:tcPr>
          <w:p w14:paraId="1AB57449">
            <w:pPr>
              <w:pStyle w:val="22"/>
              <w:keepNext w:val="0"/>
              <w:keepLines w:val="0"/>
              <w:suppressLineNumbers w:val="0"/>
              <w:spacing w:before="65" w:beforeAutospacing="0" w:after="0" w:afterAutospacing="0" w:line="222" w:lineRule="auto"/>
              <w:ind w:left="1405" w:right="0"/>
              <w:rPr>
                <w:rFonts w:hint="default"/>
              </w:rPr>
            </w:pPr>
            <w:r>
              <w:rPr>
                <w:rFonts w:hint="default"/>
                <w:spacing w:val="-2"/>
              </w:rPr>
              <w:t>入方</w:t>
            </w:r>
          </w:p>
        </w:tc>
        <w:tc>
          <w:tcPr>
            <w:tcW w:w="4232" w:type="dxa"/>
            <w:gridSpan w:val="3"/>
            <w:tcBorders>
              <w:top w:val="single" w:color="000000" w:sz="4" w:space="0"/>
            </w:tcBorders>
            <w:vAlign w:val="top"/>
          </w:tcPr>
          <w:p w14:paraId="5FA08B0C">
            <w:pPr>
              <w:pStyle w:val="22"/>
              <w:keepNext w:val="0"/>
              <w:keepLines w:val="0"/>
              <w:suppressLineNumbers w:val="0"/>
              <w:spacing w:before="65" w:beforeAutospacing="0" w:after="0" w:afterAutospacing="0" w:line="222" w:lineRule="auto"/>
              <w:ind w:left="1930" w:right="0"/>
              <w:rPr>
                <w:rFonts w:hint="default"/>
              </w:rPr>
            </w:pPr>
            <w:r>
              <w:rPr>
                <w:rFonts w:hint="default"/>
                <w:spacing w:val="-7"/>
              </w:rPr>
              <w:t>出方</w:t>
            </w:r>
          </w:p>
        </w:tc>
      </w:tr>
      <w:tr w14:paraId="09AFE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6" w:type="dxa"/>
            <w:vMerge w:val="continue"/>
            <w:tcBorders>
              <w:top w:val="nil"/>
              <w:bottom w:val="nil"/>
            </w:tcBorders>
            <w:vAlign w:val="top"/>
          </w:tcPr>
          <w:p w14:paraId="71BE82F2">
            <w:pPr>
              <w:keepNext w:val="0"/>
              <w:keepLines w:val="0"/>
              <w:suppressLineNumbers w:val="0"/>
              <w:spacing w:before="0" w:beforeAutospacing="0" w:after="0" w:afterAutospacing="0"/>
              <w:ind w:left="0" w:right="0"/>
              <w:rPr>
                <w:rFonts w:hint="default" w:ascii="Arial"/>
                <w:sz w:val="21"/>
              </w:rPr>
            </w:pPr>
          </w:p>
        </w:tc>
        <w:tc>
          <w:tcPr>
            <w:tcW w:w="909" w:type="dxa"/>
            <w:vMerge w:val="continue"/>
            <w:tcBorders>
              <w:top w:val="nil"/>
            </w:tcBorders>
            <w:vAlign w:val="top"/>
          </w:tcPr>
          <w:p w14:paraId="23527F70">
            <w:pPr>
              <w:keepNext w:val="0"/>
              <w:keepLines w:val="0"/>
              <w:suppressLineNumbers w:val="0"/>
              <w:spacing w:before="0" w:beforeAutospacing="0" w:after="0" w:afterAutospacing="0"/>
              <w:ind w:left="0" w:right="0"/>
              <w:rPr>
                <w:rFonts w:hint="default" w:ascii="Arial"/>
                <w:sz w:val="21"/>
              </w:rPr>
            </w:pPr>
          </w:p>
        </w:tc>
        <w:tc>
          <w:tcPr>
            <w:tcW w:w="1560" w:type="dxa"/>
            <w:vAlign w:val="top"/>
          </w:tcPr>
          <w:p w14:paraId="6596FDA0">
            <w:pPr>
              <w:pStyle w:val="22"/>
              <w:keepNext w:val="0"/>
              <w:keepLines w:val="0"/>
              <w:suppressLineNumbers w:val="0"/>
              <w:spacing w:before="165" w:beforeAutospacing="0" w:after="0" w:afterAutospacing="0" w:line="223" w:lineRule="auto"/>
              <w:ind w:left="575" w:right="0"/>
              <w:rPr>
                <w:rFonts w:hint="default"/>
              </w:rPr>
            </w:pPr>
            <w:r>
              <w:rPr>
                <w:rFonts w:hint="default"/>
                <w:spacing w:val="-3"/>
              </w:rPr>
              <w:t>名称</w:t>
            </w:r>
          </w:p>
        </w:tc>
        <w:tc>
          <w:tcPr>
            <w:tcW w:w="1660" w:type="dxa"/>
            <w:vAlign w:val="top"/>
          </w:tcPr>
          <w:p w14:paraId="20A81B2A">
            <w:pPr>
              <w:pStyle w:val="22"/>
              <w:keepNext w:val="0"/>
              <w:keepLines w:val="0"/>
              <w:suppressLineNumbers w:val="0"/>
              <w:spacing w:before="165" w:beforeAutospacing="0" w:after="0" w:afterAutospacing="0" w:line="221" w:lineRule="auto"/>
              <w:ind w:left="364" w:right="0"/>
              <w:rPr>
                <w:rFonts w:hint="default"/>
              </w:rPr>
            </w:pPr>
            <w:r>
              <w:rPr>
                <w:rFonts w:hint="default"/>
                <w:spacing w:val="-1"/>
              </w:rPr>
              <w:t>数量(t/a)</w:t>
            </w:r>
          </w:p>
        </w:tc>
        <w:tc>
          <w:tcPr>
            <w:tcW w:w="3100" w:type="dxa"/>
            <w:gridSpan w:val="2"/>
            <w:vAlign w:val="top"/>
          </w:tcPr>
          <w:p w14:paraId="724E345C">
            <w:pPr>
              <w:pStyle w:val="22"/>
              <w:keepNext w:val="0"/>
              <w:keepLines w:val="0"/>
              <w:suppressLineNumbers w:val="0"/>
              <w:spacing w:before="165" w:beforeAutospacing="0" w:after="0" w:afterAutospacing="0" w:line="223" w:lineRule="auto"/>
              <w:ind w:left="1350" w:right="0"/>
              <w:rPr>
                <w:rFonts w:hint="default"/>
              </w:rPr>
            </w:pPr>
            <w:r>
              <w:rPr>
                <w:rFonts w:hint="default"/>
                <w:spacing w:val="-3"/>
              </w:rPr>
              <w:t>名称</w:t>
            </w:r>
          </w:p>
        </w:tc>
        <w:tc>
          <w:tcPr>
            <w:tcW w:w="1132" w:type="dxa"/>
            <w:vAlign w:val="top"/>
          </w:tcPr>
          <w:p w14:paraId="1A015D61">
            <w:pPr>
              <w:pStyle w:val="22"/>
              <w:keepNext w:val="0"/>
              <w:keepLines w:val="0"/>
              <w:suppressLineNumbers w:val="0"/>
              <w:spacing w:before="29" w:beforeAutospacing="0" w:after="0" w:afterAutospacing="0" w:line="224" w:lineRule="auto"/>
              <w:ind w:left="345" w:right="299" w:firstLine="17"/>
              <w:rPr>
                <w:rFonts w:hint="default"/>
              </w:rPr>
            </w:pPr>
            <w:r>
              <w:rPr>
                <w:rFonts w:hint="default"/>
                <w:spacing w:val="-4"/>
              </w:rPr>
              <w:t>数量</w:t>
            </w:r>
            <w:r>
              <w:rPr>
                <w:rFonts w:hint="default"/>
              </w:rPr>
              <w:t xml:space="preserve"> </w:t>
            </w:r>
            <w:r>
              <w:rPr>
                <w:rFonts w:hint="default"/>
                <w:spacing w:val="-9"/>
              </w:rPr>
              <w:t>(t/a)</w:t>
            </w:r>
          </w:p>
        </w:tc>
      </w:tr>
      <w:tr w14:paraId="3F8BB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38F85285">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20C7EBC9">
            <w:pPr>
              <w:pStyle w:val="22"/>
              <w:keepNext w:val="0"/>
              <w:keepLines w:val="0"/>
              <w:suppressLineNumbers w:val="0"/>
              <w:spacing w:before="99" w:beforeAutospacing="0" w:after="0" w:afterAutospacing="0" w:line="183" w:lineRule="auto"/>
              <w:ind w:left="422" w:right="0"/>
              <w:rPr>
                <w:rFonts w:hint="default"/>
              </w:rPr>
            </w:pPr>
            <w:r>
              <w:rPr>
                <w:rFonts w:hint="default"/>
              </w:rPr>
              <w:t>1</w:t>
            </w:r>
          </w:p>
        </w:tc>
        <w:tc>
          <w:tcPr>
            <w:tcW w:w="1560" w:type="dxa"/>
            <w:vAlign w:val="top"/>
          </w:tcPr>
          <w:p w14:paraId="106E6BA3">
            <w:pPr>
              <w:pStyle w:val="22"/>
              <w:keepNext w:val="0"/>
              <w:keepLines w:val="0"/>
              <w:suppressLineNumbers w:val="0"/>
              <w:spacing w:before="102" w:beforeAutospacing="0" w:after="0" w:afterAutospacing="0" w:line="181" w:lineRule="auto"/>
              <w:ind w:left="674" w:right="0"/>
              <w:rPr>
                <w:rFonts w:hint="default"/>
              </w:rPr>
            </w:pPr>
            <w:r>
              <w:rPr>
                <w:rFonts w:hint="default"/>
                <w:spacing w:val="-1"/>
              </w:rPr>
              <w:t>HF</w:t>
            </w:r>
          </w:p>
        </w:tc>
        <w:tc>
          <w:tcPr>
            <w:tcW w:w="1660" w:type="dxa"/>
            <w:vAlign w:val="top"/>
          </w:tcPr>
          <w:p w14:paraId="0B49C35F">
            <w:pPr>
              <w:pStyle w:val="22"/>
              <w:keepNext w:val="0"/>
              <w:keepLines w:val="0"/>
              <w:suppressLineNumbers w:val="0"/>
              <w:spacing w:before="99" w:beforeAutospacing="0" w:after="0" w:afterAutospacing="0" w:line="183" w:lineRule="auto"/>
              <w:ind w:left="589" w:right="0"/>
              <w:rPr>
                <w:rFonts w:hint="default"/>
              </w:rPr>
            </w:pPr>
            <w:r>
              <w:rPr>
                <w:rFonts w:hint="default"/>
                <w:spacing w:val="-4"/>
              </w:rPr>
              <w:t>125.5</w:t>
            </w:r>
          </w:p>
        </w:tc>
        <w:tc>
          <w:tcPr>
            <w:tcW w:w="1456" w:type="dxa"/>
            <w:vAlign w:val="top"/>
          </w:tcPr>
          <w:p w14:paraId="52BB226D">
            <w:pPr>
              <w:pStyle w:val="22"/>
              <w:keepNext w:val="0"/>
              <w:keepLines w:val="0"/>
              <w:suppressLineNumbers w:val="0"/>
              <w:spacing w:before="65" w:beforeAutospacing="0" w:after="0" w:afterAutospacing="0" w:line="221" w:lineRule="auto"/>
              <w:ind w:left="527" w:right="0"/>
              <w:rPr>
                <w:rFonts w:hint="default"/>
              </w:rPr>
            </w:pPr>
            <w:r>
              <w:rPr>
                <w:rFonts w:hint="default"/>
                <w:spacing w:val="-2"/>
              </w:rPr>
              <w:t>产品</w:t>
            </w:r>
          </w:p>
        </w:tc>
        <w:tc>
          <w:tcPr>
            <w:tcW w:w="1644" w:type="dxa"/>
            <w:vAlign w:val="top"/>
          </w:tcPr>
          <w:p w14:paraId="71280994">
            <w:pPr>
              <w:pStyle w:val="22"/>
              <w:keepNext w:val="0"/>
              <w:keepLines w:val="0"/>
              <w:suppressLineNumbers w:val="0"/>
              <w:spacing w:before="65" w:beforeAutospacing="0" w:after="0" w:afterAutospacing="0" w:line="221" w:lineRule="auto"/>
              <w:ind w:left="515" w:right="0"/>
              <w:rPr>
                <w:rFonts w:hint="default"/>
              </w:rPr>
            </w:pPr>
            <w:r>
              <w:rPr>
                <w:rFonts w:hint="default"/>
                <w:spacing w:val="-1"/>
              </w:rPr>
              <w:t>蚀刻液</w:t>
            </w:r>
          </w:p>
        </w:tc>
        <w:tc>
          <w:tcPr>
            <w:tcW w:w="1132" w:type="dxa"/>
            <w:vAlign w:val="top"/>
          </w:tcPr>
          <w:p w14:paraId="25FFE672">
            <w:pPr>
              <w:pStyle w:val="22"/>
              <w:keepNext w:val="0"/>
              <w:keepLines w:val="0"/>
              <w:suppressLineNumbers w:val="0"/>
              <w:spacing w:before="101" w:beforeAutospacing="0" w:after="0" w:afterAutospacing="0" w:line="182" w:lineRule="auto"/>
              <w:ind w:left="363" w:right="0"/>
              <w:rPr>
                <w:rFonts w:hint="default"/>
              </w:rPr>
            </w:pPr>
            <w:r>
              <w:rPr>
                <w:rFonts w:hint="default"/>
                <w:spacing w:val="-2"/>
              </w:rPr>
              <w:t>2500</w:t>
            </w:r>
          </w:p>
        </w:tc>
      </w:tr>
      <w:tr w14:paraId="2C01F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01E85DBC">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1593157C">
            <w:pPr>
              <w:pStyle w:val="22"/>
              <w:keepNext w:val="0"/>
              <w:keepLines w:val="0"/>
              <w:suppressLineNumbers w:val="0"/>
              <w:spacing w:before="98" w:beforeAutospacing="0" w:after="0" w:afterAutospacing="0" w:line="182" w:lineRule="auto"/>
              <w:ind w:left="409" w:right="0"/>
              <w:rPr>
                <w:rFonts w:hint="default"/>
              </w:rPr>
            </w:pPr>
            <w:r>
              <w:rPr>
                <w:rFonts w:hint="default"/>
              </w:rPr>
              <w:t>2</w:t>
            </w:r>
          </w:p>
        </w:tc>
        <w:tc>
          <w:tcPr>
            <w:tcW w:w="1560" w:type="dxa"/>
            <w:vAlign w:val="top"/>
          </w:tcPr>
          <w:p w14:paraId="2A95CAFA">
            <w:pPr>
              <w:pStyle w:val="22"/>
              <w:keepNext w:val="0"/>
              <w:keepLines w:val="0"/>
              <w:suppressLineNumbers w:val="0"/>
              <w:spacing w:before="99" w:beforeAutospacing="0" w:after="0" w:afterAutospacing="0" w:line="190" w:lineRule="auto"/>
              <w:ind w:left="594" w:right="0"/>
              <w:rPr>
                <w:rFonts w:hint="default"/>
                <w:sz w:val="11"/>
                <w:szCs w:val="11"/>
              </w:rPr>
            </w:pPr>
            <w:r>
              <w:rPr>
                <w:rFonts w:hint="default"/>
                <w:spacing w:val="-1"/>
              </w:rPr>
              <w:t>HNO</w:t>
            </w:r>
            <w:r>
              <w:rPr>
                <w:rFonts w:hint="default"/>
                <w:spacing w:val="-1"/>
                <w:sz w:val="11"/>
                <w:szCs w:val="11"/>
              </w:rPr>
              <w:t>3</w:t>
            </w:r>
          </w:p>
        </w:tc>
        <w:tc>
          <w:tcPr>
            <w:tcW w:w="1660" w:type="dxa"/>
            <w:vAlign w:val="top"/>
          </w:tcPr>
          <w:p w14:paraId="65664BB0">
            <w:pPr>
              <w:pStyle w:val="22"/>
              <w:keepNext w:val="0"/>
              <w:keepLines w:val="0"/>
              <w:suppressLineNumbers w:val="0"/>
              <w:spacing w:before="97" w:beforeAutospacing="0" w:after="0" w:afterAutospacing="0" w:line="183" w:lineRule="auto"/>
              <w:ind w:left="536" w:right="0"/>
              <w:rPr>
                <w:rFonts w:hint="default"/>
              </w:rPr>
            </w:pPr>
            <w:r>
              <w:rPr>
                <w:rFonts w:hint="default"/>
                <w:spacing w:val="-3"/>
              </w:rPr>
              <w:t>1250.5</w:t>
            </w:r>
          </w:p>
        </w:tc>
        <w:tc>
          <w:tcPr>
            <w:tcW w:w="1456" w:type="dxa"/>
            <w:vAlign w:val="top"/>
          </w:tcPr>
          <w:p w14:paraId="28AC6D4A">
            <w:pPr>
              <w:pStyle w:val="22"/>
              <w:keepNext w:val="0"/>
              <w:keepLines w:val="0"/>
              <w:suppressLineNumbers w:val="0"/>
              <w:spacing w:before="63" w:beforeAutospacing="0" w:after="0" w:afterAutospacing="0" w:line="221" w:lineRule="auto"/>
              <w:ind w:left="527" w:right="0"/>
              <w:rPr>
                <w:rFonts w:hint="default"/>
              </w:rPr>
            </w:pPr>
            <w:r>
              <w:rPr>
                <w:rFonts w:hint="default"/>
                <w:spacing w:val="-2"/>
              </w:rPr>
              <w:t>损耗</w:t>
            </w:r>
          </w:p>
        </w:tc>
        <w:tc>
          <w:tcPr>
            <w:tcW w:w="1644" w:type="dxa"/>
            <w:vAlign w:val="top"/>
          </w:tcPr>
          <w:p w14:paraId="0276A098">
            <w:pPr>
              <w:pStyle w:val="22"/>
              <w:keepNext w:val="0"/>
              <w:keepLines w:val="0"/>
              <w:suppressLineNumbers w:val="0"/>
              <w:spacing w:before="63" w:beforeAutospacing="0" w:after="0" w:afterAutospacing="0" w:line="222" w:lineRule="auto"/>
              <w:ind w:left="411" w:right="0"/>
              <w:rPr>
                <w:rFonts w:hint="default"/>
              </w:rPr>
            </w:pPr>
            <w:r>
              <w:rPr>
                <w:rFonts w:hint="default"/>
                <w:spacing w:val="-2"/>
              </w:rPr>
              <w:t>过滤损失</w:t>
            </w:r>
          </w:p>
        </w:tc>
        <w:tc>
          <w:tcPr>
            <w:tcW w:w="1132" w:type="dxa"/>
            <w:vAlign w:val="top"/>
          </w:tcPr>
          <w:p w14:paraId="1A8147C8">
            <w:pPr>
              <w:pStyle w:val="22"/>
              <w:keepNext w:val="0"/>
              <w:keepLines w:val="0"/>
              <w:suppressLineNumbers w:val="0"/>
              <w:spacing w:before="97" w:beforeAutospacing="0" w:after="0" w:afterAutospacing="0" w:line="183" w:lineRule="auto"/>
              <w:ind w:left="312" w:right="0"/>
              <w:rPr>
                <w:rFonts w:hint="default"/>
              </w:rPr>
            </w:pPr>
            <w:r>
              <w:rPr>
                <w:rFonts w:hint="default"/>
                <w:spacing w:val="-2"/>
              </w:rPr>
              <w:t>3.125</w:t>
            </w:r>
          </w:p>
        </w:tc>
      </w:tr>
      <w:tr w14:paraId="2B415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675D4687">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756B7768">
            <w:pPr>
              <w:pStyle w:val="22"/>
              <w:keepNext w:val="0"/>
              <w:keepLines w:val="0"/>
              <w:suppressLineNumbers w:val="0"/>
              <w:spacing w:before="99" w:beforeAutospacing="0" w:after="0" w:afterAutospacing="0" w:line="182" w:lineRule="auto"/>
              <w:ind w:left="411" w:right="0"/>
              <w:rPr>
                <w:rFonts w:hint="default"/>
              </w:rPr>
            </w:pPr>
            <w:r>
              <w:rPr>
                <w:rFonts w:hint="default"/>
              </w:rPr>
              <w:t>3</w:t>
            </w:r>
          </w:p>
        </w:tc>
        <w:tc>
          <w:tcPr>
            <w:tcW w:w="1560" w:type="dxa"/>
            <w:vAlign w:val="top"/>
          </w:tcPr>
          <w:p w14:paraId="1BDDE99C">
            <w:pPr>
              <w:pStyle w:val="22"/>
              <w:keepNext w:val="0"/>
              <w:keepLines w:val="0"/>
              <w:suppressLineNumbers w:val="0"/>
              <w:spacing w:before="99" w:beforeAutospacing="0" w:after="0" w:afterAutospacing="0" w:line="190" w:lineRule="auto"/>
              <w:ind w:left="647" w:right="0"/>
              <w:rPr>
                <w:rFonts w:hint="default"/>
              </w:rPr>
            </w:pPr>
            <w:r>
              <w:rPr>
                <w:rFonts w:hint="default"/>
                <w:spacing w:val="-1"/>
              </w:rPr>
              <w:t>H</w:t>
            </w:r>
            <w:r>
              <w:rPr>
                <w:rFonts w:hint="default"/>
                <w:spacing w:val="-1"/>
                <w:sz w:val="11"/>
                <w:szCs w:val="11"/>
              </w:rPr>
              <w:t>2</w:t>
            </w:r>
            <w:r>
              <w:rPr>
                <w:rFonts w:hint="default"/>
                <w:spacing w:val="-1"/>
              </w:rPr>
              <w:t>O</w:t>
            </w:r>
          </w:p>
        </w:tc>
        <w:tc>
          <w:tcPr>
            <w:tcW w:w="1660" w:type="dxa"/>
            <w:vAlign w:val="top"/>
          </w:tcPr>
          <w:p w14:paraId="734BA906">
            <w:pPr>
              <w:pStyle w:val="22"/>
              <w:keepNext w:val="0"/>
              <w:keepLines w:val="0"/>
              <w:suppressLineNumbers w:val="0"/>
              <w:spacing w:before="98" w:beforeAutospacing="0" w:after="0" w:afterAutospacing="0" w:line="183" w:lineRule="auto"/>
              <w:ind w:left="484" w:right="0"/>
              <w:rPr>
                <w:rFonts w:hint="default"/>
              </w:rPr>
            </w:pPr>
            <w:r>
              <w:rPr>
                <w:rFonts w:hint="default"/>
                <w:spacing w:val="-3"/>
              </w:rPr>
              <w:t>1132.75</w:t>
            </w:r>
          </w:p>
        </w:tc>
        <w:tc>
          <w:tcPr>
            <w:tcW w:w="1456" w:type="dxa"/>
            <w:vAlign w:val="top"/>
          </w:tcPr>
          <w:p w14:paraId="512F948C">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1929B3E5">
            <w:pPr>
              <w:pStyle w:val="22"/>
              <w:keepNext w:val="0"/>
              <w:keepLines w:val="0"/>
              <w:suppressLineNumbers w:val="0"/>
              <w:spacing w:before="64" w:beforeAutospacing="0" w:after="0" w:afterAutospacing="0" w:line="221" w:lineRule="auto"/>
              <w:ind w:left="410" w:right="0"/>
              <w:rPr>
                <w:rFonts w:hint="default"/>
              </w:rPr>
            </w:pPr>
            <w:r>
              <w:rPr>
                <w:rFonts w:hint="default"/>
                <w:spacing w:val="-2"/>
              </w:rPr>
              <w:t>包装损失</w:t>
            </w:r>
          </w:p>
        </w:tc>
        <w:tc>
          <w:tcPr>
            <w:tcW w:w="1132" w:type="dxa"/>
            <w:vAlign w:val="top"/>
          </w:tcPr>
          <w:p w14:paraId="21BC7B00">
            <w:pPr>
              <w:pStyle w:val="22"/>
              <w:keepNext w:val="0"/>
              <w:keepLines w:val="0"/>
              <w:suppressLineNumbers w:val="0"/>
              <w:spacing w:before="98" w:beforeAutospacing="0" w:after="0" w:afterAutospacing="0" w:line="183" w:lineRule="auto"/>
              <w:ind w:left="312" w:right="0"/>
              <w:rPr>
                <w:rFonts w:hint="default"/>
              </w:rPr>
            </w:pPr>
            <w:r>
              <w:rPr>
                <w:rFonts w:hint="default"/>
                <w:spacing w:val="-2"/>
              </w:rPr>
              <w:t>3.125</w:t>
            </w:r>
          </w:p>
        </w:tc>
      </w:tr>
      <w:tr w14:paraId="487D8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1D5D1F0A">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695C7E96">
            <w:pPr>
              <w:pStyle w:val="22"/>
              <w:keepNext w:val="0"/>
              <w:keepLines w:val="0"/>
              <w:suppressLineNumbers w:val="0"/>
              <w:spacing w:before="99" w:beforeAutospacing="0" w:after="0" w:afterAutospacing="0" w:line="182" w:lineRule="auto"/>
              <w:ind w:left="406" w:right="0"/>
              <w:rPr>
                <w:rFonts w:hint="default"/>
              </w:rPr>
            </w:pPr>
            <w:r>
              <w:rPr>
                <w:rFonts w:hint="default"/>
              </w:rPr>
              <w:t>4</w:t>
            </w:r>
          </w:p>
        </w:tc>
        <w:tc>
          <w:tcPr>
            <w:tcW w:w="1560" w:type="dxa"/>
            <w:vAlign w:val="top"/>
          </w:tcPr>
          <w:p w14:paraId="40EBACC7">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398EE491">
            <w:pPr>
              <w:keepNext w:val="0"/>
              <w:keepLines w:val="0"/>
              <w:suppressLineNumbers w:val="0"/>
              <w:spacing w:before="0" w:beforeAutospacing="0" w:after="0" w:afterAutospacing="0"/>
              <w:ind w:left="0" w:right="0"/>
              <w:rPr>
                <w:rFonts w:hint="default" w:ascii="Arial"/>
                <w:sz w:val="21"/>
              </w:rPr>
            </w:pPr>
          </w:p>
        </w:tc>
        <w:tc>
          <w:tcPr>
            <w:tcW w:w="1456" w:type="dxa"/>
            <w:vAlign w:val="top"/>
          </w:tcPr>
          <w:p w14:paraId="5FFC9FCB">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54244473">
            <w:pPr>
              <w:pStyle w:val="22"/>
              <w:keepNext w:val="0"/>
              <w:keepLines w:val="0"/>
              <w:suppressLineNumbers w:val="0"/>
              <w:spacing w:before="64" w:beforeAutospacing="0" w:after="0" w:afterAutospacing="0" w:line="221" w:lineRule="auto"/>
              <w:ind w:left="620" w:right="0"/>
              <w:rPr>
                <w:rFonts w:hint="default"/>
              </w:rPr>
            </w:pPr>
            <w:r>
              <w:rPr>
                <w:rFonts w:hint="default"/>
                <w:spacing w:val="-2"/>
              </w:rPr>
              <w:t>废气</w:t>
            </w:r>
          </w:p>
        </w:tc>
        <w:tc>
          <w:tcPr>
            <w:tcW w:w="1132" w:type="dxa"/>
            <w:vAlign w:val="top"/>
          </w:tcPr>
          <w:p w14:paraId="1DE5610A">
            <w:pPr>
              <w:pStyle w:val="22"/>
              <w:keepNext w:val="0"/>
              <w:keepLines w:val="0"/>
              <w:suppressLineNumbers w:val="0"/>
              <w:spacing w:before="99" w:beforeAutospacing="0" w:after="0" w:afterAutospacing="0" w:line="182" w:lineRule="auto"/>
              <w:ind w:left="415" w:right="0"/>
              <w:rPr>
                <w:rFonts w:hint="default"/>
              </w:rPr>
            </w:pPr>
            <w:r>
              <w:rPr>
                <w:rFonts w:hint="default"/>
                <w:spacing w:val="-3"/>
              </w:rPr>
              <w:t>2.5</w:t>
            </w:r>
          </w:p>
        </w:tc>
      </w:tr>
      <w:tr w14:paraId="6F1D4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46" w:type="dxa"/>
            <w:vMerge w:val="continue"/>
            <w:tcBorders>
              <w:top w:val="nil"/>
            </w:tcBorders>
            <w:vAlign w:val="top"/>
          </w:tcPr>
          <w:p w14:paraId="70063BFA">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4574C518">
            <w:pPr>
              <w:pStyle w:val="22"/>
              <w:keepNext w:val="0"/>
              <w:keepLines w:val="0"/>
              <w:suppressLineNumbers w:val="0"/>
              <w:spacing w:before="64" w:beforeAutospacing="0" w:after="0" w:afterAutospacing="0" w:line="222" w:lineRule="auto"/>
              <w:ind w:left="252" w:right="0"/>
              <w:rPr>
                <w:rFonts w:hint="default"/>
              </w:rPr>
            </w:pPr>
            <w:r>
              <w:rPr>
                <w:rFonts w:hint="default"/>
                <w:spacing w:val="-2"/>
              </w:rPr>
              <w:t>合计</w:t>
            </w:r>
          </w:p>
        </w:tc>
        <w:tc>
          <w:tcPr>
            <w:tcW w:w="1560" w:type="dxa"/>
            <w:vAlign w:val="top"/>
          </w:tcPr>
          <w:p w14:paraId="59F73D1B">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7455F105">
            <w:pPr>
              <w:pStyle w:val="22"/>
              <w:keepNext w:val="0"/>
              <w:keepLines w:val="0"/>
              <w:suppressLineNumbers w:val="0"/>
              <w:spacing w:before="100" w:beforeAutospacing="0" w:after="0" w:afterAutospacing="0" w:line="182" w:lineRule="auto"/>
              <w:ind w:left="470" w:right="0"/>
              <w:rPr>
                <w:rFonts w:hint="default"/>
              </w:rPr>
            </w:pPr>
            <w:r>
              <w:rPr>
                <w:rFonts w:hint="default"/>
                <w:spacing w:val="-2"/>
              </w:rPr>
              <w:t>2508.75</w:t>
            </w:r>
          </w:p>
        </w:tc>
        <w:tc>
          <w:tcPr>
            <w:tcW w:w="1456" w:type="dxa"/>
            <w:vAlign w:val="top"/>
          </w:tcPr>
          <w:p w14:paraId="1A3C9CD0">
            <w:pPr>
              <w:pStyle w:val="22"/>
              <w:keepNext w:val="0"/>
              <w:keepLines w:val="0"/>
              <w:suppressLineNumbers w:val="0"/>
              <w:spacing w:before="64" w:beforeAutospacing="0" w:after="0" w:afterAutospacing="0" w:line="222" w:lineRule="auto"/>
              <w:ind w:left="528" w:right="0"/>
              <w:rPr>
                <w:rFonts w:hint="default"/>
              </w:rPr>
            </w:pPr>
            <w:r>
              <w:rPr>
                <w:rFonts w:hint="default"/>
                <w:spacing w:val="-2"/>
              </w:rPr>
              <w:t>合计</w:t>
            </w:r>
          </w:p>
        </w:tc>
        <w:tc>
          <w:tcPr>
            <w:tcW w:w="1644" w:type="dxa"/>
            <w:vAlign w:val="top"/>
          </w:tcPr>
          <w:p w14:paraId="32E491E9">
            <w:pPr>
              <w:keepNext w:val="0"/>
              <w:keepLines w:val="0"/>
              <w:suppressLineNumbers w:val="0"/>
              <w:spacing w:before="0" w:beforeAutospacing="0" w:after="0" w:afterAutospacing="0"/>
              <w:ind w:left="0" w:right="0"/>
              <w:rPr>
                <w:rFonts w:hint="default" w:ascii="Arial"/>
                <w:sz w:val="21"/>
              </w:rPr>
            </w:pPr>
          </w:p>
        </w:tc>
        <w:tc>
          <w:tcPr>
            <w:tcW w:w="1132" w:type="dxa"/>
            <w:vAlign w:val="top"/>
          </w:tcPr>
          <w:p w14:paraId="5BCD9712">
            <w:pPr>
              <w:pStyle w:val="22"/>
              <w:keepNext w:val="0"/>
              <w:keepLines w:val="0"/>
              <w:suppressLineNumbers w:val="0"/>
              <w:spacing w:before="100" w:beforeAutospacing="0" w:after="0" w:afterAutospacing="0" w:line="182" w:lineRule="auto"/>
              <w:ind w:left="207" w:right="0"/>
              <w:rPr>
                <w:rFonts w:hint="default"/>
              </w:rPr>
            </w:pPr>
            <w:r>
              <w:rPr>
                <w:rFonts w:hint="default"/>
                <w:spacing w:val="-2"/>
              </w:rPr>
              <w:t>2508.75</w:t>
            </w:r>
          </w:p>
        </w:tc>
      </w:tr>
      <w:tr w14:paraId="1826D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restart"/>
            <w:tcBorders>
              <w:bottom w:val="nil"/>
            </w:tcBorders>
            <w:vAlign w:val="top"/>
          </w:tcPr>
          <w:p w14:paraId="3578FB8A">
            <w:pPr>
              <w:keepNext w:val="0"/>
              <w:keepLines w:val="0"/>
              <w:suppressLineNumbers w:val="0"/>
              <w:spacing w:before="0" w:beforeAutospacing="0" w:after="0" w:afterAutospacing="0" w:line="286" w:lineRule="auto"/>
              <w:ind w:left="0" w:right="0"/>
              <w:rPr>
                <w:rFonts w:hint="default" w:ascii="Arial"/>
                <w:sz w:val="21"/>
              </w:rPr>
            </w:pPr>
          </w:p>
          <w:p w14:paraId="06766B35">
            <w:pPr>
              <w:keepNext w:val="0"/>
              <w:keepLines w:val="0"/>
              <w:suppressLineNumbers w:val="0"/>
              <w:spacing w:before="0" w:beforeAutospacing="0" w:after="0" w:afterAutospacing="0" w:line="286" w:lineRule="auto"/>
              <w:ind w:left="0" w:right="0"/>
              <w:rPr>
                <w:rFonts w:hint="default" w:ascii="Arial"/>
                <w:sz w:val="21"/>
              </w:rPr>
            </w:pPr>
          </w:p>
          <w:p w14:paraId="66213714">
            <w:pPr>
              <w:keepNext w:val="0"/>
              <w:keepLines w:val="0"/>
              <w:suppressLineNumbers w:val="0"/>
              <w:spacing w:before="0" w:beforeAutospacing="0" w:after="0" w:afterAutospacing="0" w:line="286" w:lineRule="auto"/>
              <w:ind w:left="0" w:right="0"/>
              <w:rPr>
                <w:rFonts w:hint="default" w:ascii="Arial"/>
                <w:sz w:val="21"/>
              </w:rPr>
            </w:pPr>
          </w:p>
          <w:p w14:paraId="586CA656">
            <w:pPr>
              <w:keepNext w:val="0"/>
              <w:keepLines w:val="0"/>
              <w:suppressLineNumbers w:val="0"/>
              <w:spacing w:before="0" w:beforeAutospacing="0" w:after="0" w:afterAutospacing="0" w:line="286" w:lineRule="auto"/>
              <w:ind w:left="0" w:right="0"/>
              <w:rPr>
                <w:rFonts w:hint="default" w:ascii="Arial"/>
                <w:sz w:val="21"/>
              </w:rPr>
            </w:pPr>
          </w:p>
          <w:p w14:paraId="09B07FB7">
            <w:pPr>
              <w:pStyle w:val="22"/>
              <w:keepNext w:val="0"/>
              <w:keepLines w:val="0"/>
              <w:suppressLineNumbers w:val="0"/>
              <w:spacing w:before="68" w:beforeAutospacing="0" w:after="0" w:afterAutospacing="0" w:line="221" w:lineRule="auto"/>
              <w:ind w:left="134" w:right="0"/>
              <w:rPr>
                <w:rFonts w:hint="default"/>
              </w:rPr>
            </w:pPr>
            <w:r>
              <w:rPr>
                <w:rFonts w:hint="default"/>
                <w:spacing w:val="-2"/>
              </w:rPr>
              <w:t>蚀刻液</w:t>
            </w:r>
            <w:r>
              <w:rPr>
                <w:rFonts w:hint="default"/>
                <w:spacing w:val="-41"/>
              </w:rPr>
              <w:t xml:space="preserve"> </w:t>
            </w:r>
            <w:r>
              <w:rPr>
                <w:rFonts w:hint="default"/>
                <w:spacing w:val="-2"/>
              </w:rPr>
              <w:t>2</w:t>
            </w:r>
          </w:p>
        </w:tc>
        <w:tc>
          <w:tcPr>
            <w:tcW w:w="909" w:type="dxa"/>
            <w:vMerge w:val="restart"/>
            <w:tcBorders>
              <w:bottom w:val="nil"/>
            </w:tcBorders>
            <w:vAlign w:val="top"/>
          </w:tcPr>
          <w:p w14:paraId="1DBE5B14">
            <w:pPr>
              <w:keepNext w:val="0"/>
              <w:keepLines w:val="0"/>
              <w:suppressLineNumbers w:val="0"/>
              <w:spacing w:before="0" w:beforeAutospacing="0" w:after="0" w:afterAutospacing="0" w:line="273" w:lineRule="auto"/>
              <w:ind w:left="0" w:right="0"/>
              <w:rPr>
                <w:rFonts w:hint="default" w:ascii="Arial"/>
                <w:sz w:val="21"/>
              </w:rPr>
            </w:pPr>
          </w:p>
          <w:p w14:paraId="23992425">
            <w:pPr>
              <w:pStyle w:val="22"/>
              <w:keepNext w:val="0"/>
              <w:keepLines w:val="0"/>
              <w:suppressLineNumbers w:val="0"/>
              <w:spacing w:before="68" w:beforeAutospacing="0" w:after="0" w:afterAutospacing="0" w:line="222" w:lineRule="auto"/>
              <w:ind w:left="250" w:right="0"/>
              <w:rPr>
                <w:rFonts w:hint="default"/>
              </w:rPr>
            </w:pPr>
            <w:r>
              <w:rPr>
                <w:rFonts w:hint="default"/>
                <w:spacing w:val="-2"/>
              </w:rPr>
              <w:t>序号</w:t>
            </w:r>
          </w:p>
        </w:tc>
        <w:tc>
          <w:tcPr>
            <w:tcW w:w="3220" w:type="dxa"/>
            <w:gridSpan w:val="2"/>
            <w:vAlign w:val="top"/>
          </w:tcPr>
          <w:p w14:paraId="3EEBC05B">
            <w:pPr>
              <w:pStyle w:val="22"/>
              <w:keepNext w:val="0"/>
              <w:keepLines w:val="0"/>
              <w:suppressLineNumbers w:val="0"/>
              <w:spacing w:before="67" w:beforeAutospacing="0" w:after="0" w:afterAutospacing="0" w:line="222" w:lineRule="auto"/>
              <w:ind w:left="1405" w:right="0"/>
              <w:rPr>
                <w:rFonts w:hint="default"/>
              </w:rPr>
            </w:pPr>
            <w:r>
              <w:rPr>
                <w:rFonts w:hint="default"/>
                <w:spacing w:val="-2"/>
              </w:rPr>
              <w:t>入方</w:t>
            </w:r>
          </w:p>
        </w:tc>
        <w:tc>
          <w:tcPr>
            <w:tcW w:w="4232" w:type="dxa"/>
            <w:gridSpan w:val="3"/>
            <w:vAlign w:val="top"/>
          </w:tcPr>
          <w:p w14:paraId="2596D4A9">
            <w:pPr>
              <w:pStyle w:val="22"/>
              <w:keepNext w:val="0"/>
              <w:keepLines w:val="0"/>
              <w:suppressLineNumbers w:val="0"/>
              <w:spacing w:before="67" w:beforeAutospacing="0" w:after="0" w:afterAutospacing="0" w:line="222" w:lineRule="auto"/>
              <w:ind w:left="1930" w:right="0"/>
              <w:rPr>
                <w:rFonts w:hint="default"/>
              </w:rPr>
            </w:pPr>
            <w:r>
              <w:rPr>
                <w:rFonts w:hint="default"/>
                <w:spacing w:val="-7"/>
              </w:rPr>
              <w:t>出方</w:t>
            </w:r>
          </w:p>
        </w:tc>
      </w:tr>
      <w:tr w14:paraId="6C2A8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6" w:type="dxa"/>
            <w:vMerge w:val="continue"/>
            <w:tcBorders>
              <w:top w:val="nil"/>
              <w:bottom w:val="nil"/>
            </w:tcBorders>
            <w:vAlign w:val="top"/>
          </w:tcPr>
          <w:p w14:paraId="24414086">
            <w:pPr>
              <w:keepNext w:val="0"/>
              <w:keepLines w:val="0"/>
              <w:suppressLineNumbers w:val="0"/>
              <w:spacing w:before="0" w:beforeAutospacing="0" w:after="0" w:afterAutospacing="0"/>
              <w:ind w:left="0" w:right="0"/>
              <w:rPr>
                <w:rFonts w:hint="default" w:ascii="Arial"/>
                <w:sz w:val="21"/>
              </w:rPr>
            </w:pPr>
          </w:p>
        </w:tc>
        <w:tc>
          <w:tcPr>
            <w:tcW w:w="909" w:type="dxa"/>
            <w:vMerge w:val="continue"/>
            <w:tcBorders>
              <w:top w:val="nil"/>
            </w:tcBorders>
            <w:vAlign w:val="top"/>
          </w:tcPr>
          <w:p w14:paraId="229B6752">
            <w:pPr>
              <w:keepNext w:val="0"/>
              <w:keepLines w:val="0"/>
              <w:suppressLineNumbers w:val="0"/>
              <w:spacing w:before="0" w:beforeAutospacing="0" w:after="0" w:afterAutospacing="0"/>
              <w:ind w:left="0" w:right="0"/>
              <w:rPr>
                <w:rFonts w:hint="default" w:ascii="Arial"/>
                <w:sz w:val="21"/>
              </w:rPr>
            </w:pPr>
          </w:p>
        </w:tc>
        <w:tc>
          <w:tcPr>
            <w:tcW w:w="1560" w:type="dxa"/>
            <w:vAlign w:val="top"/>
          </w:tcPr>
          <w:p w14:paraId="6A2ABADD">
            <w:pPr>
              <w:pStyle w:val="22"/>
              <w:keepNext w:val="0"/>
              <w:keepLines w:val="0"/>
              <w:suppressLineNumbers w:val="0"/>
              <w:spacing w:before="168" w:beforeAutospacing="0" w:after="0" w:afterAutospacing="0" w:line="223" w:lineRule="auto"/>
              <w:ind w:left="575" w:right="0"/>
              <w:rPr>
                <w:rFonts w:hint="default"/>
              </w:rPr>
            </w:pPr>
            <w:r>
              <w:rPr>
                <w:rFonts w:hint="default"/>
                <w:spacing w:val="-3"/>
              </w:rPr>
              <w:t>名称</w:t>
            </w:r>
          </w:p>
        </w:tc>
        <w:tc>
          <w:tcPr>
            <w:tcW w:w="1660" w:type="dxa"/>
            <w:vAlign w:val="top"/>
          </w:tcPr>
          <w:p w14:paraId="4E02CF94">
            <w:pPr>
              <w:pStyle w:val="22"/>
              <w:keepNext w:val="0"/>
              <w:keepLines w:val="0"/>
              <w:suppressLineNumbers w:val="0"/>
              <w:spacing w:before="167" w:beforeAutospacing="0" w:after="0" w:afterAutospacing="0" w:line="221" w:lineRule="auto"/>
              <w:ind w:left="364" w:right="0"/>
              <w:rPr>
                <w:rFonts w:hint="default"/>
              </w:rPr>
            </w:pPr>
            <w:r>
              <w:rPr>
                <w:rFonts w:hint="default"/>
                <w:spacing w:val="-1"/>
              </w:rPr>
              <w:t>数量(t/a)</w:t>
            </w:r>
          </w:p>
        </w:tc>
        <w:tc>
          <w:tcPr>
            <w:tcW w:w="3100" w:type="dxa"/>
            <w:gridSpan w:val="2"/>
            <w:vAlign w:val="top"/>
          </w:tcPr>
          <w:p w14:paraId="738D46B5">
            <w:pPr>
              <w:pStyle w:val="22"/>
              <w:keepNext w:val="0"/>
              <w:keepLines w:val="0"/>
              <w:suppressLineNumbers w:val="0"/>
              <w:spacing w:before="168" w:beforeAutospacing="0" w:after="0" w:afterAutospacing="0" w:line="223" w:lineRule="auto"/>
              <w:ind w:left="1350" w:right="0"/>
              <w:rPr>
                <w:rFonts w:hint="default"/>
              </w:rPr>
            </w:pPr>
            <w:r>
              <w:rPr>
                <w:rFonts w:hint="default"/>
                <w:spacing w:val="-3"/>
              </w:rPr>
              <w:t>名称</w:t>
            </w:r>
          </w:p>
        </w:tc>
        <w:tc>
          <w:tcPr>
            <w:tcW w:w="1132" w:type="dxa"/>
            <w:vAlign w:val="top"/>
          </w:tcPr>
          <w:p w14:paraId="5451C205">
            <w:pPr>
              <w:pStyle w:val="22"/>
              <w:keepNext w:val="0"/>
              <w:keepLines w:val="0"/>
              <w:suppressLineNumbers w:val="0"/>
              <w:spacing w:before="31" w:beforeAutospacing="0" w:after="0" w:afterAutospacing="0" w:line="223" w:lineRule="auto"/>
              <w:ind w:left="345" w:right="299" w:firstLine="17"/>
              <w:rPr>
                <w:rFonts w:hint="default"/>
              </w:rPr>
            </w:pPr>
            <w:r>
              <w:rPr>
                <w:rFonts w:hint="default"/>
                <w:spacing w:val="-4"/>
              </w:rPr>
              <w:t>数量</w:t>
            </w:r>
            <w:r>
              <w:rPr>
                <w:rFonts w:hint="default"/>
              </w:rPr>
              <w:t xml:space="preserve"> </w:t>
            </w:r>
            <w:r>
              <w:rPr>
                <w:rFonts w:hint="default"/>
                <w:spacing w:val="-9"/>
              </w:rPr>
              <w:t>(t/a)</w:t>
            </w:r>
          </w:p>
        </w:tc>
      </w:tr>
      <w:tr w14:paraId="5747F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46" w:type="dxa"/>
            <w:vMerge w:val="continue"/>
            <w:tcBorders>
              <w:top w:val="nil"/>
              <w:bottom w:val="nil"/>
            </w:tcBorders>
            <w:vAlign w:val="top"/>
          </w:tcPr>
          <w:p w14:paraId="498C114D">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3DAEA90A">
            <w:pPr>
              <w:pStyle w:val="22"/>
              <w:keepNext w:val="0"/>
              <w:keepLines w:val="0"/>
              <w:suppressLineNumbers w:val="0"/>
              <w:spacing w:before="102" w:beforeAutospacing="0" w:after="0" w:afterAutospacing="0" w:line="183" w:lineRule="auto"/>
              <w:ind w:left="422" w:right="0"/>
              <w:rPr>
                <w:rFonts w:hint="default"/>
              </w:rPr>
            </w:pPr>
            <w:r>
              <w:rPr>
                <w:rFonts w:hint="default"/>
              </w:rPr>
              <w:t>1</w:t>
            </w:r>
          </w:p>
        </w:tc>
        <w:tc>
          <w:tcPr>
            <w:tcW w:w="1560" w:type="dxa"/>
            <w:vAlign w:val="top"/>
          </w:tcPr>
          <w:p w14:paraId="48EF825A">
            <w:pPr>
              <w:pStyle w:val="22"/>
              <w:keepNext w:val="0"/>
              <w:keepLines w:val="0"/>
              <w:suppressLineNumbers w:val="0"/>
              <w:spacing w:before="105" w:beforeAutospacing="0" w:after="0" w:afterAutospacing="0" w:line="181" w:lineRule="auto"/>
              <w:ind w:left="674" w:right="0"/>
              <w:rPr>
                <w:rFonts w:hint="default"/>
              </w:rPr>
            </w:pPr>
            <w:r>
              <w:rPr>
                <w:rFonts w:hint="default"/>
                <w:spacing w:val="-1"/>
              </w:rPr>
              <w:t>HF</w:t>
            </w:r>
          </w:p>
        </w:tc>
        <w:tc>
          <w:tcPr>
            <w:tcW w:w="1660" w:type="dxa"/>
            <w:vAlign w:val="top"/>
          </w:tcPr>
          <w:p w14:paraId="4D624ECA">
            <w:pPr>
              <w:pStyle w:val="22"/>
              <w:keepNext w:val="0"/>
              <w:keepLines w:val="0"/>
              <w:suppressLineNumbers w:val="0"/>
              <w:spacing w:before="102" w:beforeAutospacing="0" w:after="0" w:afterAutospacing="0" w:line="183" w:lineRule="auto"/>
              <w:ind w:left="589" w:right="0"/>
              <w:rPr>
                <w:rFonts w:hint="default"/>
              </w:rPr>
            </w:pPr>
            <w:r>
              <w:rPr>
                <w:rFonts w:hint="default"/>
                <w:spacing w:val="-4"/>
              </w:rPr>
              <w:t>125.5</w:t>
            </w:r>
          </w:p>
        </w:tc>
        <w:tc>
          <w:tcPr>
            <w:tcW w:w="1456" w:type="dxa"/>
            <w:vAlign w:val="top"/>
          </w:tcPr>
          <w:p w14:paraId="7E66FF1D">
            <w:pPr>
              <w:pStyle w:val="22"/>
              <w:keepNext w:val="0"/>
              <w:keepLines w:val="0"/>
              <w:suppressLineNumbers w:val="0"/>
              <w:spacing w:before="68" w:beforeAutospacing="0" w:after="0" w:afterAutospacing="0" w:line="221" w:lineRule="auto"/>
              <w:ind w:left="527" w:right="0"/>
              <w:rPr>
                <w:rFonts w:hint="default"/>
              </w:rPr>
            </w:pPr>
            <w:r>
              <w:rPr>
                <w:rFonts w:hint="default"/>
                <w:spacing w:val="-2"/>
              </w:rPr>
              <w:t>产品</w:t>
            </w:r>
          </w:p>
        </w:tc>
        <w:tc>
          <w:tcPr>
            <w:tcW w:w="1644" w:type="dxa"/>
            <w:vAlign w:val="top"/>
          </w:tcPr>
          <w:p w14:paraId="19DC87E9">
            <w:pPr>
              <w:pStyle w:val="22"/>
              <w:keepNext w:val="0"/>
              <w:keepLines w:val="0"/>
              <w:suppressLineNumbers w:val="0"/>
              <w:spacing w:before="68" w:beforeAutospacing="0" w:after="0" w:afterAutospacing="0" w:line="221" w:lineRule="auto"/>
              <w:ind w:left="515" w:right="0"/>
              <w:rPr>
                <w:rFonts w:hint="default"/>
              </w:rPr>
            </w:pPr>
            <w:r>
              <w:rPr>
                <w:rFonts w:hint="default"/>
                <w:spacing w:val="-1"/>
              </w:rPr>
              <w:t>蚀刻液</w:t>
            </w:r>
          </w:p>
        </w:tc>
        <w:tc>
          <w:tcPr>
            <w:tcW w:w="1132" w:type="dxa"/>
            <w:vAlign w:val="top"/>
          </w:tcPr>
          <w:p w14:paraId="7BB9B6DF">
            <w:pPr>
              <w:pStyle w:val="22"/>
              <w:keepNext w:val="0"/>
              <w:keepLines w:val="0"/>
              <w:suppressLineNumbers w:val="0"/>
              <w:spacing w:before="104" w:beforeAutospacing="0" w:after="0" w:afterAutospacing="0" w:line="182" w:lineRule="auto"/>
              <w:ind w:left="363" w:right="0"/>
              <w:rPr>
                <w:rFonts w:hint="default"/>
              </w:rPr>
            </w:pPr>
            <w:r>
              <w:rPr>
                <w:rFonts w:hint="default"/>
                <w:spacing w:val="-2"/>
              </w:rPr>
              <w:t>2500</w:t>
            </w:r>
          </w:p>
        </w:tc>
      </w:tr>
      <w:tr w14:paraId="0B57F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2BB72670">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6717C8F0">
            <w:pPr>
              <w:pStyle w:val="22"/>
              <w:keepNext w:val="0"/>
              <w:keepLines w:val="0"/>
              <w:suppressLineNumbers w:val="0"/>
              <w:spacing w:before="103" w:beforeAutospacing="0" w:after="0" w:afterAutospacing="0" w:line="182" w:lineRule="auto"/>
              <w:ind w:left="409" w:right="0"/>
              <w:rPr>
                <w:rFonts w:hint="default"/>
              </w:rPr>
            </w:pPr>
            <w:r>
              <w:rPr>
                <w:rFonts w:hint="default"/>
              </w:rPr>
              <w:t>2</w:t>
            </w:r>
          </w:p>
        </w:tc>
        <w:tc>
          <w:tcPr>
            <w:tcW w:w="1560" w:type="dxa"/>
            <w:vAlign w:val="top"/>
          </w:tcPr>
          <w:p w14:paraId="28C2D7AB">
            <w:pPr>
              <w:pStyle w:val="22"/>
              <w:keepNext w:val="0"/>
              <w:keepLines w:val="0"/>
              <w:suppressLineNumbers w:val="0"/>
              <w:spacing w:before="105" w:beforeAutospacing="0" w:after="0" w:afterAutospacing="0" w:line="189" w:lineRule="auto"/>
              <w:ind w:left="593" w:right="0"/>
              <w:rPr>
                <w:rFonts w:hint="default"/>
              </w:rPr>
            </w:pPr>
            <w:r>
              <w:rPr>
                <w:rFonts w:hint="default"/>
              </w:rPr>
              <w:t>NH</w:t>
            </w:r>
            <w:r>
              <w:rPr>
                <w:rFonts w:hint="default"/>
                <w:sz w:val="11"/>
                <w:szCs w:val="11"/>
              </w:rPr>
              <w:t>4</w:t>
            </w:r>
            <w:r>
              <w:rPr>
                <w:rFonts w:hint="default"/>
              </w:rPr>
              <w:t>F</w:t>
            </w:r>
          </w:p>
        </w:tc>
        <w:tc>
          <w:tcPr>
            <w:tcW w:w="1660" w:type="dxa"/>
            <w:vAlign w:val="top"/>
          </w:tcPr>
          <w:p w14:paraId="612F81BC">
            <w:pPr>
              <w:pStyle w:val="22"/>
              <w:keepNext w:val="0"/>
              <w:keepLines w:val="0"/>
              <w:suppressLineNumbers w:val="0"/>
              <w:spacing w:before="103" w:beforeAutospacing="0" w:after="0" w:afterAutospacing="0" w:line="182" w:lineRule="auto"/>
              <w:ind w:left="578" w:right="0"/>
              <w:rPr>
                <w:rFonts w:hint="default"/>
              </w:rPr>
            </w:pPr>
            <w:r>
              <w:rPr>
                <w:rFonts w:hint="default"/>
                <w:spacing w:val="-2"/>
              </w:rPr>
              <w:t>500.5</w:t>
            </w:r>
          </w:p>
        </w:tc>
        <w:tc>
          <w:tcPr>
            <w:tcW w:w="1456" w:type="dxa"/>
            <w:vAlign w:val="top"/>
          </w:tcPr>
          <w:p w14:paraId="3F53FEAD">
            <w:pPr>
              <w:pStyle w:val="22"/>
              <w:keepNext w:val="0"/>
              <w:keepLines w:val="0"/>
              <w:suppressLineNumbers w:val="0"/>
              <w:spacing w:before="67" w:beforeAutospacing="0" w:after="0" w:afterAutospacing="0" w:line="221" w:lineRule="auto"/>
              <w:ind w:left="527" w:right="0"/>
              <w:rPr>
                <w:rFonts w:hint="default"/>
              </w:rPr>
            </w:pPr>
            <w:r>
              <w:rPr>
                <w:rFonts w:hint="default"/>
                <w:spacing w:val="-2"/>
              </w:rPr>
              <w:t>损耗</w:t>
            </w:r>
          </w:p>
        </w:tc>
        <w:tc>
          <w:tcPr>
            <w:tcW w:w="1644" w:type="dxa"/>
            <w:vAlign w:val="top"/>
          </w:tcPr>
          <w:p w14:paraId="6DF1DE15">
            <w:pPr>
              <w:pStyle w:val="22"/>
              <w:keepNext w:val="0"/>
              <w:keepLines w:val="0"/>
              <w:suppressLineNumbers w:val="0"/>
              <w:spacing w:before="68" w:beforeAutospacing="0" w:after="0" w:afterAutospacing="0" w:line="222" w:lineRule="auto"/>
              <w:ind w:left="411" w:right="0"/>
              <w:rPr>
                <w:rFonts w:hint="default"/>
              </w:rPr>
            </w:pPr>
            <w:r>
              <w:rPr>
                <w:rFonts w:hint="default"/>
                <w:spacing w:val="-2"/>
              </w:rPr>
              <w:t>过滤损失</w:t>
            </w:r>
          </w:p>
        </w:tc>
        <w:tc>
          <w:tcPr>
            <w:tcW w:w="1132" w:type="dxa"/>
            <w:vAlign w:val="top"/>
          </w:tcPr>
          <w:p w14:paraId="39094D00">
            <w:pPr>
              <w:pStyle w:val="22"/>
              <w:keepNext w:val="0"/>
              <w:keepLines w:val="0"/>
              <w:suppressLineNumbers w:val="0"/>
              <w:spacing w:before="102" w:beforeAutospacing="0" w:after="0" w:afterAutospacing="0" w:line="183" w:lineRule="auto"/>
              <w:ind w:left="312" w:right="0"/>
              <w:rPr>
                <w:rFonts w:hint="default"/>
              </w:rPr>
            </w:pPr>
            <w:r>
              <w:rPr>
                <w:rFonts w:hint="default"/>
                <w:spacing w:val="-2"/>
              </w:rPr>
              <w:t>3.125</w:t>
            </w:r>
          </w:p>
        </w:tc>
      </w:tr>
      <w:tr w14:paraId="1D22A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3C76243E">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597B27AF">
            <w:pPr>
              <w:pStyle w:val="22"/>
              <w:keepNext w:val="0"/>
              <w:keepLines w:val="0"/>
              <w:suppressLineNumbers w:val="0"/>
              <w:spacing w:before="101" w:beforeAutospacing="0" w:after="0" w:afterAutospacing="0" w:line="182" w:lineRule="auto"/>
              <w:ind w:left="411" w:right="0"/>
              <w:rPr>
                <w:rFonts w:hint="default"/>
              </w:rPr>
            </w:pPr>
            <w:r>
              <w:rPr>
                <w:rFonts w:hint="default"/>
              </w:rPr>
              <w:t>3</w:t>
            </w:r>
          </w:p>
        </w:tc>
        <w:tc>
          <w:tcPr>
            <w:tcW w:w="1560" w:type="dxa"/>
            <w:vAlign w:val="top"/>
          </w:tcPr>
          <w:p w14:paraId="6AD7FAFE">
            <w:pPr>
              <w:pStyle w:val="22"/>
              <w:keepNext w:val="0"/>
              <w:keepLines w:val="0"/>
              <w:suppressLineNumbers w:val="0"/>
              <w:spacing w:before="101" w:beforeAutospacing="0" w:after="0" w:afterAutospacing="0" w:line="190" w:lineRule="auto"/>
              <w:ind w:left="647" w:right="0"/>
              <w:rPr>
                <w:rFonts w:hint="default"/>
              </w:rPr>
            </w:pPr>
            <w:r>
              <w:rPr>
                <w:rFonts w:hint="default"/>
                <w:spacing w:val="-1"/>
              </w:rPr>
              <w:t>H</w:t>
            </w:r>
            <w:r>
              <w:rPr>
                <w:rFonts w:hint="default"/>
                <w:spacing w:val="-1"/>
                <w:sz w:val="11"/>
                <w:szCs w:val="11"/>
              </w:rPr>
              <w:t>2</w:t>
            </w:r>
            <w:r>
              <w:rPr>
                <w:rFonts w:hint="default"/>
                <w:spacing w:val="-1"/>
              </w:rPr>
              <w:t>O</w:t>
            </w:r>
          </w:p>
        </w:tc>
        <w:tc>
          <w:tcPr>
            <w:tcW w:w="1660" w:type="dxa"/>
            <w:vAlign w:val="top"/>
          </w:tcPr>
          <w:p w14:paraId="4C0B9119">
            <w:pPr>
              <w:pStyle w:val="22"/>
              <w:keepNext w:val="0"/>
              <w:keepLines w:val="0"/>
              <w:suppressLineNumbers w:val="0"/>
              <w:spacing w:before="100" w:beforeAutospacing="0" w:after="0" w:afterAutospacing="0" w:line="183" w:lineRule="auto"/>
              <w:ind w:left="484" w:right="0"/>
              <w:rPr>
                <w:rFonts w:hint="default"/>
              </w:rPr>
            </w:pPr>
            <w:r>
              <w:rPr>
                <w:rFonts w:hint="default"/>
                <w:spacing w:val="-3"/>
              </w:rPr>
              <w:t>1882.75</w:t>
            </w:r>
          </w:p>
        </w:tc>
        <w:tc>
          <w:tcPr>
            <w:tcW w:w="1456" w:type="dxa"/>
            <w:vAlign w:val="top"/>
          </w:tcPr>
          <w:p w14:paraId="07612AC4">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0148F7D9">
            <w:pPr>
              <w:pStyle w:val="22"/>
              <w:keepNext w:val="0"/>
              <w:keepLines w:val="0"/>
              <w:suppressLineNumbers w:val="0"/>
              <w:spacing w:before="66" w:beforeAutospacing="0" w:after="0" w:afterAutospacing="0" w:line="221" w:lineRule="auto"/>
              <w:ind w:left="410" w:right="0"/>
              <w:rPr>
                <w:rFonts w:hint="default"/>
              </w:rPr>
            </w:pPr>
            <w:r>
              <w:rPr>
                <w:rFonts w:hint="default"/>
                <w:spacing w:val="-2"/>
              </w:rPr>
              <w:t>包装损失</w:t>
            </w:r>
          </w:p>
        </w:tc>
        <w:tc>
          <w:tcPr>
            <w:tcW w:w="1132" w:type="dxa"/>
            <w:vAlign w:val="top"/>
          </w:tcPr>
          <w:p w14:paraId="1085890E">
            <w:pPr>
              <w:pStyle w:val="22"/>
              <w:keepNext w:val="0"/>
              <w:keepLines w:val="0"/>
              <w:suppressLineNumbers w:val="0"/>
              <w:spacing w:before="100" w:beforeAutospacing="0" w:after="0" w:afterAutospacing="0" w:line="183" w:lineRule="auto"/>
              <w:ind w:left="312" w:right="0"/>
              <w:rPr>
                <w:rFonts w:hint="default"/>
              </w:rPr>
            </w:pPr>
            <w:r>
              <w:rPr>
                <w:rFonts w:hint="default"/>
                <w:spacing w:val="-2"/>
              </w:rPr>
              <w:t>3.125</w:t>
            </w:r>
          </w:p>
        </w:tc>
      </w:tr>
      <w:tr w14:paraId="1234E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24B19E74">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39FF269B">
            <w:pPr>
              <w:pStyle w:val="22"/>
              <w:keepNext w:val="0"/>
              <w:keepLines w:val="0"/>
              <w:suppressLineNumbers w:val="0"/>
              <w:spacing w:before="101" w:beforeAutospacing="0" w:after="0" w:afterAutospacing="0" w:line="182" w:lineRule="auto"/>
              <w:ind w:left="406" w:right="0"/>
              <w:rPr>
                <w:rFonts w:hint="default"/>
              </w:rPr>
            </w:pPr>
            <w:r>
              <w:rPr>
                <w:rFonts w:hint="default"/>
              </w:rPr>
              <w:t>4</w:t>
            </w:r>
          </w:p>
        </w:tc>
        <w:tc>
          <w:tcPr>
            <w:tcW w:w="1560" w:type="dxa"/>
            <w:vAlign w:val="top"/>
          </w:tcPr>
          <w:p w14:paraId="047DE959">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6B1C3C98">
            <w:pPr>
              <w:keepNext w:val="0"/>
              <w:keepLines w:val="0"/>
              <w:suppressLineNumbers w:val="0"/>
              <w:spacing w:before="0" w:beforeAutospacing="0" w:after="0" w:afterAutospacing="0"/>
              <w:ind w:left="0" w:right="0"/>
              <w:rPr>
                <w:rFonts w:hint="default" w:ascii="Arial"/>
                <w:sz w:val="21"/>
              </w:rPr>
            </w:pPr>
          </w:p>
        </w:tc>
        <w:tc>
          <w:tcPr>
            <w:tcW w:w="1456" w:type="dxa"/>
            <w:vAlign w:val="top"/>
          </w:tcPr>
          <w:p w14:paraId="6AD21976">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673B6D06">
            <w:pPr>
              <w:pStyle w:val="22"/>
              <w:keepNext w:val="0"/>
              <w:keepLines w:val="0"/>
              <w:suppressLineNumbers w:val="0"/>
              <w:spacing w:before="66" w:beforeAutospacing="0" w:after="0" w:afterAutospacing="0" w:line="221" w:lineRule="auto"/>
              <w:ind w:left="620" w:right="0"/>
              <w:rPr>
                <w:rFonts w:hint="default"/>
              </w:rPr>
            </w:pPr>
            <w:r>
              <w:rPr>
                <w:rFonts w:hint="default"/>
                <w:spacing w:val="-2"/>
              </w:rPr>
              <w:t>废气</w:t>
            </w:r>
          </w:p>
        </w:tc>
        <w:tc>
          <w:tcPr>
            <w:tcW w:w="1132" w:type="dxa"/>
            <w:vAlign w:val="top"/>
          </w:tcPr>
          <w:p w14:paraId="7F45F616">
            <w:pPr>
              <w:pStyle w:val="22"/>
              <w:keepNext w:val="0"/>
              <w:keepLines w:val="0"/>
              <w:suppressLineNumbers w:val="0"/>
              <w:spacing w:before="101" w:beforeAutospacing="0" w:after="0" w:afterAutospacing="0" w:line="182" w:lineRule="auto"/>
              <w:ind w:left="415" w:right="0"/>
              <w:rPr>
                <w:rFonts w:hint="default"/>
              </w:rPr>
            </w:pPr>
            <w:r>
              <w:rPr>
                <w:rFonts w:hint="default"/>
                <w:spacing w:val="-2"/>
              </w:rPr>
              <w:t>2.5</w:t>
            </w:r>
          </w:p>
        </w:tc>
      </w:tr>
      <w:tr w14:paraId="3DCC9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tcBorders>
            <w:vAlign w:val="top"/>
          </w:tcPr>
          <w:p w14:paraId="398F292F">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534B6B45">
            <w:pPr>
              <w:pStyle w:val="22"/>
              <w:keepNext w:val="0"/>
              <w:keepLines w:val="0"/>
              <w:suppressLineNumbers w:val="0"/>
              <w:spacing w:before="66" w:beforeAutospacing="0" w:after="0" w:afterAutospacing="0" w:line="222" w:lineRule="auto"/>
              <w:ind w:left="252" w:right="0"/>
              <w:rPr>
                <w:rFonts w:hint="default"/>
              </w:rPr>
            </w:pPr>
            <w:r>
              <w:rPr>
                <w:rFonts w:hint="default"/>
                <w:spacing w:val="-2"/>
              </w:rPr>
              <w:t>合计</w:t>
            </w:r>
          </w:p>
        </w:tc>
        <w:tc>
          <w:tcPr>
            <w:tcW w:w="1560" w:type="dxa"/>
            <w:vAlign w:val="top"/>
          </w:tcPr>
          <w:p w14:paraId="42CEC144">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3C5D0775">
            <w:pPr>
              <w:pStyle w:val="22"/>
              <w:keepNext w:val="0"/>
              <w:keepLines w:val="0"/>
              <w:suppressLineNumbers w:val="0"/>
              <w:spacing w:before="102" w:beforeAutospacing="0" w:after="0" w:afterAutospacing="0" w:line="182" w:lineRule="auto"/>
              <w:ind w:left="470" w:right="0"/>
              <w:rPr>
                <w:rFonts w:hint="default"/>
              </w:rPr>
            </w:pPr>
            <w:r>
              <w:rPr>
                <w:rFonts w:hint="default"/>
                <w:spacing w:val="-2"/>
              </w:rPr>
              <w:t>2508.75</w:t>
            </w:r>
          </w:p>
        </w:tc>
        <w:tc>
          <w:tcPr>
            <w:tcW w:w="1456" w:type="dxa"/>
            <w:vAlign w:val="top"/>
          </w:tcPr>
          <w:p w14:paraId="351A6FF7">
            <w:pPr>
              <w:pStyle w:val="22"/>
              <w:keepNext w:val="0"/>
              <w:keepLines w:val="0"/>
              <w:suppressLineNumbers w:val="0"/>
              <w:spacing w:before="66" w:beforeAutospacing="0" w:after="0" w:afterAutospacing="0" w:line="222" w:lineRule="auto"/>
              <w:ind w:left="528" w:right="0"/>
              <w:rPr>
                <w:rFonts w:hint="default"/>
              </w:rPr>
            </w:pPr>
            <w:r>
              <w:rPr>
                <w:rFonts w:hint="default"/>
                <w:spacing w:val="-2"/>
              </w:rPr>
              <w:t>合计</w:t>
            </w:r>
          </w:p>
        </w:tc>
        <w:tc>
          <w:tcPr>
            <w:tcW w:w="1644" w:type="dxa"/>
            <w:vAlign w:val="top"/>
          </w:tcPr>
          <w:p w14:paraId="6CD5B1A3">
            <w:pPr>
              <w:keepNext w:val="0"/>
              <w:keepLines w:val="0"/>
              <w:suppressLineNumbers w:val="0"/>
              <w:spacing w:before="0" w:beforeAutospacing="0" w:after="0" w:afterAutospacing="0"/>
              <w:ind w:left="0" w:right="0"/>
              <w:rPr>
                <w:rFonts w:hint="default" w:ascii="Arial"/>
                <w:sz w:val="21"/>
              </w:rPr>
            </w:pPr>
          </w:p>
        </w:tc>
        <w:tc>
          <w:tcPr>
            <w:tcW w:w="1132" w:type="dxa"/>
            <w:vAlign w:val="top"/>
          </w:tcPr>
          <w:p w14:paraId="2E476CCC">
            <w:pPr>
              <w:pStyle w:val="22"/>
              <w:keepNext w:val="0"/>
              <w:keepLines w:val="0"/>
              <w:suppressLineNumbers w:val="0"/>
              <w:spacing w:before="102" w:beforeAutospacing="0" w:after="0" w:afterAutospacing="0" w:line="182" w:lineRule="auto"/>
              <w:ind w:left="207" w:right="0"/>
              <w:rPr>
                <w:rFonts w:hint="default"/>
              </w:rPr>
            </w:pPr>
            <w:r>
              <w:rPr>
                <w:rFonts w:hint="default"/>
                <w:spacing w:val="-2"/>
              </w:rPr>
              <w:t>2508.75</w:t>
            </w:r>
          </w:p>
        </w:tc>
      </w:tr>
      <w:tr w14:paraId="6E6A6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46" w:type="dxa"/>
            <w:vMerge w:val="restart"/>
            <w:tcBorders>
              <w:bottom w:val="nil"/>
            </w:tcBorders>
            <w:vAlign w:val="top"/>
          </w:tcPr>
          <w:p w14:paraId="10EB8441">
            <w:pPr>
              <w:keepNext w:val="0"/>
              <w:keepLines w:val="0"/>
              <w:suppressLineNumbers w:val="0"/>
              <w:spacing w:before="0" w:beforeAutospacing="0" w:after="0" w:afterAutospacing="0" w:line="263" w:lineRule="auto"/>
              <w:ind w:left="0" w:right="0"/>
              <w:rPr>
                <w:rFonts w:hint="default" w:ascii="Arial"/>
                <w:sz w:val="21"/>
              </w:rPr>
            </w:pPr>
          </w:p>
          <w:p w14:paraId="5D51C771">
            <w:pPr>
              <w:keepNext w:val="0"/>
              <w:keepLines w:val="0"/>
              <w:suppressLineNumbers w:val="0"/>
              <w:spacing w:before="0" w:beforeAutospacing="0" w:after="0" w:afterAutospacing="0" w:line="263" w:lineRule="auto"/>
              <w:ind w:left="0" w:right="0"/>
              <w:rPr>
                <w:rFonts w:hint="default" w:ascii="Arial"/>
                <w:sz w:val="21"/>
              </w:rPr>
            </w:pPr>
          </w:p>
          <w:p w14:paraId="62A87C5C">
            <w:pPr>
              <w:keepNext w:val="0"/>
              <w:keepLines w:val="0"/>
              <w:suppressLineNumbers w:val="0"/>
              <w:spacing w:before="0" w:beforeAutospacing="0" w:after="0" w:afterAutospacing="0" w:line="263" w:lineRule="auto"/>
              <w:ind w:left="0" w:right="0"/>
              <w:rPr>
                <w:rFonts w:hint="default" w:ascii="Arial"/>
                <w:sz w:val="21"/>
              </w:rPr>
            </w:pPr>
          </w:p>
          <w:p w14:paraId="5990CEDF">
            <w:pPr>
              <w:keepNext w:val="0"/>
              <w:keepLines w:val="0"/>
              <w:suppressLineNumbers w:val="0"/>
              <w:spacing w:before="0" w:beforeAutospacing="0" w:after="0" w:afterAutospacing="0" w:line="264" w:lineRule="auto"/>
              <w:ind w:left="0" w:right="0"/>
              <w:rPr>
                <w:rFonts w:hint="default" w:ascii="Arial"/>
                <w:sz w:val="21"/>
              </w:rPr>
            </w:pPr>
          </w:p>
          <w:p w14:paraId="1BB4AD1E">
            <w:pPr>
              <w:keepNext w:val="0"/>
              <w:keepLines w:val="0"/>
              <w:suppressLineNumbers w:val="0"/>
              <w:spacing w:before="0" w:beforeAutospacing="0" w:after="0" w:afterAutospacing="0" w:line="264" w:lineRule="auto"/>
              <w:ind w:left="0" w:right="0"/>
              <w:rPr>
                <w:rFonts w:hint="default" w:ascii="Arial"/>
                <w:sz w:val="21"/>
              </w:rPr>
            </w:pPr>
          </w:p>
          <w:p w14:paraId="3214341F">
            <w:pPr>
              <w:pStyle w:val="22"/>
              <w:keepNext w:val="0"/>
              <w:keepLines w:val="0"/>
              <w:suppressLineNumbers w:val="0"/>
              <w:spacing w:before="68" w:beforeAutospacing="0" w:after="0" w:afterAutospacing="0" w:line="221" w:lineRule="auto"/>
              <w:ind w:left="134" w:right="0"/>
              <w:rPr>
                <w:rFonts w:hint="default"/>
              </w:rPr>
            </w:pPr>
            <w:r>
              <w:rPr>
                <w:rFonts w:hint="default"/>
                <w:spacing w:val="-2"/>
              </w:rPr>
              <w:t>蚀刻液</w:t>
            </w:r>
            <w:r>
              <w:rPr>
                <w:rFonts w:hint="default"/>
                <w:spacing w:val="-39"/>
              </w:rPr>
              <w:t xml:space="preserve"> </w:t>
            </w:r>
            <w:r>
              <w:rPr>
                <w:rFonts w:hint="default"/>
                <w:spacing w:val="-2"/>
              </w:rPr>
              <w:t>3</w:t>
            </w:r>
          </w:p>
        </w:tc>
        <w:tc>
          <w:tcPr>
            <w:tcW w:w="909" w:type="dxa"/>
            <w:vMerge w:val="restart"/>
            <w:tcBorders>
              <w:bottom w:val="nil"/>
            </w:tcBorders>
            <w:vAlign w:val="top"/>
          </w:tcPr>
          <w:p w14:paraId="358AB0C1">
            <w:pPr>
              <w:keepNext w:val="0"/>
              <w:keepLines w:val="0"/>
              <w:suppressLineNumbers w:val="0"/>
              <w:spacing w:before="0" w:beforeAutospacing="0" w:after="0" w:afterAutospacing="0" w:line="273" w:lineRule="auto"/>
              <w:ind w:left="0" w:right="0"/>
              <w:rPr>
                <w:rFonts w:hint="default" w:ascii="Arial"/>
                <w:sz w:val="21"/>
              </w:rPr>
            </w:pPr>
          </w:p>
          <w:p w14:paraId="5A4845CE">
            <w:pPr>
              <w:pStyle w:val="22"/>
              <w:keepNext w:val="0"/>
              <w:keepLines w:val="0"/>
              <w:suppressLineNumbers w:val="0"/>
              <w:spacing w:before="68" w:beforeAutospacing="0" w:after="0" w:afterAutospacing="0" w:line="222" w:lineRule="auto"/>
              <w:ind w:left="250" w:right="0"/>
              <w:rPr>
                <w:rFonts w:hint="default"/>
              </w:rPr>
            </w:pPr>
            <w:r>
              <w:rPr>
                <w:rFonts w:hint="default"/>
                <w:spacing w:val="-2"/>
              </w:rPr>
              <w:t>序号</w:t>
            </w:r>
          </w:p>
        </w:tc>
        <w:tc>
          <w:tcPr>
            <w:tcW w:w="3220" w:type="dxa"/>
            <w:gridSpan w:val="2"/>
            <w:vAlign w:val="top"/>
          </w:tcPr>
          <w:p w14:paraId="7F50092B">
            <w:pPr>
              <w:pStyle w:val="22"/>
              <w:keepNext w:val="0"/>
              <w:keepLines w:val="0"/>
              <w:suppressLineNumbers w:val="0"/>
              <w:spacing w:before="67" w:beforeAutospacing="0" w:after="0" w:afterAutospacing="0" w:line="222" w:lineRule="auto"/>
              <w:ind w:left="1405" w:right="0"/>
              <w:rPr>
                <w:rFonts w:hint="default"/>
              </w:rPr>
            </w:pPr>
            <w:r>
              <w:rPr>
                <w:rFonts w:hint="default"/>
                <w:spacing w:val="-2"/>
              </w:rPr>
              <w:t>入方</w:t>
            </w:r>
          </w:p>
        </w:tc>
        <w:tc>
          <w:tcPr>
            <w:tcW w:w="4232" w:type="dxa"/>
            <w:gridSpan w:val="3"/>
            <w:vAlign w:val="top"/>
          </w:tcPr>
          <w:p w14:paraId="5BE4E3BC">
            <w:pPr>
              <w:pStyle w:val="22"/>
              <w:keepNext w:val="0"/>
              <w:keepLines w:val="0"/>
              <w:suppressLineNumbers w:val="0"/>
              <w:spacing w:before="67" w:beforeAutospacing="0" w:after="0" w:afterAutospacing="0" w:line="222" w:lineRule="auto"/>
              <w:ind w:left="1930" w:right="0"/>
              <w:rPr>
                <w:rFonts w:hint="default"/>
              </w:rPr>
            </w:pPr>
            <w:r>
              <w:rPr>
                <w:rFonts w:hint="default"/>
                <w:spacing w:val="-7"/>
              </w:rPr>
              <w:t>出方</w:t>
            </w:r>
          </w:p>
        </w:tc>
      </w:tr>
      <w:tr w14:paraId="19DD9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46" w:type="dxa"/>
            <w:vMerge w:val="continue"/>
            <w:tcBorders>
              <w:top w:val="nil"/>
              <w:bottom w:val="nil"/>
            </w:tcBorders>
            <w:vAlign w:val="top"/>
          </w:tcPr>
          <w:p w14:paraId="37F22218">
            <w:pPr>
              <w:keepNext w:val="0"/>
              <w:keepLines w:val="0"/>
              <w:suppressLineNumbers w:val="0"/>
              <w:spacing w:before="0" w:beforeAutospacing="0" w:after="0" w:afterAutospacing="0"/>
              <w:ind w:left="0" w:right="0"/>
              <w:rPr>
                <w:rFonts w:hint="default" w:ascii="Arial"/>
                <w:sz w:val="21"/>
              </w:rPr>
            </w:pPr>
          </w:p>
        </w:tc>
        <w:tc>
          <w:tcPr>
            <w:tcW w:w="909" w:type="dxa"/>
            <w:vMerge w:val="continue"/>
            <w:tcBorders>
              <w:top w:val="nil"/>
            </w:tcBorders>
            <w:vAlign w:val="top"/>
          </w:tcPr>
          <w:p w14:paraId="20C5B2BE">
            <w:pPr>
              <w:keepNext w:val="0"/>
              <w:keepLines w:val="0"/>
              <w:suppressLineNumbers w:val="0"/>
              <w:spacing w:before="0" w:beforeAutospacing="0" w:after="0" w:afterAutospacing="0"/>
              <w:ind w:left="0" w:right="0"/>
              <w:rPr>
                <w:rFonts w:hint="default" w:ascii="Arial"/>
                <w:sz w:val="21"/>
              </w:rPr>
            </w:pPr>
          </w:p>
        </w:tc>
        <w:tc>
          <w:tcPr>
            <w:tcW w:w="1560" w:type="dxa"/>
            <w:vAlign w:val="top"/>
          </w:tcPr>
          <w:p w14:paraId="32F81802">
            <w:pPr>
              <w:pStyle w:val="22"/>
              <w:keepNext w:val="0"/>
              <w:keepLines w:val="0"/>
              <w:suppressLineNumbers w:val="0"/>
              <w:spacing w:before="170" w:beforeAutospacing="0" w:after="0" w:afterAutospacing="0" w:line="223" w:lineRule="auto"/>
              <w:ind w:left="575" w:right="0"/>
              <w:rPr>
                <w:rFonts w:hint="default"/>
              </w:rPr>
            </w:pPr>
            <w:r>
              <w:rPr>
                <w:rFonts w:hint="default"/>
                <w:spacing w:val="-3"/>
              </w:rPr>
              <w:t>名称</w:t>
            </w:r>
          </w:p>
        </w:tc>
        <w:tc>
          <w:tcPr>
            <w:tcW w:w="1660" w:type="dxa"/>
            <w:vAlign w:val="top"/>
          </w:tcPr>
          <w:p w14:paraId="024DDD57">
            <w:pPr>
              <w:pStyle w:val="22"/>
              <w:keepNext w:val="0"/>
              <w:keepLines w:val="0"/>
              <w:suppressLineNumbers w:val="0"/>
              <w:spacing w:before="169" w:beforeAutospacing="0" w:after="0" w:afterAutospacing="0" w:line="221" w:lineRule="auto"/>
              <w:ind w:left="364" w:right="0"/>
              <w:rPr>
                <w:rFonts w:hint="default"/>
              </w:rPr>
            </w:pPr>
            <w:r>
              <w:rPr>
                <w:rFonts w:hint="default"/>
                <w:spacing w:val="-1"/>
              </w:rPr>
              <w:t>数量(t/a)</w:t>
            </w:r>
          </w:p>
        </w:tc>
        <w:tc>
          <w:tcPr>
            <w:tcW w:w="3100" w:type="dxa"/>
            <w:gridSpan w:val="2"/>
            <w:vAlign w:val="top"/>
          </w:tcPr>
          <w:p w14:paraId="772A02A1">
            <w:pPr>
              <w:pStyle w:val="22"/>
              <w:keepNext w:val="0"/>
              <w:keepLines w:val="0"/>
              <w:suppressLineNumbers w:val="0"/>
              <w:spacing w:before="170" w:beforeAutospacing="0" w:after="0" w:afterAutospacing="0" w:line="223" w:lineRule="auto"/>
              <w:ind w:left="1350" w:right="0"/>
              <w:rPr>
                <w:rFonts w:hint="default"/>
              </w:rPr>
            </w:pPr>
            <w:r>
              <w:rPr>
                <w:rFonts w:hint="default"/>
                <w:spacing w:val="-3"/>
              </w:rPr>
              <w:t>名称</w:t>
            </w:r>
          </w:p>
        </w:tc>
        <w:tc>
          <w:tcPr>
            <w:tcW w:w="1132" w:type="dxa"/>
            <w:vAlign w:val="top"/>
          </w:tcPr>
          <w:p w14:paraId="5CDB930F">
            <w:pPr>
              <w:pStyle w:val="22"/>
              <w:keepNext w:val="0"/>
              <w:keepLines w:val="0"/>
              <w:suppressLineNumbers w:val="0"/>
              <w:spacing w:before="36" w:beforeAutospacing="0" w:after="0" w:afterAutospacing="0" w:line="222" w:lineRule="auto"/>
              <w:ind w:left="345" w:right="299" w:firstLine="17"/>
              <w:rPr>
                <w:rFonts w:hint="default"/>
              </w:rPr>
            </w:pPr>
            <w:r>
              <w:rPr>
                <w:rFonts w:hint="default"/>
                <w:spacing w:val="-4"/>
              </w:rPr>
              <w:t>数量</w:t>
            </w:r>
            <w:r>
              <w:rPr>
                <w:rFonts w:hint="default"/>
              </w:rPr>
              <w:t xml:space="preserve"> </w:t>
            </w:r>
            <w:r>
              <w:rPr>
                <w:rFonts w:hint="default"/>
                <w:spacing w:val="-9"/>
              </w:rPr>
              <w:t>(t/a)</w:t>
            </w:r>
          </w:p>
        </w:tc>
      </w:tr>
      <w:tr w14:paraId="498A7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46" w:type="dxa"/>
            <w:vMerge w:val="continue"/>
            <w:tcBorders>
              <w:top w:val="nil"/>
              <w:bottom w:val="nil"/>
            </w:tcBorders>
            <w:vAlign w:val="top"/>
          </w:tcPr>
          <w:p w14:paraId="66537E3E">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0A0E244B">
            <w:pPr>
              <w:pStyle w:val="22"/>
              <w:keepNext w:val="0"/>
              <w:keepLines w:val="0"/>
              <w:suppressLineNumbers w:val="0"/>
              <w:spacing w:before="101" w:beforeAutospacing="0" w:after="0" w:afterAutospacing="0" w:line="183" w:lineRule="auto"/>
              <w:ind w:left="422" w:right="0"/>
              <w:rPr>
                <w:rFonts w:hint="default"/>
              </w:rPr>
            </w:pPr>
            <w:r>
              <w:rPr>
                <w:rFonts w:hint="default"/>
              </w:rPr>
              <w:t>1</w:t>
            </w:r>
          </w:p>
        </w:tc>
        <w:tc>
          <w:tcPr>
            <w:tcW w:w="1560" w:type="dxa"/>
            <w:vAlign w:val="top"/>
          </w:tcPr>
          <w:p w14:paraId="4BB909F1">
            <w:pPr>
              <w:pStyle w:val="22"/>
              <w:keepNext w:val="0"/>
              <w:keepLines w:val="0"/>
              <w:suppressLineNumbers w:val="0"/>
              <w:spacing w:before="102" w:beforeAutospacing="0" w:after="0" w:afterAutospacing="0" w:line="190" w:lineRule="auto"/>
              <w:ind w:left="594" w:right="0"/>
              <w:rPr>
                <w:rFonts w:hint="default"/>
                <w:sz w:val="11"/>
                <w:szCs w:val="11"/>
              </w:rPr>
            </w:pPr>
            <w:r>
              <w:rPr>
                <w:rFonts w:hint="default"/>
                <w:spacing w:val="-1"/>
              </w:rPr>
              <w:t>HNO</w:t>
            </w:r>
            <w:r>
              <w:rPr>
                <w:rFonts w:hint="default"/>
                <w:spacing w:val="-1"/>
                <w:sz w:val="11"/>
                <w:szCs w:val="11"/>
              </w:rPr>
              <w:t>3</w:t>
            </w:r>
          </w:p>
        </w:tc>
        <w:tc>
          <w:tcPr>
            <w:tcW w:w="1660" w:type="dxa"/>
            <w:vAlign w:val="top"/>
          </w:tcPr>
          <w:p w14:paraId="43A90FAA">
            <w:pPr>
              <w:pStyle w:val="22"/>
              <w:keepNext w:val="0"/>
              <w:keepLines w:val="0"/>
              <w:suppressLineNumbers w:val="0"/>
              <w:spacing w:before="101" w:beforeAutospacing="0" w:after="0" w:afterAutospacing="0" w:line="183" w:lineRule="auto"/>
              <w:ind w:left="536" w:right="0"/>
              <w:rPr>
                <w:rFonts w:hint="default"/>
              </w:rPr>
            </w:pPr>
            <w:r>
              <w:rPr>
                <w:rFonts w:hint="default"/>
                <w:spacing w:val="-3"/>
              </w:rPr>
              <w:t>1625.5</w:t>
            </w:r>
          </w:p>
        </w:tc>
        <w:tc>
          <w:tcPr>
            <w:tcW w:w="1456" w:type="dxa"/>
            <w:vAlign w:val="top"/>
          </w:tcPr>
          <w:p w14:paraId="7DC40E7A">
            <w:pPr>
              <w:pStyle w:val="22"/>
              <w:keepNext w:val="0"/>
              <w:keepLines w:val="0"/>
              <w:suppressLineNumbers w:val="0"/>
              <w:spacing w:before="66" w:beforeAutospacing="0" w:after="0" w:afterAutospacing="0" w:line="221" w:lineRule="auto"/>
              <w:ind w:left="527" w:right="0"/>
              <w:rPr>
                <w:rFonts w:hint="default"/>
              </w:rPr>
            </w:pPr>
            <w:r>
              <w:rPr>
                <w:rFonts w:hint="default"/>
                <w:spacing w:val="-2"/>
              </w:rPr>
              <w:t>产品</w:t>
            </w:r>
          </w:p>
        </w:tc>
        <w:tc>
          <w:tcPr>
            <w:tcW w:w="1644" w:type="dxa"/>
            <w:vAlign w:val="top"/>
          </w:tcPr>
          <w:p w14:paraId="34AC2885">
            <w:pPr>
              <w:pStyle w:val="22"/>
              <w:keepNext w:val="0"/>
              <w:keepLines w:val="0"/>
              <w:suppressLineNumbers w:val="0"/>
              <w:spacing w:before="66" w:beforeAutospacing="0" w:after="0" w:afterAutospacing="0" w:line="221" w:lineRule="auto"/>
              <w:ind w:left="515" w:right="0"/>
              <w:rPr>
                <w:rFonts w:hint="default"/>
              </w:rPr>
            </w:pPr>
            <w:r>
              <w:rPr>
                <w:rFonts w:hint="default"/>
                <w:spacing w:val="-1"/>
              </w:rPr>
              <w:t>蚀刻液</w:t>
            </w:r>
          </w:p>
        </w:tc>
        <w:tc>
          <w:tcPr>
            <w:tcW w:w="1132" w:type="dxa"/>
            <w:vAlign w:val="top"/>
          </w:tcPr>
          <w:p w14:paraId="699B780F">
            <w:pPr>
              <w:pStyle w:val="22"/>
              <w:keepNext w:val="0"/>
              <w:keepLines w:val="0"/>
              <w:suppressLineNumbers w:val="0"/>
              <w:spacing w:before="102" w:beforeAutospacing="0" w:after="0" w:afterAutospacing="0" w:line="182" w:lineRule="auto"/>
              <w:ind w:left="363" w:right="0"/>
              <w:rPr>
                <w:rFonts w:hint="default"/>
              </w:rPr>
            </w:pPr>
            <w:r>
              <w:rPr>
                <w:rFonts w:hint="default"/>
                <w:spacing w:val="-3"/>
              </w:rPr>
              <w:t>2500</w:t>
            </w:r>
          </w:p>
        </w:tc>
      </w:tr>
      <w:tr w14:paraId="7AEF6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12BA0DB4">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72ABBBF5">
            <w:pPr>
              <w:pStyle w:val="22"/>
              <w:keepNext w:val="0"/>
              <w:keepLines w:val="0"/>
              <w:suppressLineNumbers w:val="0"/>
              <w:spacing w:before="104" w:beforeAutospacing="0" w:after="0" w:afterAutospacing="0" w:line="182" w:lineRule="auto"/>
              <w:ind w:left="409" w:right="0"/>
              <w:rPr>
                <w:rFonts w:hint="default"/>
              </w:rPr>
            </w:pPr>
            <w:r>
              <w:rPr>
                <w:rFonts w:hint="default"/>
              </w:rPr>
              <w:t>2</w:t>
            </w:r>
          </w:p>
        </w:tc>
        <w:tc>
          <w:tcPr>
            <w:tcW w:w="1560" w:type="dxa"/>
            <w:vAlign w:val="top"/>
          </w:tcPr>
          <w:p w14:paraId="7E568CF1">
            <w:pPr>
              <w:pStyle w:val="22"/>
              <w:keepNext w:val="0"/>
              <w:keepLines w:val="0"/>
              <w:suppressLineNumbers w:val="0"/>
              <w:spacing w:before="105" w:beforeAutospacing="0" w:after="0" w:afterAutospacing="0" w:line="181" w:lineRule="auto"/>
              <w:ind w:left="674" w:right="0"/>
              <w:rPr>
                <w:rFonts w:hint="default"/>
              </w:rPr>
            </w:pPr>
            <w:r>
              <w:rPr>
                <w:rFonts w:hint="default"/>
                <w:spacing w:val="-1"/>
              </w:rPr>
              <w:t>HF</w:t>
            </w:r>
          </w:p>
        </w:tc>
        <w:tc>
          <w:tcPr>
            <w:tcW w:w="1660" w:type="dxa"/>
            <w:vAlign w:val="top"/>
          </w:tcPr>
          <w:p w14:paraId="6DF4AC9C">
            <w:pPr>
              <w:pStyle w:val="22"/>
              <w:keepNext w:val="0"/>
              <w:keepLines w:val="0"/>
              <w:suppressLineNumbers w:val="0"/>
              <w:spacing w:before="104" w:beforeAutospacing="0" w:after="0" w:afterAutospacing="0" w:line="182" w:lineRule="auto"/>
              <w:ind w:left="631" w:right="0"/>
              <w:rPr>
                <w:rFonts w:hint="default"/>
              </w:rPr>
            </w:pPr>
            <w:r>
              <w:rPr>
                <w:rFonts w:hint="default"/>
                <w:spacing w:val="-3"/>
              </w:rPr>
              <w:t>50.5</w:t>
            </w:r>
          </w:p>
        </w:tc>
        <w:tc>
          <w:tcPr>
            <w:tcW w:w="1456" w:type="dxa"/>
            <w:vAlign w:val="top"/>
          </w:tcPr>
          <w:p w14:paraId="6E49179D">
            <w:pPr>
              <w:pStyle w:val="22"/>
              <w:keepNext w:val="0"/>
              <w:keepLines w:val="0"/>
              <w:suppressLineNumbers w:val="0"/>
              <w:spacing w:before="68" w:beforeAutospacing="0" w:after="0" w:afterAutospacing="0" w:line="221" w:lineRule="auto"/>
              <w:ind w:left="527" w:right="0"/>
              <w:rPr>
                <w:rFonts w:hint="default"/>
              </w:rPr>
            </w:pPr>
            <w:r>
              <w:rPr>
                <w:rFonts w:hint="default"/>
                <w:spacing w:val="-2"/>
              </w:rPr>
              <w:t>损耗</w:t>
            </w:r>
          </w:p>
        </w:tc>
        <w:tc>
          <w:tcPr>
            <w:tcW w:w="1644" w:type="dxa"/>
            <w:vAlign w:val="top"/>
          </w:tcPr>
          <w:p w14:paraId="5CEDB847">
            <w:pPr>
              <w:pStyle w:val="22"/>
              <w:keepNext w:val="0"/>
              <w:keepLines w:val="0"/>
              <w:suppressLineNumbers w:val="0"/>
              <w:spacing w:before="69" w:beforeAutospacing="0" w:after="0" w:afterAutospacing="0" w:line="222" w:lineRule="auto"/>
              <w:ind w:left="411" w:right="0"/>
              <w:rPr>
                <w:rFonts w:hint="default"/>
              </w:rPr>
            </w:pPr>
            <w:r>
              <w:rPr>
                <w:rFonts w:hint="default"/>
                <w:spacing w:val="-2"/>
              </w:rPr>
              <w:t>过滤损失</w:t>
            </w:r>
          </w:p>
        </w:tc>
        <w:tc>
          <w:tcPr>
            <w:tcW w:w="1132" w:type="dxa"/>
            <w:vAlign w:val="top"/>
          </w:tcPr>
          <w:p w14:paraId="16D2AB7B">
            <w:pPr>
              <w:pStyle w:val="22"/>
              <w:keepNext w:val="0"/>
              <w:keepLines w:val="0"/>
              <w:suppressLineNumbers w:val="0"/>
              <w:spacing w:before="103" w:beforeAutospacing="0" w:after="0" w:afterAutospacing="0" w:line="183" w:lineRule="auto"/>
              <w:ind w:left="312" w:right="0"/>
              <w:rPr>
                <w:rFonts w:hint="default"/>
              </w:rPr>
            </w:pPr>
            <w:r>
              <w:rPr>
                <w:rFonts w:hint="default"/>
                <w:spacing w:val="-2"/>
              </w:rPr>
              <w:t>3.125</w:t>
            </w:r>
          </w:p>
        </w:tc>
      </w:tr>
      <w:tr w14:paraId="41E8E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279B511D">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6C711C73">
            <w:pPr>
              <w:pStyle w:val="22"/>
              <w:keepNext w:val="0"/>
              <w:keepLines w:val="0"/>
              <w:suppressLineNumbers w:val="0"/>
              <w:spacing w:before="102" w:beforeAutospacing="0" w:after="0" w:afterAutospacing="0" w:line="182" w:lineRule="auto"/>
              <w:ind w:left="411" w:right="0"/>
              <w:rPr>
                <w:rFonts w:hint="default"/>
              </w:rPr>
            </w:pPr>
            <w:r>
              <w:rPr>
                <w:rFonts w:hint="default"/>
              </w:rPr>
              <w:t>3</w:t>
            </w:r>
          </w:p>
        </w:tc>
        <w:tc>
          <w:tcPr>
            <w:tcW w:w="1560" w:type="dxa"/>
            <w:vAlign w:val="top"/>
          </w:tcPr>
          <w:p w14:paraId="5F8BF917">
            <w:pPr>
              <w:pStyle w:val="22"/>
              <w:keepNext w:val="0"/>
              <w:keepLines w:val="0"/>
              <w:suppressLineNumbers w:val="0"/>
              <w:spacing w:before="103" w:beforeAutospacing="0" w:after="0" w:afterAutospacing="0" w:line="190" w:lineRule="auto"/>
              <w:ind w:left="647" w:right="0"/>
              <w:rPr>
                <w:rFonts w:hint="default"/>
              </w:rPr>
            </w:pPr>
            <w:r>
              <w:rPr>
                <w:rFonts w:hint="default"/>
                <w:spacing w:val="-1"/>
              </w:rPr>
              <w:t>H</w:t>
            </w:r>
            <w:r>
              <w:rPr>
                <w:rFonts w:hint="default"/>
                <w:spacing w:val="-1"/>
                <w:sz w:val="11"/>
                <w:szCs w:val="11"/>
              </w:rPr>
              <w:t>2</w:t>
            </w:r>
            <w:r>
              <w:rPr>
                <w:rFonts w:hint="default"/>
                <w:spacing w:val="-1"/>
              </w:rPr>
              <w:t>O</w:t>
            </w:r>
          </w:p>
        </w:tc>
        <w:tc>
          <w:tcPr>
            <w:tcW w:w="1660" w:type="dxa"/>
            <w:vAlign w:val="top"/>
          </w:tcPr>
          <w:p w14:paraId="429EBA43">
            <w:pPr>
              <w:pStyle w:val="22"/>
              <w:keepNext w:val="0"/>
              <w:keepLines w:val="0"/>
              <w:suppressLineNumbers w:val="0"/>
              <w:spacing w:before="101" w:beforeAutospacing="0" w:after="0" w:afterAutospacing="0" w:line="183" w:lineRule="auto"/>
              <w:ind w:left="523" w:right="0"/>
              <w:rPr>
                <w:rFonts w:hint="default"/>
              </w:rPr>
            </w:pPr>
            <w:r>
              <w:rPr>
                <w:rFonts w:hint="default"/>
                <w:spacing w:val="-1"/>
              </w:rPr>
              <w:t>281.75</w:t>
            </w:r>
          </w:p>
        </w:tc>
        <w:tc>
          <w:tcPr>
            <w:tcW w:w="1456" w:type="dxa"/>
            <w:vAlign w:val="top"/>
          </w:tcPr>
          <w:p w14:paraId="5170842F">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3139EE92">
            <w:pPr>
              <w:keepNext w:val="0"/>
              <w:keepLines w:val="0"/>
              <w:suppressLineNumbers w:val="0"/>
              <w:spacing w:before="0" w:beforeAutospacing="0" w:after="0" w:afterAutospacing="0"/>
              <w:ind w:left="0" w:right="0"/>
              <w:rPr>
                <w:rFonts w:hint="default" w:ascii="Arial"/>
                <w:sz w:val="21"/>
              </w:rPr>
            </w:pPr>
          </w:p>
        </w:tc>
        <w:tc>
          <w:tcPr>
            <w:tcW w:w="1132" w:type="dxa"/>
            <w:vAlign w:val="top"/>
          </w:tcPr>
          <w:p w14:paraId="735463F7">
            <w:pPr>
              <w:keepNext w:val="0"/>
              <w:keepLines w:val="0"/>
              <w:suppressLineNumbers w:val="0"/>
              <w:spacing w:before="0" w:beforeAutospacing="0" w:after="0" w:afterAutospacing="0"/>
              <w:ind w:left="0" w:right="0"/>
              <w:rPr>
                <w:rFonts w:hint="default" w:ascii="Arial"/>
                <w:sz w:val="21"/>
              </w:rPr>
            </w:pPr>
          </w:p>
        </w:tc>
      </w:tr>
      <w:tr w14:paraId="079B9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46" w:type="dxa"/>
            <w:vMerge w:val="continue"/>
            <w:tcBorders>
              <w:top w:val="nil"/>
              <w:bottom w:val="nil"/>
            </w:tcBorders>
            <w:vAlign w:val="top"/>
          </w:tcPr>
          <w:p w14:paraId="3E6C1B51">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7D097B74">
            <w:pPr>
              <w:pStyle w:val="22"/>
              <w:keepNext w:val="0"/>
              <w:keepLines w:val="0"/>
              <w:suppressLineNumbers w:val="0"/>
              <w:spacing w:before="103" w:beforeAutospacing="0" w:after="0" w:afterAutospacing="0" w:line="182" w:lineRule="auto"/>
              <w:ind w:left="406" w:right="0"/>
              <w:rPr>
                <w:rFonts w:hint="default"/>
              </w:rPr>
            </w:pPr>
            <w:r>
              <w:rPr>
                <w:rFonts w:hint="default"/>
              </w:rPr>
              <w:t>4</w:t>
            </w:r>
          </w:p>
        </w:tc>
        <w:tc>
          <w:tcPr>
            <w:tcW w:w="1560" w:type="dxa"/>
            <w:vAlign w:val="top"/>
          </w:tcPr>
          <w:p w14:paraId="4B5E5E82">
            <w:pPr>
              <w:pStyle w:val="22"/>
              <w:keepNext w:val="0"/>
              <w:keepLines w:val="0"/>
              <w:suppressLineNumbers w:val="0"/>
              <w:spacing w:before="103" w:beforeAutospacing="0" w:after="0" w:afterAutospacing="0" w:line="190" w:lineRule="auto"/>
              <w:ind w:left="439" w:right="0"/>
              <w:rPr>
                <w:rFonts w:hint="default"/>
              </w:rPr>
            </w:pPr>
            <w:r>
              <w:rPr>
                <w:rFonts w:hint="default"/>
                <w:spacing w:val="-1"/>
              </w:rPr>
              <w:t>CH</w:t>
            </w:r>
            <w:r>
              <w:rPr>
                <w:rFonts w:hint="default"/>
                <w:spacing w:val="-1"/>
                <w:sz w:val="11"/>
                <w:szCs w:val="11"/>
              </w:rPr>
              <w:t>3</w:t>
            </w:r>
            <w:r>
              <w:rPr>
                <w:rFonts w:hint="default"/>
                <w:spacing w:val="-1"/>
              </w:rPr>
              <w:t>COOH</w:t>
            </w:r>
          </w:p>
        </w:tc>
        <w:tc>
          <w:tcPr>
            <w:tcW w:w="1660" w:type="dxa"/>
            <w:vAlign w:val="top"/>
          </w:tcPr>
          <w:p w14:paraId="675E327B">
            <w:pPr>
              <w:pStyle w:val="22"/>
              <w:keepNext w:val="0"/>
              <w:keepLines w:val="0"/>
              <w:suppressLineNumbers w:val="0"/>
              <w:spacing w:before="102" w:beforeAutospacing="0" w:after="0" w:afterAutospacing="0" w:line="183" w:lineRule="auto"/>
              <w:ind w:left="589" w:right="0"/>
              <w:rPr>
                <w:rFonts w:hint="default"/>
              </w:rPr>
            </w:pPr>
            <w:r>
              <w:rPr>
                <w:rFonts w:hint="default"/>
                <w:spacing w:val="-4"/>
              </w:rPr>
              <w:t>125.5</w:t>
            </w:r>
          </w:p>
        </w:tc>
        <w:tc>
          <w:tcPr>
            <w:tcW w:w="1456" w:type="dxa"/>
            <w:vAlign w:val="top"/>
          </w:tcPr>
          <w:p w14:paraId="3BD0F472">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6BF08ADD">
            <w:pPr>
              <w:pStyle w:val="22"/>
              <w:keepNext w:val="0"/>
              <w:keepLines w:val="0"/>
              <w:suppressLineNumbers w:val="0"/>
              <w:spacing w:before="68" w:beforeAutospacing="0" w:after="0" w:afterAutospacing="0" w:line="221" w:lineRule="auto"/>
              <w:ind w:left="410" w:right="0"/>
              <w:rPr>
                <w:rFonts w:hint="default"/>
              </w:rPr>
            </w:pPr>
            <w:r>
              <w:rPr>
                <w:rFonts w:hint="default"/>
                <w:spacing w:val="-2"/>
              </w:rPr>
              <w:t>包装损失</w:t>
            </w:r>
          </w:p>
        </w:tc>
        <w:tc>
          <w:tcPr>
            <w:tcW w:w="1132" w:type="dxa"/>
            <w:vAlign w:val="top"/>
          </w:tcPr>
          <w:p w14:paraId="0B10BD34">
            <w:pPr>
              <w:pStyle w:val="22"/>
              <w:keepNext w:val="0"/>
              <w:keepLines w:val="0"/>
              <w:suppressLineNumbers w:val="0"/>
              <w:spacing w:before="102" w:beforeAutospacing="0" w:after="0" w:afterAutospacing="0" w:line="183" w:lineRule="auto"/>
              <w:ind w:left="312" w:right="0"/>
              <w:rPr>
                <w:rFonts w:hint="default"/>
              </w:rPr>
            </w:pPr>
            <w:r>
              <w:rPr>
                <w:rFonts w:hint="default"/>
                <w:spacing w:val="-2"/>
              </w:rPr>
              <w:t>3.125</w:t>
            </w:r>
          </w:p>
        </w:tc>
      </w:tr>
      <w:tr w14:paraId="31FCF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09461CC5">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5F1AD8C2">
            <w:pPr>
              <w:pStyle w:val="22"/>
              <w:keepNext w:val="0"/>
              <w:keepLines w:val="0"/>
              <w:suppressLineNumbers w:val="0"/>
              <w:spacing w:before="104" w:beforeAutospacing="0" w:after="0" w:afterAutospacing="0" w:line="181" w:lineRule="auto"/>
              <w:ind w:left="411" w:right="0"/>
              <w:rPr>
                <w:rFonts w:hint="default"/>
              </w:rPr>
            </w:pPr>
            <w:r>
              <w:rPr>
                <w:rFonts w:hint="default"/>
              </w:rPr>
              <w:t>5</w:t>
            </w:r>
          </w:p>
        </w:tc>
        <w:tc>
          <w:tcPr>
            <w:tcW w:w="1560" w:type="dxa"/>
            <w:vAlign w:val="top"/>
          </w:tcPr>
          <w:p w14:paraId="4A697B7E">
            <w:pPr>
              <w:pStyle w:val="22"/>
              <w:keepNext w:val="0"/>
              <w:keepLines w:val="0"/>
              <w:suppressLineNumbers w:val="0"/>
              <w:spacing w:before="103" w:beforeAutospacing="0" w:after="0" w:afterAutospacing="0" w:line="190" w:lineRule="auto"/>
              <w:ind w:left="618" w:right="0"/>
              <w:rPr>
                <w:rFonts w:hint="default"/>
                <w:sz w:val="11"/>
                <w:szCs w:val="11"/>
              </w:rPr>
            </w:pPr>
            <w:r>
              <w:rPr>
                <w:rFonts w:hint="default"/>
                <w:spacing w:val="-1"/>
              </w:rPr>
              <w:t>H</w:t>
            </w:r>
            <w:r>
              <w:rPr>
                <w:rFonts w:hint="default"/>
                <w:spacing w:val="-1"/>
                <w:sz w:val="11"/>
                <w:szCs w:val="11"/>
              </w:rPr>
              <w:t>2</w:t>
            </w:r>
            <w:r>
              <w:rPr>
                <w:rFonts w:hint="default"/>
                <w:spacing w:val="-1"/>
              </w:rPr>
              <w:t>O</w:t>
            </w:r>
            <w:r>
              <w:rPr>
                <w:rFonts w:hint="default"/>
                <w:spacing w:val="-1"/>
                <w:sz w:val="11"/>
                <w:szCs w:val="11"/>
              </w:rPr>
              <w:t>2</w:t>
            </w:r>
          </w:p>
        </w:tc>
        <w:tc>
          <w:tcPr>
            <w:tcW w:w="1660" w:type="dxa"/>
            <w:vAlign w:val="top"/>
          </w:tcPr>
          <w:p w14:paraId="44717D9B">
            <w:pPr>
              <w:pStyle w:val="22"/>
              <w:keepNext w:val="0"/>
              <w:keepLines w:val="0"/>
              <w:suppressLineNumbers w:val="0"/>
              <w:spacing w:before="103" w:beforeAutospacing="0" w:after="0" w:afterAutospacing="0" w:line="182" w:lineRule="auto"/>
              <w:ind w:left="573" w:right="0"/>
              <w:rPr>
                <w:rFonts w:hint="default"/>
              </w:rPr>
            </w:pPr>
            <w:r>
              <w:rPr>
                <w:rFonts w:hint="default"/>
                <w:spacing w:val="-1"/>
              </w:rPr>
              <w:t>425.5</w:t>
            </w:r>
          </w:p>
        </w:tc>
        <w:tc>
          <w:tcPr>
            <w:tcW w:w="1456" w:type="dxa"/>
            <w:vAlign w:val="top"/>
          </w:tcPr>
          <w:p w14:paraId="0CA67070">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5F101BE0">
            <w:pPr>
              <w:pStyle w:val="22"/>
              <w:keepNext w:val="0"/>
              <w:keepLines w:val="0"/>
              <w:suppressLineNumbers w:val="0"/>
              <w:spacing w:before="67" w:beforeAutospacing="0" w:after="0" w:afterAutospacing="0" w:line="221" w:lineRule="auto"/>
              <w:ind w:left="620" w:right="0"/>
              <w:rPr>
                <w:rFonts w:hint="default"/>
              </w:rPr>
            </w:pPr>
            <w:r>
              <w:rPr>
                <w:rFonts w:hint="default"/>
                <w:spacing w:val="-2"/>
              </w:rPr>
              <w:t>废气</w:t>
            </w:r>
          </w:p>
        </w:tc>
        <w:tc>
          <w:tcPr>
            <w:tcW w:w="1132" w:type="dxa"/>
            <w:vAlign w:val="top"/>
          </w:tcPr>
          <w:p w14:paraId="069C87E5">
            <w:pPr>
              <w:pStyle w:val="22"/>
              <w:keepNext w:val="0"/>
              <w:keepLines w:val="0"/>
              <w:suppressLineNumbers w:val="0"/>
              <w:spacing w:before="103" w:beforeAutospacing="0" w:after="0" w:afterAutospacing="0" w:line="182" w:lineRule="auto"/>
              <w:ind w:left="415" w:right="0"/>
              <w:rPr>
                <w:rFonts w:hint="default"/>
              </w:rPr>
            </w:pPr>
            <w:r>
              <w:rPr>
                <w:rFonts w:hint="default"/>
                <w:spacing w:val="-2"/>
              </w:rPr>
              <w:t>2.5</w:t>
            </w:r>
          </w:p>
        </w:tc>
      </w:tr>
      <w:tr w14:paraId="28C4B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tcBorders>
            <w:vAlign w:val="top"/>
          </w:tcPr>
          <w:p w14:paraId="0638B70C">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227ADCFE">
            <w:pPr>
              <w:pStyle w:val="22"/>
              <w:keepNext w:val="0"/>
              <w:keepLines w:val="0"/>
              <w:suppressLineNumbers w:val="0"/>
              <w:spacing w:before="68" w:beforeAutospacing="0" w:after="0" w:afterAutospacing="0" w:line="222" w:lineRule="auto"/>
              <w:ind w:left="252" w:right="0"/>
              <w:rPr>
                <w:rFonts w:hint="default"/>
              </w:rPr>
            </w:pPr>
            <w:r>
              <w:rPr>
                <w:rFonts w:hint="default"/>
                <w:spacing w:val="-2"/>
              </w:rPr>
              <w:t>合计</w:t>
            </w:r>
          </w:p>
        </w:tc>
        <w:tc>
          <w:tcPr>
            <w:tcW w:w="1560" w:type="dxa"/>
            <w:vAlign w:val="top"/>
          </w:tcPr>
          <w:p w14:paraId="4DFA3FBA">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3FB2040C">
            <w:pPr>
              <w:pStyle w:val="22"/>
              <w:keepNext w:val="0"/>
              <w:keepLines w:val="0"/>
              <w:suppressLineNumbers w:val="0"/>
              <w:spacing w:before="103" w:beforeAutospacing="0" w:after="0" w:afterAutospacing="0" w:line="182" w:lineRule="auto"/>
              <w:ind w:left="470" w:right="0"/>
              <w:rPr>
                <w:rFonts w:hint="default"/>
              </w:rPr>
            </w:pPr>
            <w:r>
              <w:rPr>
                <w:rFonts w:hint="default"/>
                <w:spacing w:val="-2"/>
              </w:rPr>
              <w:t>2508.75</w:t>
            </w:r>
          </w:p>
        </w:tc>
        <w:tc>
          <w:tcPr>
            <w:tcW w:w="1456" w:type="dxa"/>
            <w:vAlign w:val="top"/>
          </w:tcPr>
          <w:p w14:paraId="5D84EE1D">
            <w:pPr>
              <w:pStyle w:val="22"/>
              <w:keepNext w:val="0"/>
              <w:keepLines w:val="0"/>
              <w:suppressLineNumbers w:val="0"/>
              <w:spacing w:before="68" w:beforeAutospacing="0" w:after="0" w:afterAutospacing="0" w:line="222" w:lineRule="auto"/>
              <w:ind w:left="528" w:right="0"/>
              <w:rPr>
                <w:rFonts w:hint="default"/>
              </w:rPr>
            </w:pPr>
            <w:r>
              <w:rPr>
                <w:rFonts w:hint="default"/>
                <w:spacing w:val="-2"/>
              </w:rPr>
              <w:t>合计</w:t>
            </w:r>
          </w:p>
        </w:tc>
        <w:tc>
          <w:tcPr>
            <w:tcW w:w="1644" w:type="dxa"/>
            <w:vAlign w:val="top"/>
          </w:tcPr>
          <w:p w14:paraId="4854E3E4">
            <w:pPr>
              <w:keepNext w:val="0"/>
              <w:keepLines w:val="0"/>
              <w:suppressLineNumbers w:val="0"/>
              <w:spacing w:before="0" w:beforeAutospacing="0" w:after="0" w:afterAutospacing="0"/>
              <w:ind w:left="0" w:right="0"/>
              <w:rPr>
                <w:rFonts w:hint="default" w:ascii="Arial"/>
                <w:sz w:val="21"/>
              </w:rPr>
            </w:pPr>
          </w:p>
        </w:tc>
        <w:tc>
          <w:tcPr>
            <w:tcW w:w="1132" w:type="dxa"/>
            <w:vAlign w:val="top"/>
          </w:tcPr>
          <w:p w14:paraId="20F2E16D">
            <w:pPr>
              <w:pStyle w:val="22"/>
              <w:keepNext w:val="0"/>
              <w:keepLines w:val="0"/>
              <w:suppressLineNumbers w:val="0"/>
              <w:spacing w:before="103" w:beforeAutospacing="0" w:after="0" w:afterAutospacing="0" w:line="182" w:lineRule="auto"/>
              <w:ind w:left="207" w:right="0"/>
              <w:rPr>
                <w:rFonts w:hint="default"/>
              </w:rPr>
            </w:pPr>
            <w:r>
              <w:rPr>
                <w:rFonts w:hint="default"/>
                <w:spacing w:val="-2"/>
              </w:rPr>
              <w:t>2508.75</w:t>
            </w:r>
          </w:p>
        </w:tc>
      </w:tr>
      <w:tr w14:paraId="170A2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46" w:type="dxa"/>
            <w:vMerge w:val="restart"/>
            <w:tcBorders>
              <w:bottom w:val="nil"/>
            </w:tcBorders>
            <w:vAlign w:val="top"/>
          </w:tcPr>
          <w:p w14:paraId="0E20D9B2">
            <w:pPr>
              <w:keepNext w:val="0"/>
              <w:keepLines w:val="0"/>
              <w:suppressLineNumbers w:val="0"/>
              <w:spacing w:before="0" w:beforeAutospacing="0" w:after="0" w:afterAutospacing="0" w:line="286" w:lineRule="auto"/>
              <w:ind w:left="0" w:right="0"/>
              <w:rPr>
                <w:rFonts w:hint="default" w:ascii="Arial"/>
                <w:sz w:val="21"/>
              </w:rPr>
            </w:pPr>
          </w:p>
          <w:p w14:paraId="6D61488E">
            <w:pPr>
              <w:keepNext w:val="0"/>
              <w:keepLines w:val="0"/>
              <w:suppressLineNumbers w:val="0"/>
              <w:spacing w:before="0" w:beforeAutospacing="0" w:after="0" w:afterAutospacing="0" w:line="286" w:lineRule="auto"/>
              <w:ind w:left="0" w:right="0"/>
              <w:rPr>
                <w:rFonts w:hint="default" w:ascii="Arial"/>
                <w:sz w:val="21"/>
              </w:rPr>
            </w:pPr>
          </w:p>
          <w:p w14:paraId="41A9BFAE">
            <w:pPr>
              <w:keepNext w:val="0"/>
              <w:keepLines w:val="0"/>
              <w:suppressLineNumbers w:val="0"/>
              <w:spacing w:before="0" w:beforeAutospacing="0" w:after="0" w:afterAutospacing="0" w:line="286" w:lineRule="auto"/>
              <w:ind w:left="0" w:right="0"/>
              <w:rPr>
                <w:rFonts w:hint="default" w:ascii="Arial"/>
                <w:sz w:val="21"/>
              </w:rPr>
            </w:pPr>
          </w:p>
          <w:p w14:paraId="58DA24FA">
            <w:pPr>
              <w:keepNext w:val="0"/>
              <w:keepLines w:val="0"/>
              <w:suppressLineNumbers w:val="0"/>
              <w:spacing w:before="0" w:beforeAutospacing="0" w:after="0" w:afterAutospacing="0" w:line="286" w:lineRule="auto"/>
              <w:ind w:left="0" w:right="0"/>
              <w:rPr>
                <w:rFonts w:hint="default" w:ascii="Arial"/>
                <w:sz w:val="21"/>
              </w:rPr>
            </w:pPr>
          </w:p>
          <w:p w14:paraId="51C05D9D">
            <w:pPr>
              <w:pStyle w:val="22"/>
              <w:keepNext w:val="0"/>
              <w:keepLines w:val="0"/>
              <w:suppressLineNumbers w:val="0"/>
              <w:spacing w:before="68" w:beforeAutospacing="0" w:after="0" w:afterAutospacing="0" w:line="221" w:lineRule="auto"/>
              <w:ind w:left="134" w:right="0"/>
              <w:rPr>
                <w:rFonts w:hint="default"/>
              </w:rPr>
            </w:pPr>
            <w:r>
              <w:rPr>
                <w:rFonts w:hint="default"/>
                <w:spacing w:val="-2"/>
              </w:rPr>
              <w:t>蚀刻液</w:t>
            </w:r>
            <w:r>
              <w:rPr>
                <w:rFonts w:hint="default"/>
                <w:spacing w:val="-44"/>
              </w:rPr>
              <w:t xml:space="preserve"> </w:t>
            </w:r>
            <w:r>
              <w:rPr>
                <w:rFonts w:hint="default"/>
                <w:spacing w:val="-2"/>
              </w:rPr>
              <w:t>4</w:t>
            </w:r>
          </w:p>
        </w:tc>
        <w:tc>
          <w:tcPr>
            <w:tcW w:w="909" w:type="dxa"/>
            <w:vMerge w:val="restart"/>
            <w:tcBorders>
              <w:bottom w:val="nil"/>
            </w:tcBorders>
            <w:vAlign w:val="top"/>
          </w:tcPr>
          <w:p w14:paraId="3069F58B">
            <w:pPr>
              <w:keepNext w:val="0"/>
              <w:keepLines w:val="0"/>
              <w:suppressLineNumbers w:val="0"/>
              <w:spacing w:before="0" w:beforeAutospacing="0" w:after="0" w:afterAutospacing="0" w:line="274" w:lineRule="auto"/>
              <w:ind w:left="0" w:right="0"/>
              <w:rPr>
                <w:rFonts w:hint="default" w:ascii="Arial"/>
                <w:sz w:val="21"/>
              </w:rPr>
            </w:pPr>
          </w:p>
          <w:p w14:paraId="571873A3">
            <w:pPr>
              <w:pStyle w:val="22"/>
              <w:keepNext w:val="0"/>
              <w:keepLines w:val="0"/>
              <w:suppressLineNumbers w:val="0"/>
              <w:spacing w:before="68" w:beforeAutospacing="0" w:after="0" w:afterAutospacing="0" w:line="222" w:lineRule="auto"/>
              <w:ind w:left="250" w:right="0"/>
              <w:rPr>
                <w:rFonts w:hint="default"/>
              </w:rPr>
            </w:pPr>
            <w:r>
              <w:rPr>
                <w:rFonts w:hint="default"/>
                <w:spacing w:val="-2"/>
              </w:rPr>
              <w:t>序号</w:t>
            </w:r>
          </w:p>
        </w:tc>
        <w:tc>
          <w:tcPr>
            <w:tcW w:w="3220" w:type="dxa"/>
            <w:gridSpan w:val="2"/>
            <w:vAlign w:val="top"/>
          </w:tcPr>
          <w:p w14:paraId="34A3C99D">
            <w:pPr>
              <w:pStyle w:val="22"/>
              <w:keepNext w:val="0"/>
              <w:keepLines w:val="0"/>
              <w:suppressLineNumbers w:val="0"/>
              <w:spacing w:before="68" w:beforeAutospacing="0" w:after="0" w:afterAutospacing="0" w:line="222" w:lineRule="auto"/>
              <w:ind w:left="1405" w:right="0"/>
              <w:rPr>
                <w:rFonts w:hint="default"/>
              </w:rPr>
            </w:pPr>
            <w:r>
              <w:rPr>
                <w:rFonts w:hint="default"/>
                <w:spacing w:val="-2"/>
              </w:rPr>
              <w:t>入方</w:t>
            </w:r>
          </w:p>
        </w:tc>
        <w:tc>
          <w:tcPr>
            <w:tcW w:w="4232" w:type="dxa"/>
            <w:gridSpan w:val="3"/>
            <w:vAlign w:val="top"/>
          </w:tcPr>
          <w:p w14:paraId="0E1DB8B4">
            <w:pPr>
              <w:pStyle w:val="22"/>
              <w:keepNext w:val="0"/>
              <w:keepLines w:val="0"/>
              <w:suppressLineNumbers w:val="0"/>
              <w:spacing w:before="68" w:beforeAutospacing="0" w:after="0" w:afterAutospacing="0" w:line="222" w:lineRule="auto"/>
              <w:ind w:left="1930" w:right="0"/>
              <w:rPr>
                <w:rFonts w:hint="default"/>
              </w:rPr>
            </w:pPr>
            <w:r>
              <w:rPr>
                <w:rFonts w:hint="default"/>
                <w:spacing w:val="-7"/>
              </w:rPr>
              <w:t>出方</w:t>
            </w:r>
          </w:p>
        </w:tc>
      </w:tr>
      <w:tr w14:paraId="30449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46" w:type="dxa"/>
            <w:vMerge w:val="continue"/>
            <w:tcBorders>
              <w:top w:val="nil"/>
              <w:bottom w:val="nil"/>
            </w:tcBorders>
            <w:vAlign w:val="top"/>
          </w:tcPr>
          <w:p w14:paraId="7ED9FE64">
            <w:pPr>
              <w:keepNext w:val="0"/>
              <w:keepLines w:val="0"/>
              <w:suppressLineNumbers w:val="0"/>
              <w:spacing w:before="0" w:beforeAutospacing="0" w:after="0" w:afterAutospacing="0"/>
              <w:ind w:left="0" w:right="0"/>
              <w:rPr>
                <w:rFonts w:hint="default" w:ascii="Arial"/>
                <w:sz w:val="21"/>
              </w:rPr>
            </w:pPr>
          </w:p>
        </w:tc>
        <w:tc>
          <w:tcPr>
            <w:tcW w:w="909" w:type="dxa"/>
            <w:vMerge w:val="continue"/>
            <w:tcBorders>
              <w:top w:val="nil"/>
            </w:tcBorders>
            <w:vAlign w:val="top"/>
          </w:tcPr>
          <w:p w14:paraId="360DC9E4">
            <w:pPr>
              <w:keepNext w:val="0"/>
              <w:keepLines w:val="0"/>
              <w:suppressLineNumbers w:val="0"/>
              <w:spacing w:before="0" w:beforeAutospacing="0" w:after="0" w:afterAutospacing="0"/>
              <w:ind w:left="0" w:right="0"/>
              <w:rPr>
                <w:rFonts w:hint="default" w:ascii="Arial"/>
                <w:sz w:val="21"/>
              </w:rPr>
            </w:pPr>
          </w:p>
        </w:tc>
        <w:tc>
          <w:tcPr>
            <w:tcW w:w="1560" w:type="dxa"/>
            <w:vAlign w:val="top"/>
          </w:tcPr>
          <w:p w14:paraId="17D64D72">
            <w:pPr>
              <w:pStyle w:val="22"/>
              <w:keepNext w:val="0"/>
              <w:keepLines w:val="0"/>
              <w:suppressLineNumbers w:val="0"/>
              <w:spacing w:before="171" w:beforeAutospacing="0" w:after="0" w:afterAutospacing="0" w:line="223" w:lineRule="auto"/>
              <w:ind w:left="575" w:right="0"/>
              <w:rPr>
                <w:rFonts w:hint="default"/>
              </w:rPr>
            </w:pPr>
            <w:r>
              <w:rPr>
                <w:rFonts w:hint="default"/>
                <w:spacing w:val="-3"/>
              </w:rPr>
              <w:t>名称</w:t>
            </w:r>
          </w:p>
        </w:tc>
        <w:tc>
          <w:tcPr>
            <w:tcW w:w="1660" w:type="dxa"/>
            <w:vAlign w:val="top"/>
          </w:tcPr>
          <w:p w14:paraId="73EC218E">
            <w:pPr>
              <w:pStyle w:val="22"/>
              <w:keepNext w:val="0"/>
              <w:keepLines w:val="0"/>
              <w:suppressLineNumbers w:val="0"/>
              <w:spacing w:before="171" w:beforeAutospacing="0" w:after="0" w:afterAutospacing="0" w:line="221" w:lineRule="auto"/>
              <w:ind w:left="364" w:right="0"/>
              <w:rPr>
                <w:rFonts w:hint="default"/>
              </w:rPr>
            </w:pPr>
            <w:r>
              <w:rPr>
                <w:rFonts w:hint="default"/>
                <w:spacing w:val="-1"/>
              </w:rPr>
              <w:t>数量(t/a)</w:t>
            </w:r>
          </w:p>
        </w:tc>
        <w:tc>
          <w:tcPr>
            <w:tcW w:w="3100" w:type="dxa"/>
            <w:gridSpan w:val="2"/>
            <w:vAlign w:val="top"/>
          </w:tcPr>
          <w:p w14:paraId="6900D478">
            <w:pPr>
              <w:pStyle w:val="22"/>
              <w:keepNext w:val="0"/>
              <w:keepLines w:val="0"/>
              <w:suppressLineNumbers w:val="0"/>
              <w:spacing w:before="171" w:beforeAutospacing="0" w:after="0" w:afterAutospacing="0" w:line="223" w:lineRule="auto"/>
              <w:ind w:left="1350" w:right="0"/>
              <w:rPr>
                <w:rFonts w:hint="default"/>
              </w:rPr>
            </w:pPr>
            <w:r>
              <w:rPr>
                <w:rFonts w:hint="default"/>
                <w:spacing w:val="-3"/>
              </w:rPr>
              <w:t>名称</w:t>
            </w:r>
          </w:p>
        </w:tc>
        <w:tc>
          <w:tcPr>
            <w:tcW w:w="1132" w:type="dxa"/>
            <w:vAlign w:val="top"/>
          </w:tcPr>
          <w:p w14:paraId="231F5D10">
            <w:pPr>
              <w:pStyle w:val="22"/>
              <w:keepNext w:val="0"/>
              <w:keepLines w:val="0"/>
              <w:suppressLineNumbers w:val="0"/>
              <w:spacing w:before="36" w:beforeAutospacing="0" w:after="0" w:afterAutospacing="0" w:line="222" w:lineRule="auto"/>
              <w:ind w:left="345" w:right="299" w:firstLine="17"/>
              <w:rPr>
                <w:rFonts w:hint="default"/>
              </w:rPr>
            </w:pPr>
            <w:r>
              <w:rPr>
                <w:rFonts w:hint="default"/>
                <w:spacing w:val="-4"/>
              </w:rPr>
              <w:t>数量</w:t>
            </w:r>
            <w:r>
              <w:rPr>
                <w:rFonts w:hint="default"/>
              </w:rPr>
              <w:t xml:space="preserve"> </w:t>
            </w:r>
            <w:r>
              <w:rPr>
                <w:rFonts w:hint="default"/>
                <w:spacing w:val="-9"/>
              </w:rPr>
              <w:t>(t/a)</w:t>
            </w:r>
          </w:p>
        </w:tc>
      </w:tr>
      <w:tr w14:paraId="73B21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46" w:type="dxa"/>
            <w:vMerge w:val="continue"/>
            <w:tcBorders>
              <w:top w:val="nil"/>
              <w:bottom w:val="nil"/>
            </w:tcBorders>
            <w:vAlign w:val="top"/>
          </w:tcPr>
          <w:p w14:paraId="2A407916">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0237E36C">
            <w:pPr>
              <w:pStyle w:val="22"/>
              <w:keepNext w:val="0"/>
              <w:keepLines w:val="0"/>
              <w:suppressLineNumbers w:val="0"/>
              <w:spacing w:before="102" w:beforeAutospacing="0" w:after="0" w:afterAutospacing="0" w:line="183" w:lineRule="auto"/>
              <w:ind w:left="422" w:right="0"/>
              <w:rPr>
                <w:rFonts w:hint="default"/>
              </w:rPr>
            </w:pPr>
            <w:r>
              <w:rPr>
                <w:rFonts w:hint="default"/>
              </w:rPr>
              <w:t>1</w:t>
            </w:r>
          </w:p>
        </w:tc>
        <w:tc>
          <w:tcPr>
            <w:tcW w:w="1560" w:type="dxa"/>
            <w:vAlign w:val="top"/>
          </w:tcPr>
          <w:p w14:paraId="1CC7E00F">
            <w:pPr>
              <w:pStyle w:val="22"/>
              <w:keepNext w:val="0"/>
              <w:keepLines w:val="0"/>
              <w:suppressLineNumbers w:val="0"/>
              <w:spacing w:before="104" w:beforeAutospacing="0" w:after="0" w:afterAutospacing="0" w:line="181" w:lineRule="auto"/>
              <w:ind w:left="674" w:right="0"/>
              <w:rPr>
                <w:rFonts w:hint="default"/>
              </w:rPr>
            </w:pPr>
            <w:r>
              <w:rPr>
                <w:rFonts w:hint="default"/>
                <w:spacing w:val="-1"/>
              </w:rPr>
              <w:t>HF</w:t>
            </w:r>
          </w:p>
        </w:tc>
        <w:tc>
          <w:tcPr>
            <w:tcW w:w="1660" w:type="dxa"/>
            <w:vAlign w:val="top"/>
          </w:tcPr>
          <w:p w14:paraId="30DD8D5C">
            <w:pPr>
              <w:pStyle w:val="22"/>
              <w:keepNext w:val="0"/>
              <w:keepLines w:val="0"/>
              <w:suppressLineNumbers w:val="0"/>
              <w:spacing w:before="102" w:beforeAutospacing="0" w:after="0" w:afterAutospacing="0" w:line="183" w:lineRule="auto"/>
              <w:ind w:left="589" w:right="0"/>
              <w:rPr>
                <w:rFonts w:hint="default"/>
              </w:rPr>
            </w:pPr>
            <w:r>
              <w:rPr>
                <w:rFonts w:hint="default"/>
                <w:spacing w:val="-4"/>
              </w:rPr>
              <w:t>150.5</w:t>
            </w:r>
          </w:p>
        </w:tc>
        <w:tc>
          <w:tcPr>
            <w:tcW w:w="1456" w:type="dxa"/>
            <w:vAlign w:val="top"/>
          </w:tcPr>
          <w:p w14:paraId="405BFDBF">
            <w:pPr>
              <w:pStyle w:val="22"/>
              <w:keepNext w:val="0"/>
              <w:keepLines w:val="0"/>
              <w:suppressLineNumbers w:val="0"/>
              <w:spacing w:before="67" w:beforeAutospacing="0" w:after="0" w:afterAutospacing="0" w:line="221" w:lineRule="auto"/>
              <w:ind w:left="527" w:right="0"/>
              <w:rPr>
                <w:rFonts w:hint="default"/>
              </w:rPr>
            </w:pPr>
            <w:r>
              <w:rPr>
                <w:rFonts w:hint="default"/>
                <w:spacing w:val="-2"/>
              </w:rPr>
              <w:t>产品</w:t>
            </w:r>
          </w:p>
        </w:tc>
        <w:tc>
          <w:tcPr>
            <w:tcW w:w="1644" w:type="dxa"/>
            <w:vAlign w:val="top"/>
          </w:tcPr>
          <w:p w14:paraId="16A3621F">
            <w:pPr>
              <w:pStyle w:val="22"/>
              <w:keepNext w:val="0"/>
              <w:keepLines w:val="0"/>
              <w:suppressLineNumbers w:val="0"/>
              <w:spacing w:before="67" w:beforeAutospacing="0" w:after="0" w:afterAutospacing="0" w:line="221" w:lineRule="auto"/>
              <w:ind w:left="515" w:right="0"/>
              <w:rPr>
                <w:rFonts w:hint="default"/>
              </w:rPr>
            </w:pPr>
            <w:r>
              <w:rPr>
                <w:rFonts w:hint="default"/>
                <w:spacing w:val="-1"/>
              </w:rPr>
              <w:t>蚀刻液</w:t>
            </w:r>
          </w:p>
        </w:tc>
        <w:tc>
          <w:tcPr>
            <w:tcW w:w="1132" w:type="dxa"/>
            <w:vAlign w:val="top"/>
          </w:tcPr>
          <w:p w14:paraId="45FDBD19">
            <w:pPr>
              <w:pStyle w:val="22"/>
              <w:keepNext w:val="0"/>
              <w:keepLines w:val="0"/>
              <w:suppressLineNumbers w:val="0"/>
              <w:spacing w:before="103" w:beforeAutospacing="0" w:after="0" w:afterAutospacing="0" w:line="182" w:lineRule="auto"/>
              <w:ind w:left="363" w:right="0"/>
              <w:rPr>
                <w:rFonts w:hint="default"/>
              </w:rPr>
            </w:pPr>
            <w:r>
              <w:rPr>
                <w:rFonts w:hint="default"/>
                <w:spacing w:val="-2"/>
              </w:rPr>
              <w:t>2500</w:t>
            </w:r>
          </w:p>
        </w:tc>
      </w:tr>
      <w:tr w14:paraId="22EEB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46" w:type="dxa"/>
            <w:vMerge w:val="continue"/>
            <w:tcBorders>
              <w:top w:val="nil"/>
              <w:bottom w:val="nil"/>
            </w:tcBorders>
            <w:vAlign w:val="top"/>
          </w:tcPr>
          <w:p w14:paraId="38940347">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6A9CB626">
            <w:pPr>
              <w:pStyle w:val="22"/>
              <w:keepNext w:val="0"/>
              <w:keepLines w:val="0"/>
              <w:suppressLineNumbers w:val="0"/>
              <w:spacing w:before="105" w:beforeAutospacing="0" w:after="0" w:afterAutospacing="0" w:line="182" w:lineRule="auto"/>
              <w:ind w:left="409" w:right="0"/>
              <w:rPr>
                <w:rFonts w:hint="default"/>
              </w:rPr>
            </w:pPr>
            <w:r>
              <w:rPr>
                <w:rFonts w:hint="default"/>
              </w:rPr>
              <w:t>2</w:t>
            </w:r>
          </w:p>
        </w:tc>
        <w:tc>
          <w:tcPr>
            <w:tcW w:w="1560" w:type="dxa"/>
            <w:vAlign w:val="top"/>
          </w:tcPr>
          <w:p w14:paraId="33B3A25E">
            <w:pPr>
              <w:pStyle w:val="22"/>
              <w:keepNext w:val="0"/>
              <w:keepLines w:val="0"/>
              <w:suppressLineNumbers w:val="0"/>
              <w:spacing w:before="106" w:beforeAutospacing="0" w:after="0" w:afterAutospacing="0" w:line="190" w:lineRule="auto"/>
              <w:ind w:left="566" w:right="0"/>
              <w:rPr>
                <w:rFonts w:hint="default"/>
                <w:sz w:val="11"/>
                <w:szCs w:val="11"/>
              </w:rPr>
            </w:pPr>
            <w:r>
              <w:rPr>
                <w:rFonts w:hint="default"/>
                <w:spacing w:val="-1"/>
              </w:rPr>
              <w:t>H</w:t>
            </w:r>
            <w:r>
              <w:rPr>
                <w:rFonts w:hint="default"/>
                <w:spacing w:val="-1"/>
                <w:sz w:val="11"/>
                <w:szCs w:val="11"/>
              </w:rPr>
              <w:t>2</w:t>
            </w:r>
            <w:r>
              <w:rPr>
                <w:rFonts w:hint="default"/>
                <w:spacing w:val="-1"/>
              </w:rPr>
              <w:t>SO</w:t>
            </w:r>
            <w:r>
              <w:rPr>
                <w:rFonts w:hint="default"/>
                <w:spacing w:val="-1"/>
                <w:sz w:val="11"/>
                <w:szCs w:val="11"/>
              </w:rPr>
              <w:t>4</w:t>
            </w:r>
          </w:p>
        </w:tc>
        <w:tc>
          <w:tcPr>
            <w:tcW w:w="1660" w:type="dxa"/>
            <w:vAlign w:val="top"/>
          </w:tcPr>
          <w:p w14:paraId="3E0EEE7C">
            <w:pPr>
              <w:pStyle w:val="22"/>
              <w:keepNext w:val="0"/>
              <w:keepLines w:val="0"/>
              <w:suppressLineNumbers w:val="0"/>
              <w:spacing w:before="106" w:beforeAutospacing="0" w:after="0" w:afterAutospacing="0" w:line="182" w:lineRule="auto"/>
              <w:ind w:left="573" w:right="0"/>
              <w:rPr>
                <w:rFonts w:hint="default"/>
              </w:rPr>
            </w:pPr>
            <w:r>
              <w:rPr>
                <w:rFonts w:hint="default"/>
                <w:spacing w:val="-1"/>
              </w:rPr>
              <w:t>450.5</w:t>
            </w:r>
          </w:p>
        </w:tc>
        <w:tc>
          <w:tcPr>
            <w:tcW w:w="1456" w:type="dxa"/>
            <w:vAlign w:val="top"/>
          </w:tcPr>
          <w:p w14:paraId="4DFFAD98">
            <w:pPr>
              <w:pStyle w:val="22"/>
              <w:keepNext w:val="0"/>
              <w:keepLines w:val="0"/>
              <w:suppressLineNumbers w:val="0"/>
              <w:spacing w:before="70" w:beforeAutospacing="0" w:after="0" w:afterAutospacing="0" w:line="221" w:lineRule="auto"/>
              <w:ind w:left="527" w:right="0"/>
              <w:rPr>
                <w:rFonts w:hint="default"/>
              </w:rPr>
            </w:pPr>
            <w:r>
              <w:rPr>
                <w:rFonts w:hint="default"/>
                <w:spacing w:val="-2"/>
              </w:rPr>
              <w:t>损耗</w:t>
            </w:r>
          </w:p>
        </w:tc>
        <w:tc>
          <w:tcPr>
            <w:tcW w:w="1644" w:type="dxa"/>
            <w:vAlign w:val="top"/>
          </w:tcPr>
          <w:p w14:paraId="0B7D264A">
            <w:pPr>
              <w:pStyle w:val="22"/>
              <w:keepNext w:val="0"/>
              <w:keepLines w:val="0"/>
              <w:suppressLineNumbers w:val="0"/>
              <w:spacing w:before="70" w:beforeAutospacing="0" w:after="0" w:afterAutospacing="0" w:line="222" w:lineRule="auto"/>
              <w:ind w:left="411" w:right="0"/>
              <w:rPr>
                <w:rFonts w:hint="default"/>
              </w:rPr>
            </w:pPr>
            <w:r>
              <w:rPr>
                <w:rFonts w:hint="default"/>
                <w:spacing w:val="-2"/>
              </w:rPr>
              <w:t>过滤损失</w:t>
            </w:r>
          </w:p>
        </w:tc>
        <w:tc>
          <w:tcPr>
            <w:tcW w:w="1132" w:type="dxa"/>
            <w:vAlign w:val="top"/>
          </w:tcPr>
          <w:p w14:paraId="23B2598A">
            <w:pPr>
              <w:pStyle w:val="22"/>
              <w:keepNext w:val="0"/>
              <w:keepLines w:val="0"/>
              <w:suppressLineNumbers w:val="0"/>
              <w:spacing w:before="104" w:beforeAutospacing="0" w:after="0" w:afterAutospacing="0" w:line="183" w:lineRule="auto"/>
              <w:ind w:left="312" w:right="0"/>
              <w:rPr>
                <w:rFonts w:hint="default"/>
              </w:rPr>
            </w:pPr>
            <w:r>
              <w:rPr>
                <w:rFonts w:hint="default"/>
                <w:spacing w:val="-2"/>
              </w:rPr>
              <w:t>3.125</w:t>
            </w:r>
          </w:p>
        </w:tc>
      </w:tr>
      <w:tr w14:paraId="38A7B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3CD3314B">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67992612">
            <w:pPr>
              <w:pStyle w:val="22"/>
              <w:keepNext w:val="0"/>
              <w:keepLines w:val="0"/>
              <w:suppressLineNumbers w:val="0"/>
              <w:spacing w:before="103" w:beforeAutospacing="0" w:after="0" w:afterAutospacing="0" w:line="182" w:lineRule="auto"/>
              <w:ind w:left="411" w:right="0"/>
              <w:rPr>
                <w:rFonts w:hint="default"/>
              </w:rPr>
            </w:pPr>
            <w:r>
              <w:rPr>
                <w:rFonts w:hint="default"/>
              </w:rPr>
              <w:t>3</w:t>
            </w:r>
          </w:p>
        </w:tc>
        <w:tc>
          <w:tcPr>
            <w:tcW w:w="1560" w:type="dxa"/>
            <w:vAlign w:val="top"/>
          </w:tcPr>
          <w:p w14:paraId="0DDCEF2A">
            <w:pPr>
              <w:pStyle w:val="22"/>
              <w:keepNext w:val="0"/>
              <w:keepLines w:val="0"/>
              <w:suppressLineNumbers w:val="0"/>
              <w:spacing w:before="103" w:beforeAutospacing="0" w:after="0" w:afterAutospacing="0" w:line="190" w:lineRule="auto"/>
              <w:ind w:left="647" w:right="0"/>
              <w:rPr>
                <w:rFonts w:hint="default"/>
              </w:rPr>
            </w:pPr>
            <w:r>
              <w:rPr>
                <w:rFonts w:hint="default"/>
                <w:spacing w:val="-1"/>
              </w:rPr>
              <w:t>H</w:t>
            </w:r>
            <w:r>
              <w:rPr>
                <w:rFonts w:hint="default"/>
                <w:spacing w:val="-1"/>
                <w:sz w:val="11"/>
                <w:szCs w:val="11"/>
              </w:rPr>
              <w:t>2</w:t>
            </w:r>
            <w:r>
              <w:rPr>
                <w:rFonts w:hint="default"/>
                <w:spacing w:val="-1"/>
              </w:rPr>
              <w:t>O</w:t>
            </w:r>
          </w:p>
        </w:tc>
        <w:tc>
          <w:tcPr>
            <w:tcW w:w="1660" w:type="dxa"/>
            <w:vAlign w:val="top"/>
          </w:tcPr>
          <w:p w14:paraId="29425DA0">
            <w:pPr>
              <w:pStyle w:val="22"/>
              <w:keepNext w:val="0"/>
              <w:keepLines w:val="0"/>
              <w:suppressLineNumbers w:val="0"/>
              <w:spacing w:before="101" w:beforeAutospacing="0" w:after="0" w:afterAutospacing="0" w:line="183" w:lineRule="auto"/>
              <w:ind w:left="484" w:right="0"/>
              <w:rPr>
                <w:rFonts w:hint="default"/>
              </w:rPr>
            </w:pPr>
            <w:r>
              <w:rPr>
                <w:rFonts w:hint="default"/>
                <w:spacing w:val="-3"/>
              </w:rPr>
              <w:t>1907.75</w:t>
            </w:r>
          </w:p>
        </w:tc>
        <w:tc>
          <w:tcPr>
            <w:tcW w:w="1456" w:type="dxa"/>
            <w:vAlign w:val="top"/>
          </w:tcPr>
          <w:p w14:paraId="533CA004">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3123249E">
            <w:pPr>
              <w:pStyle w:val="22"/>
              <w:keepNext w:val="0"/>
              <w:keepLines w:val="0"/>
              <w:suppressLineNumbers w:val="0"/>
              <w:spacing w:before="67" w:beforeAutospacing="0" w:after="0" w:afterAutospacing="0" w:line="221" w:lineRule="auto"/>
              <w:ind w:left="410" w:right="0"/>
              <w:rPr>
                <w:rFonts w:hint="default"/>
              </w:rPr>
            </w:pPr>
            <w:r>
              <w:rPr>
                <w:rFonts w:hint="default"/>
                <w:spacing w:val="-2"/>
              </w:rPr>
              <w:t>包装损失</w:t>
            </w:r>
          </w:p>
        </w:tc>
        <w:tc>
          <w:tcPr>
            <w:tcW w:w="1132" w:type="dxa"/>
            <w:vAlign w:val="top"/>
          </w:tcPr>
          <w:p w14:paraId="62AA8922">
            <w:pPr>
              <w:pStyle w:val="22"/>
              <w:keepNext w:val="0"/>
              <w:keepLines w:val="0"/>
              <w:suppressLineNumbers w:val="0"/>
              <w:spacing w:before="101" w:beforeAutospacing="0" w:after="0" w:afterAutospacing="0" w:line="183" w:lineRule="auto"/>
              <w:ind w:left="312" w:right="0"/>
              <w:rPr>
                <w:rFonts w:hint="default"/>
              </w:rPr>
            </w:pPr>
            <w:r>
              <w:rPr>
                <w:rFonts w:hint="default"/>
                <w:spacing w:val="-2"/>
              </w:rPr>
              <w:t>3.125</w:t>
            </w:r>
          </w:p>
        </w:tc>
      </w:tr>
      <w:tr w14:paraId="2730C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6" w:type="dxa"/>
            <w:vMerge w:val="continue"/>
            <w:tcBorders>
              <w:top w:val="nil"/>
              <w:bottom w:val="nil"/>
            </w:tcBorders>
            <w:vAlign w:val="top"/>
          </w:tcPr>
          <w:p w14:paraId="5C759E5F">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24DB529D">
            <w:pPr>
              <w:pStyle w:val="22"/>
              <w:keepNext w:val="0"/>
              <w:keepLines w:val="0"/>
              <w:suppressLineNumbers w:val="0"/>
              <w:spacing w:before="103" w:beforeAutospacing="0" w:after="0" w:afterAutospacing="0" w:line="182" w:lineRule="auto"/>
              <w:ind w:left="406" w:right="0"/>
              <w:rPr>
                <w:rFonts w:hint="default"/>
              </w:rPr>
            </w:pPr>
            <w:r>
              <w:rPr>
                <w:rFonts w:hint="default"/>
              </w:rPr>
              <w:t>4</w:t>
            </w:r>
          </w:p>
        </w:tc>
        <w:tc>
          <w:tcPr>
            <w:tcW w:w="1560" w:type="dxa"/>
            <w:vAlign w:val="top"/>
          </w:tcPr>
          <w:p w14:paraId="74FD71E8">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0A4D7AB6">
            <w:pPr>
              <w:keepNext w:val="0"/>
              <w:keepLines w:val="0"/>
              <w:suppressLineNumbers w:val="0"/>
              <w:spacing w:before="0" w:beforeAutospacing="0" w:after="0" w:afterAutospacing="0"/>
              <w:ind w:left="0" w:right="0"/>
              <w:rPr>
                <w:rFonts w:hint="default" w:ascii="Arial"/>
                <w:sz w:val="21"/>
              </w:rPr>
            </w:pPr>
          </w:p>
        </w:tc>
        <w:tc>
          <w:tcPr>
            <w:tcW w:w="1456" w:type="dxa"/>
            <w:vAlign w:val="top"/>
          </w:tcPr>
          <w:p w14:paraId="5AF2D17D">
            <w:pPr>
              <w:keepNext w:val="0"/>
              <w:keepLines w:val="0"/>
              <w:suppressLineNumbers w:val="0"/>
              <w:spacing w:before="0" w:beforeAutospacing="0" w:after="0" w:afterAutospacing="0"/>
              <w:ind w:left="0" w:right="0"/>
              <w:rPr>
                <w:rFonts w:hint="default" w:ascii="Arial"/>
                <w:sz w:val="21"/>
              </w:rPr>
            </w:pPr>
          </w:p>
        </w:tc>
        <w:tc>
          <w:tcPr>
            <w:tcW w:w="1644" w:type="dxa"/>
            <w:vAlign w:val="top"/>
          </w:tcPr>
          <w:p w14:paraId="5DC6B60C">
            <w:pPr>
              <w:pStyle w:val="22"/>
              <w:keepNext w:val="0"/>
              <w:keepLines w:val="0"/>
              <w:suppressLineNumbers w:val="0"/>
              <w:spacing w:before="68" w:beforeAutospacing="0" w:after="0" w:afterAutospacing="0" w:line="221" w:lineRule="auto"/>
              <w:ind w:left="620" w:right="0"/>
              <w:rPr>
                <w:rFonts w:hint="default"/>
              </w:rPr>
            </w:pPr>
            <w:r>
              <w:rPr>
                <w:rFonts w:hint="default"/>
                <w:spacing w:val="-3"/>
              </w:rPr>
              <w:t>废气</w:t>
            </w:r>
          </w:p>
        </w:tc>
        <w:tc>
          <w:tcPr>
            <w:tcW w:w="1132" w:type="dxa"/>
            <w:vAlign w:val="top"/>
          </w:tcPr>
          <w:p w14:paraId="0C871A8A">
            <w:pPr>
              <w:pStyle w:val="22"/>
              <w:keepNext w:val="0"/>
              <w:keepLines w:val="0"/>
              <w:suppressLineNumbers w:val="0"/>
              <w:spacing w:before="103" w:beforeAutospacing="0" w:after="0" w:afterAutospacing="0" w:line="182" w:lineRule="auto"/>
              <w:ind w:left="415" w:right="0"/>
              <w:rPr>
                <w:rFonts w:hint="default"/>
              </w:rPr>
            </w:pPr>
            <w:r>
              <w:rPr>
                <w:rFonts w:hint="default"/>
                <w:spacing w:val="-2"/>
              </w:rPr>
              <w:t>2.5</w:t>
            </w:r>
          </w:p>
        </w:tc>
      </w:tr>
      <w:tr w14:paraId="072D3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46" w:type="dxa"/>
            <w:vMerge w:val="continue"/>
            <w:tcBorders>
              <w:top w:val="nil"/>
            </w:tcBorders>
            <w:vAlign w:val="top"/>
          </w:tcPr>
          <w:p w14:paraId="2C636E8A">
            <w:pPr>
              <w:keepNext w:val="0"/>
              <w:keepLines w:val="0"/>
              <w:suppressLineNumbers w:val="0"/>
              <w:spacing w:before="0" w:beforeAutospacing="0" w:after="0" w:afterAutospacing="0"/>
              <w:ind w:left="0" w:right="0"/>
              <w:rPr>
                <w:rFonts w:hint="default" w:ascii="Arial"/>
                <w:sz w:val="21"/>
              </w:rPr>
            </w:pPr>
          </w:p>
        </w:tc>
        <w:tc>
          <w:tcPr>
            <w:tcW w:w="909" w:type="dxa"/>
            <w:vAlign w:val="top"/>
          </w:tcPr>
          <w:p w14:paraId="08D59B5E">
            <w:pPr>
              <w:pStyle w:val="22"/>
              <w:keepNext w:val="0"/>
              <w:keepLines w:val="0"/>
              <w:suppressLineNumbers w:val="0"/>
              <w:spacing w:before="68" w:beforeAutospacing="0" w:after="0" w:afterAutospacing="0" w:line="222" w:lineRule="auto"/>
              <w:ind w:left="252" w:right="0"/>
              <w:rPr>
                <w:rFonts w:hint="default"/>
              </w:rPr>
            </w:pPr>
            <w:r>
              <w:rPr>
                <w:rFonts w:hint="default"/>
                <w:spacing w:val="-2"/>
              </w:rPr>
              <w:t>合计</w:t>
            </w:r>
          </w:p>
        </w:tc>
        <w:tc>
          <w:tcPr>
            <w:tcW w:w="1560" w:type="dxa"/>
            <w:vAlign w:val="top"/>
          </w:tcPr>
          <w:p w14:paraId="6EC91FBF">
            <w:pPr>
              <w:keepNext w:val="0"/>
              <w:keepLines w:val="0"/>
              <w:suppressLineNumbers w:val="0"/>
              <w:spacing w:before="0" w:beforeAutospacing="0" w:after="0" w:afterAutospacing="0"/>
              <w:ind w:left="0" w:right="0"/>
              <w:rPr>
                <w:rFonts w:hint="default" w:ascii="Arial"/>
                <w:sz w:val="21"/>
              </w:rPr>
            </w:pPr>
          </w:p>
        </w:tc>
        <w:tc>
          <w:tcPr>
            <w:tcW w:w="1660" w:type="dxa"/>
            <w:vAlign w:val="top"/>
          </w:tcPr>
          <w:p w14:paraId="7E564530">
            <w:pPr>
              <w:pStyle w:val="22"/>
              <w:keepNext w:val="0"/>
              <w:keepLines w:val="0"/>
              <w:suppressLineNumbers w:val="0"/>
              <w:spacing w:before="103" w:beforeAutospacing="0" w:after="0" w:afterAutospacing="0" w:line="182" w:lineRule="auto"/>
              <w:ind w:left="470" w:right="0"/>
              <w:rPr>
                <w:rFonts w:hint="default"/>
              </w:rPr>
            </w:pPr>
            <w:r>
              <w:rPr>
                <w:rFonts w:hint="default"/>
                <w:spacing w:val="-2"/>
              </w:rPr>
              <w:t>2508.75</w:t>
            </w:r>
          </w:p>
        </w:tc>
        <w:tc>
          <w:tcPr>
            <w:tcW w:w="1456" w:type="dxa"/>
            <w:vAlign w:val="top"/>
          </w:tcPr>
          <w:p w14:paraId="33A02975">
            <w:pPr>
              <w:pStyle w:val="22"/>
              <w:keepNext w:val="0"/>
              <w:keepLines w:val="0"/>
              <w:suppressLineNumbers w:val="0"/>
              <w:spacing w:before="68" w:beforeAutospacing="0" w:after="0" w:afterAutospacing="0" w:line="222" w:lineRule="auto"/>
              <w:ind w:left="528" w:right="0"/>
              <w:rPr>
                <w:rFonts w:hint="default"/>
              </w:rPr>
            </w:pPr>
            <w:r>
              <w:rPr>
                <w:rFonts w:hint="default"/>
                <w:spacing w:val="-2"/>
              </w:rPr>
              <w:t>合计</w:t>
            </w:r>
          </w:p>
        </w:tc>
        <w:tc>
          <w:tcPr>
            <w:tcW w:w="1644" w:type="dxa"/>
            <w:vAlign w:val="top"/>
          </w:tcPr>
          <w:p w14:paraId="567CFA12">
            <w:pPr>
              <w:keepNext w:val="0"/>
              <w:keepLines w:val="0"/>
              <w:suppressLineNumbers w:val="0"/>
              <w:spacing w:before="0" w:beforeAutospacing="0" w:after="0" w:afterAutospacing="0"/>
              <w:ind w:left="0" w:right="0"/>
              <w:rPr>
                <w:rFonts w:hint="default" w:ascii="Arial"/>
                <w:sz w:val="21"/>
              </w:rPr>
            </w:pPr>
          </w:p>
        </w:tc>
        <w:tc>
          <w:tcPr>
            <w:tcW w:w="1132" w:type="dxa"/>
            <w:vAlign w:val="top"/>
          </w:tcPr>
          <w:p w14:paraId="369D20B7">
            <w:pPr>
              <w:pStyle w:val="22"/>
              <w:keepNext w:val="0"/>
              <w:keepLines w:val="0"/>
              <w:suppressLineNumbers w:val="0"/>
              <w:spacing w:before="103" w:beforeAutospacing="0" w:after="0" w:afterAutospacing="0" w:line="182" w:lineRule="auto"/>
              <w:ind w:left="207" w:right="0"/>
              <w:rPr>
                <w:rFonts w:hint="default"/>
              </w:rPr>
            </w:pPr>
            <w:r>
              <w:rPr>
                <w:rFonts w:hint="default"/>
                <w:spacing w:val="-2"/>
              </w:rPr>
              <w:t>2508.75</w:t>
            </w:r>
          </w:p>
        </w:tc>
      </w:tr>
    </w:tbl>
    <w:p w14:paraId="7DAE9E73">
      <w:pPr>
        <w:pStyle w:val="6"/>
        <w:spacing w:line="259" w:lineRule="auto"/>
      </w:pPr>
    </w:p>
    <w:p w14:paraId="67A487B4">
      <w:pPr>
        <w:pStyle w:val="6"/>
        <w:spacing w:line="260" w:lineRule="auto"/>
      </w:pPr>
    </w:p>
    <w:p w14:paraId="4A729A8F">
      <w:pPr>
        <w:pStyle w:val="6"/>
        <w:spacing w:before="91" w:line="221" w:lineRule="auto"/>
        <w:ind w:left="120"/>
        <w:rPr>
          <w:rFonts w:ascii="宋体" w:hAnsi="宋体" w:eastAsia="宋体" w:cs="宋体"/>
          <w:sz w:val="28"/>
          <w:szCs w:val="28"/>
        </w:rPr>
      </w:pPr>
      <w:r>
        <w:fldChar w:fldCharType="begin"/>
      </w:r>
      <w:r>
        <w:instrText xml:space="preserve"> HYPERLINK "2.6.1.5" </w:instrText>
      </w:r>
      <w:r>
        <w:fldChar w:fldCharType="separate"/>
      </w:r>
      <w:r>
        <w:rPr>
          <w:spacing w:val="-1"/>
          <w:sz w:val="28"/>
          <w:szCs w:val="28"/>
        </w:rPr>
        <w:t>2.6.1.5</w:t>
      </w:r>
      <w:r>
        <w:rPr>
          <w:spacing w:val="-1"/>
          <w:sz w:val="28"/>
          <w:szCs w:val="28"/>
        </w:rPr>
        <w:fldChar w:fldCharType="end"/>
      </w:r>
      <w:r>
        <w:rPr>
          <w:spacing w:val="-1"/>
          <w:sz w:val="28"/>
          <w:szCs w:val="28"/>
        </w:rPr>
        <w:t xml:space="preserve"> </w:t>
      </w:r>
      <w:r>
        <w:rPr>
          <w:rFonts w:ascii="宋体" w:hAnsi="宋体" w:eastAsia="宋体" w:cs="宋体"/>
          <w:spacing w:val="-1"/>
          <w:sz w:val="28"/>
          <w:szCs w:val="28"/>
        </w:rPr>
        <w:t>剥离液工艺流程</w:t>
      </w:r>
    </w:p>
    <w:p w14:paraId="2DA62873">
      <w:pPr>
        <w:spacing w:before="207" w:line="220" w:lineRule="auto"/>
        <w:ind w:left="686"/>
        <w:rPr>
          <w:rFonts w:ascii="宋体" w:hAnsi="宋体" w:eastAsia="宋体" w:cs="宋体"/>
          <w:sz w:val="28"/>
          <w:szCs w:val="28"/>
        </w:rPr>
      </w:pPr>
      <w:r>
        <w:rPr>
          <w:rFonts w:ascii="宋体" w:hAnsi="宋体" w:eastAsia="宋体" w:cs="宋体"/>
          <w:spacing w:val="-1"/>
          <w:sz w:val="28"/>
          <w:szCs w:val="28"/>
        </w:rPr>
        <w:t>剥离液生产为物理混合过程。剥离液根据客户需求按</w:t>
      </w:r>
      <w:r>
        <w:rPr>
          <w:rFonts w:ascii="宋体" w:hAnsi="宋体" w:eastAsia="宋体" w:cs="宋体"/>
          <w:spacing w:val="-2"/>
          <w:sz w:val="28"/>
          <w:szCs w:val="28"/>
        </w:rPr>
        <w:t>照工艺单配比。</w:t>
      </w:r>
    </w:p>
    <w:p w14:paraId="6DAA87C4">
      <w:pPr>
        <w:spacing w:before="212" w:line="345" w:lineRule="auto"/>
        <w:ind w:left="125" w:right="112" w:firstLine="555"/>
        <w:rPr>
          <w:rFonts w:ascii="宋体" w:hAnsi="宋体" w:eastAsia="宋体" w:cs="宋体"/>
          <w:sz w:val="28"/>
          <w:szCs w:val="28"/>
        </w:rPr>
      </w:pPr>
      <w:r>
        <w:rPr>
          <w:rFonts w:ascii="宋体" w:hAnsi="宋体" w:eastAsia="宋体" w:cs="宋体"/>
          <w:spacing w:val="-2"/>
          <w:sz w:val="28"/>
          <w:szCs w:val="28"/>
        </w:rPr>
        <w:t>将溶剂A、B、C、D中一种或几种与纯水、添加剂按配比分步骤加入到常</w:t>
      </w:r>
      <w:r>
        <w:rPr>
          <w:rFonts w:ascii="宋体" w:hAnsi="宋体" w:eastAsia="宋体" w:cs="宋体"/>
          <w:spacing w:val="4"/>
          <w:sz w:val="28"/>
          <w:szCs w:val="28"/>
        </w:rPr>
        <w:t xml:space="preserve"> </w:t>
      </w:r>
      <w:r>
        <w:rPr>
          <w:rFonts w:ascii="宋体" w:hAnsi="宋体" w:eastAsia="宋体" w:cs="宋体"/>
          <w:spacing w:val="2"/>
          <w:sz w:val="28"/>
          <w:szCs w:val="28"/>
        </w:rPr>
        <w:t>温常压的混配罐V120301中，采用自动称重模块来进行计量控制；利用混配混合泵P110201打循环混合；在混合过程中可自动选择时段</w:t>
      </w:r>
      <w:r>
        <w:rPr>
          <w:rFonts w:ascii="宋体" w:hAnsi="宋体" w:eastAsia="宋体" w:cs="宋体"/>
          <w:spacing w:val="1"/>
          <w:sz w:val="28"/>
          <w:szCs w:val="28"/>
        </w:rPr>
        <w:t>进行过滤处理，</w:t>
      </w:r>
      <w:r>
        <w:rPr>
          <w:rFonts w:ascii="宋体" w:hAnsi="宋体" w:eastAsia="宋体" w:cs="宋体"/>
          <w:spacing w:val="2"/>
          <w:sz w:val="28"/>
          <w:szCs w:val="28"/>
        </w:rPr>
        <w:t>通过超滤膜过滤器进行过滤，控制颗粒,混合过滤到设定时间后，程序暂停</w:t>
      </w:r>
      <w:r>
        <w:rPr>
          <w:rFonts w:ascii="宋体" w:hAnsi="宋体" w:eastAsia="宋体" w:cs="宋体"/>
          <w:spacing w:val="8"/>
          <w:sz w:val="28"/>
          <w:szCs w:val="28"/>
        </w:rPr>
        <w:t xml:space="preserve"> </w:t>
      </w:r>
      <w:r>
        <w:rPr>
          <w:rFonts w:ascii="宋体" w:hAnsi="宋体" w:eastAsia="宋体" w:cs="宋体"/>
          <w:spacing w:val="-2"/>
          <w:sz w:val="28"/>
          <w:szCs w:val="28"/>
        </w:rPr>
        <w:t>运行，进行人工取样分析浓度和颗粒等相关控制指标，合格后继续运</w:t>
      </w:r>
      <w:r>
        <w:rPr>
          <w:rFonts w:ascii="宋体" w:hAnsi="宋体" w:eastAsia="宋体" w:cs="宋体"/>
          <w:spacing w:val="-3"/>
          <w:sz w:val="28"/>
          <w:szCs w:val="28"/>
        </w:rPr>
        <w:t>行程序</w:t>
      </w:r>
      <w:r>
        <w:rPr>
          <w:rFonts w:ascii="宋体" w:hAnsi="宋体" w:eastAsia="宋体" w:cs="宋体"/>
          <w:sz w:val="28"/>
          <w:szCs w:val="28"/>
        </w:rPr>
        <w:t xml:space="preserve"> </w:t>
      </w:r>
      <w:r>
        <w:rPr>
          <w:rFonts w:ascii="宋体" w:hAnsi="宋体" w:eastAsia="宋体" w:cs="宋体"/>
          <w:spacing w:val="-2"/>
          <w:sz w:val="28"/>
          <w:szCs w:val="28"/>
        </w:rPr>
        <w:t>把产品输送到产品罐储存；如分析不合格，则程序可以自动进行二次混配，</w:t>
      </w:r>
      <w:r>
        <w:rPr>
          <w:rFonts w:ascii="宋体" w:hAnsi="宋体" w:eastAsia="宋体" w:cs="宋体"/>
          <w:sz w:val="28"/>
          <w:szCs w:val="28"/>
        </w:rPr>
        <w:t xml:space="preserve"> </w:t>
      </w:r>
      <w:r>
        <w:rPr>
          <w:rFonts w:ascii="宋体" w:hAnsi="宋体" w:eastAsia="宋体" w:cs="宋体"/>
          <w:spacing w:val="-6"/>
          <w:sz w:val="28"/>
          <w:szCs w:val="28"/>
        </w:rPr>
        <w:t>直到混合合格。</w:t>
      </w:r>
    </w:p>
    <w:p w14:paraId="0D956032">
      <w:pPr>
        <w:spacing w:before="41" w:line="346" w:lineRule="auto"/>
        <w:ind w:left="128" w:right="115" w:firstLine="557"/>
        <w:rPr>
          <w:rFonts w:ascii="宋体" w:hAnsi="宋体" w:eastAsia="宋体" w:cs="宋体"/>
          <w:sz w:val="28"/>
          <w:szCs w:val="28"/>
        </w:rPr>
      </w:pPr>
      <w:r>
        <w:rPr>
          <w:rFonts w:ascii="宋体" w:hAnsi="宋体" w:eastAsia="宋体" w:cs="宋体"/>
          <w:spacing w:val="2"/>
          <w:sz w:val="28"/>
          <w:szCs w:val="28"/>
        </w:rPr>
        <w:t xml:space="preserve">2#车间配置剥离液自动灌装200升桶系统一套，灌装区洁净室等级为千 </w:t>
      </w:r>
      <w:r>
        <w:rPr>
          <w:rFonts w:ascii="宋体" w:hAnsi="宋体" w:eastAsia="宋体" w:cs="宋体"/>
          <w:spacing w:val="-2"/>
          <w:sz w:val="28"/>
          <w:szCs w:val="28"/>
        </w:rPr>
        <w:t>级，面积约280平方。</w:t>
      </w:r>
    </w:p>
    <w:p w14:paraId="3C2847DC">
      <w:pPr>
        <w:spacing w:before="231" w:line="221" w:lineRule="auto"/>
        <w:ind w:left="686"/>
        <w:rPr>
          <w:rFonts w:ascii="宋体" w:hAnsi="宋体" w:eastAsia="宋体" w:cs="宋体"/>
          <w:sz w:val="28"/>
          <w:szCs w:val="28"/>
        </w:rPr>
      </w:pPr>
      <w:r>
        <w:rPr>
          <w:rFonts w:ascii="宋体" w:hAnsi="宋体" w:eastAsia="宋体" w:cs="宋体"/>
          <w:spacing w:val="-5"/>
          <w:sz w:val="28"/>
          <w:szCs w:val="28"/>
        </w:rPr>
        <w:t>工艺流程示意图如下：</w:t>
      </w:r>
    </w:p>
    <w:p w14:paraId="707ABC02">
      <w:pPr>
        <w:pStyle w:val="6"/>
        <w:spacing w:line="392" w:lineRule="auto"/>
      </w:pPr>
    </w:p>
    <w:p w14:paraId="764F70BA">
      <w:pPr>
        <w:spacing w:line="3216" w:lineRule="exact"/>
        <w:ind w:firstLine="2315"/>
      </w:pPr>
      <w:r>
        <w:rPr>
          <w:position w:val="-64"/>
        </w:rPr>
        <w:drawing>
          <wp:inline distT="0" distB="0" distL="0" distR="0">
            <wp:extent cx="3246755" cy="2042160"/>
            <wp:effectExtent l="0" t="0" r="14605" b="0"/>
            <wp:docPr id="19" name="IM 10"/>
            <wp:cNvGraphicFramePr/>
            <a:graphic xmlns:a="http://schemas.openxmlformats.org/drawingml/2006/main">
              <a:graphicData uri="http://schemas.openxmlformats.org/drawingml/2006/picture">
                <pic:pic xmlns:pic="http://schemas.openxmlformats.org/drawingml/2006/picture">
                  <pic:nvPicPr>
                    <pic:cNvPr id="19" name="IM 10"/>
                    <pic:cNvPicPr/>
                  </pic:nvPicPr>
                  <pic:blipFill>
                    <a:blip r:embed="rId38"/>
                    <a:stretch>
                      <a:fillRect/>
                    </a:stretch>
                  </pic:blipFill>
                  <pic:spPr>
                    <a:xfrm>
                      <a:off x="0" y="0"/>
                      <a:ext cx="3247389" cy="2042160"/>
                    </a:xfrm>
                    <a:prstGeom prst="rect">
                      <a:avLst/>
                    </a:prstGeom>
                  </pic:spPr>
                </pic:pic>
              </a:graphicData>
            </a:graphic>
          </wp:inline>
        </w:drawing>
      </w:r>
    </w:p>
    <w:p w14:paraId="5D7457B9">
      <w:pPr>
        <w:pStyle w:val="6"/>
        <w:spacing w:line="250" w:lineRule="auto"/>
      </w:pPr>
    </w:p>
    <w:p w14:paraId="402BF837">
      <w:pPr>
        <w:spacing w:before="78" w:line="420" w:lineRule="auto"/>
        <w:ind w:left="3296" w:right="2807" w:firstLine="24"/>
        <w:rPr>
          <w:rFonts w:ascii="宋体" w:hAnsi="宋体" w:eastAsia="宋体" w:cs="宋体"/>
          <w:sz w:val="24"/>
          <w:szCs w:val="24"/>
        </w:rPr>
      </w:pPr>
      <w:r>
        <w:rPr>
          <w:rFonts w:ascii="宋体" w:hAnsi="宋体" w:eastAsia="宋体" w:cs="宋体"/>
          <w:b/>
          <w:bCs/>
          <w:spacing w:val="-5"/>
          <w:sz w:val="24"/>
          <w:szCs w:val="24"/>
        </w:rPr>
        <w:t>图</w:t>
      </w:r>
      <w:r>
        <w:rPr>
          <w:rFonts w:ascii="宋体" w:hAnsi="宋体" w:eastAsia="宋体" w:cs="宋体"/>
          <w:spacing w:val="-31"/>
          <w:sz w:val="24"/>
          <w:szCs w:val="24"/>
        </w:rPr>
        <w:t xml:space="preserve"> </w:t>
      </w:r>
      <w:r>
        <w:rPr>
          <w:rFonts w:ascii="宋体" w:hAnsi="宋体" w:eastAsia="宋体" w:cs="宋体"/>
          <w:b/>
          <w:bCs/>
          <w:spacing w:val="-5"/>
          <w:sz w:val="24"/>
          <w:szCs w:val="24"/>
        </w:rPr>
        <w:t>2.6.1--5</w:t>
      </w:r>
      <w:r>
        <w:rPr>
          <w:rFonts w:ascii="宋体" w:hAnsi="宋体" w:eastAsia="宋体" w:cs="宋体"/>
          <w:spacing w:val="-5"/>
          <w:sz w:val="24"/>
          <w:szCs w:val="24"/>
        </w:rPr>
        <w:t xml:space="preserve"> </w:t>
      </w:r>
      <w:r>
        <w:rPr>
          <w:rFonts w:ascii="宋体" w:hAnsi="宋体" w:eastAsia="宋体" w:cs="宋体"/>
          <w:b/>
          <w:bCs/>
          <w:spacing w:val="-5"/>
          <w:sz w:val="24"/>
          <w:szCs w:val="24"/>
        </w:rPr>
        <w:t>剥离液流程方框图</w:t>
      </w:r>
      <w:r>
        <w:rPr>
          <w:rFonts w:ascii="宋体" w:hAnsi="宋体" w:eastAsia="宋体" w:cs="宋体"/>
          <w:sz w:val="24"/>
          <w:szCs w:val="24"/>
        </w:rPr>
        <w:t xml:space="preserve"> </w:t>
      </w:r>
      <w:r>
        <w:rPr>
          <w:rFonts w:ascii="宋体" w:hAnsi="宋体" w:eastAsia="宋体" w:cs="宋体"/>
          <w:b/>
          <w:bCs/>
          <w:spacing w:val="-3"/>
          <w:sz w:val="24"/>
          <w:szCs w:val="24"/>
        </w:rPr>
        <w:t>表</w:t>
      </w:r>
      <w:r>
        <w:rPr>
          <w:rFonts w:ascii="宋体" w:hAnsi="宋体" w:eastAsia="宋体" w:cs="宋体"/>
          <w:spacing w:val="-43"/>
          <w:sz w:val="24"/>
          <w:szCs w:val="24"/>
        </w:rPr>
        <w:t xml:space="preserve"> </w:t>
      </w:r>
      <w:r>
        <w:rPr>
          <w:rFonts w:ascii="宋体" w:hAnsi="宋体" w:eastAsia="宋体" w:cs="宋体"/>
          <w:b/>
          <w:bCs/>
          <w:spacing w:val="-3"/>
          <w:sz w:val="24"/>
          <w:szCs w:val="24"/>
        </w:rPr>
        <w:t>2.6.1--5</w:t>
      </w:r>
      <w:r>
        <w:rPr>
          <w:rFonts w:ascii="宋体" w:hAnsi="宋体" w:eastAsia="宋体" w:cs="宋体"/>
          <w:spacing w:val="-3"/>
          <w:sz w:val="24"/>
          <w:szCs w:val="24"/>
        </w:rPr>
        <w:t xml:space="preserve"> </w:t>
      </w:r>
      <w:r>
        <w:rPr>
          <w:rFonts w:ascii="宋体" w:hAnsi="宋体" w:eastAsia="宋体" w:cs="宋体"/>
          <w:b/>
          <w:bCs/>
          <w:spacing w:val="-3"/>
          <w:sz w:val="24"/>
          <w:szCs w:val="24"/>
        </w:rPr>
        <w:t>剥离液物料平衡表</w:t>
      </w:r>
    </w:p>
    <w:tbl>
      <w:tblPr>
        <w:tblStyle w:val="21"/>
        <w:tblW w:w="94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6"/>
        <w:gridCol w:w="946"/>
        <w:gridCol w:w="2144"/>
        <w:gridCol w:w="1173"/>
        <w:gridCol w:w="1074"/>
        <w:gridCol w:w="1224"/>
        <w:gridCol w:w="1269"/>
      </w:tblGrid>
      <w:tr w14:paraId="7F4FD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0" w:hRule="atLeast"/>
        </w:trPr>
        <w:tc>
          <w:tcPr>
            <w:tcW w:w="1576" w:type="dxa"/>
            <w:vMerge w:val="restart"/>
            <w:tcBorders>
              <w:bottom w:val="nil"/>
            </w:tcBorders>
            <w:vAlign w:val="top"/>
          </w:tcPr>
          <w:p w14:paraId="2B6DBDB6">
            <w:pPr>
              <w:keepNext w:val="0"/>
              <w:keepLines w:val="0"/>
              <w:suppressLineNumbers w:val="0"/>
              <w:spacing w:before="0" w:beforeAutospacing="0" w:after="0" w:afterAutospacing="0" w:line="261" w:lineRule="auto"/>
              <w:ind w:left="0" w:right="0"/>
              <w:rPr>
                <w:rFonts w:hint="default" w:ascii="Arial"/>
                <w:sz w:val="21"/>
              </w:rPr>
            </w:pPr>
          </w:p>
          <w:p w14:paraId="24AF3C97">
            <w:pPr>
              <w:keepNext w:val="0"/>
              <w:keepLines w:val="0"/>
              <w:suppressLineNumbers w:val="0"/>
              <w:spacing w:before="0" w:beforeAutospacing="0" w:after="0" w:afterAutospacing="0" w:line="261" w:lineRule="auto"/>
              <w:ind w:left="0" w:right="0"/>
              <w:rPr>
                <w:rFonts w:hint="default" w:ascii="Arial"/>
                <w:sz w:val="21"/>
              </w:rPr>
            </w:pPr>
          </w:p>
          <w:p w14:paraId="1D798B90">
            <w:pPr>
              <w:keepNext w:val="0"/>
              <w:keepLines w:val="0"/>
              <w:suppressLineNumbers w:val="0"/>
              <w:spacing w:before="0" w:beforeAutospacing="0" w:after="0" w:afterAutospacing="0" w:line="261" w:lineRule="auto"/>
              <w:ind w:left="0" w:right="0"/>
              <w:rPr>
                <w:rFonts w:hint="default" w:ascii="Arial"/>
                <w:sz w:val="21"/>
              </w:rPr>
            </w:pPr>
          </w:p>
          <w:p w14:paraId="53A91546">
            <w:pPr>
              <w:keepNext w:val="0"/>
              <w:keepLines w:val="0"/>
              <w:suppressLineNumbers w:val="0"/>
              <w:spacing w:before="0" w:beforeAutospacing="0" w:after="0" w:afterAutospacing="0" w:line="261" w:lineRule="auto"/>
              <w:ind w:left="0" w:right="0"/>
              <w:rPr>
                <w:rFonts w:hint="default" w:ascii="Arial"/>
                <w:sz w:val="21"/>
              </w:rPr>
            </w:pPr>
          </w:p>
          <w:p w14:paraId="4F88AB23">
            <w:pPr>
              <w:pStyle w:val="22"/>
              <w:keepNext w:val="0"/>
              <w:keepLines w:val="0"/>
              <w:suppressLineNumbers w:val="0"/>
              <w:spacing w:before="69" w:beforeAutospacing="0" w:after="0" w:afterAutospacing="0" w:line="221" w:lineRule="auto"/>
              <w:ind w:left="401" w:right="0"/>
              <w:rPr>
                <w:rFonts w:hint="default"/>
              </w:rPr>
            </w:pPr>
            <w:r>
              <w:rPr>
                <w:rFonts w:hint="default"/>
                <w:spacing w:val="-3"/>
              </w:rPr>
              <w:t>剥离液</w:t>
            </w:r>
            <w:r>
              <w:rPr>
                <w:rFonts w:hint="default"/>
                <w:spacing w:val="-27"/>
              </w:rPr>
              <w:t xml:space="preserve"> </w:t>
            </w:r>
            <w:r>
              <w:rPr>
                <w:rFonts w:hint="default"/>
                <w:spacing w:val="-3"/>
              </w:rPr>
              <w:t>1</w:t>
            </w:r>
          </w:p>
        </w:tc>
        <w:tc>
          <w:tcPr>
            <w:tcW w:w="946" w:type="dxa"/>
            <w:vAlign w:val="top"/>
          </w:tcPr>
          <w:p w14:paraId="73EBADB7">
            <w:pPr>
              <w:pStyle w:val="22"/>
              <w:keepNext w:val="0"/>
              <w:keepLines w:val="0"/>
              <w:suppressLineNumbers w:val="0"/>
              <w:spacing w:before="67" w:beforeAutospacing="0" w:after="0" w:afterAutospacing="0" w:line="222" w:lineRule="auto"/>
              <w:ind w:left="264" w:right="0"/>
              <w:rPr>
                <w:rFonts w:hint="default"/>
              </w:rPr>
            </w:pPr>
            <w:r>
              <w:rPr>
                <w:rFonts w:hint="default"/>
                <w:spacing w:val="-2"/>
              </w:rPr>
              <w:t>序号</w:t>
            </w:r>
          </w:p>
        </w:tc>
        <w:tc>
          <w:tcPr>
            <w:tcW w:w="3317" w:type="dxa"/>
            <w:gridSpan w:val="2"/>
            <w:vAlign w:val="top"/>
          </w:tcPr>
          <w:p w14:paraId="66CA02AA">
            <w:pPr>
              <w:pStyle w:val="22"/>
              <w:keepNext w:val="0"/>
              <w:keepLines w:val="0"/>
              <w:suppressLineNumbers w:val="0"/>
              <w:spacing w:before="67" w:beforeAutospacing="0" w:after="0" w:afterAutospacing="0" w:line="222" w:lineRule="auto"/>
              <w:ind w:left="1452" w:right="0"/>
              <w:rPr>
                <w:rFonts w:hint="default"/>
              </w:rPr>
            </w:pPr>
            <w:r>
              <w:rPr>
                <w:rFonts w:hint="default"/>
                <w:spacing w:val="-2"/>
              </w:rPr>
              <w:t>入方</w:t>
            </w:r>
          </w:p>
        </w:tc>
        <w:tc>
          <w:tcPr>
            <w:tcW w:w="3567" w:type="dxa"/>
            <w:gridSpan w:val="3"/>
            <w:vAlign w:val="top"/>
          </w:tcPr>
          <w:p w14:paraId="2B11D7F0">
            <w:pPr>
              <w:pStyle w:val="22"/>
              <w:keepNext w:val="0"/>
              <w:keepLines w:val="0"/>
              <w:suppressLineNumbers w:val="0"/>
              <w:spacing w:before="67" w:beforeAutospacing="0" w:after="0" w:afterAutospacing="0" w:line="222" w:lineRule="auto"/>
              <w:ind w:left="1595" w:right="0"/>
              <w:rPr>
                <w:rFonts w:hint="default"/>
              </w:rPr>
            </w:pPr>
            <w:r>
              <w:rPr>
                <w:rFonts w:hint="default"/>
                <w:spacing w:val="-7"/>
              </w:rPr>
              <w:t>出方</w:t>
            </w:r>
          </w:p>
        </w:tc>
      </w:tr>
      <w:tr w14:paraId="5A88F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76" w:type="dxa"/>
            <w:vMerge w:val="continue"/>
            <w:tcBorders>
              <w:top w:val="nil"/>
              <w:bottom w:val="nil"/>
            </w:tcBorders>
            <w:vAlign w:val="top"/>
          </w:tcPr>
          <w:p w14:paraId="5268BFA4">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5DE30BCF">
            <w:pPr>
              <w:keepNext w:val="0"/>
              <w:keepLines w:val="0"/>
              <w:suppressLineNumbers w:val="0"/>
              <w:spacing w:before="0" w:beforeAutospacing="0" w:after="0" w:afterAutospacing="0"/>
              <w:ind w:left="0" w:right="0"/>
              <w:rPr>
                <w:rFonts w:hint="default" w:ascii="Arial"/>
                <w:sz w:val="21"/>
              </w:rPr>
            </w:pPr>
          </w:p>
        </w:tc>
        <w:tc>
          <w:tcPr>
            <w:tcW w:w="2144" w:type="dxa"/>
            <w:vAlign w:val="top"/>
          </w:tcPr>
          <w:p w14:paraId="131A82BF">
            <w:pPr>
              <w:pStyle w:val="22"/>
              <w:keepNext w:val="0"/>
              <w:keepLines w:val="0"/>
              <w:suppressLineNumbers w:val="0"/>
              <w:spacing w:before="63" w:beforeAutospacing="0" w:after="0" w:afterAutospacing="0" w:line="223" w:lineRule="auto"/>
              <w:ind w:left="868" w:right="0"/>
              <w:rPr>
                <w:rFonts w:hint="default"/>
              </w:rPr>
            </w:pPr>
            <w:r>
              <w:rPr>
                <w:rFonts w:hint="default"/>
                <w:spacing w:val="-3"/>
              </w:rPr>
              <w:t>名称</w:t>
            </w:r>
          </w:p>
        </w:tc>
        <w:tc>
          <w:tcPr>
            <w:tcW w:w="1173" w:type="dxa"/>
            <w:vAlign w:val="top"/>
          </w:tcPr>
          <w:p w14:paraId="352E3C20">
            <w:pPr>
              <w:pStyle w:val="22"/>
              <w:keepNext w:val="0"/>
              <w:keepLines w:val="0"/>
              <w:suppressLineNumbers w:val="0"/>
              <w:spacing w:before="62" w:beforeAutospacing="0" w:after="0" w:afterAutospacing="0" w:line="221" w:lineRule="auto"/>
              <w:ind w:left="120" w:right="0"/>
              <w:rPr>
                <w:rFonts w:hint="default"/>
              </w:rPr>
            </w:pPr>
            <w:r>
              <w:rPr>
                <w:rFonts w:hint="default"/>
                <w:spacing w:val="-1"/>
              </w:rPr>
              <w:t>数量(t/a)</w:t>
            </w:r>
          </w:p>
        </w:tc>
        <w:tc>
          <w:tcPr>
            <w:tcW w:w="1074" w:type="dxa"/>
            <w:vAlign w:val="top"/>
          </w:tcPr>
          <w:p w14:paraId="4C041697">
            <w:pPr>
              <w:pStyle w:val="22"/>
              <w:keepNext w:val="0"/>
              <w:keepLines w:val="0"/>
              <w:suppressLineNumbers w:val="0"/>
              <w:spacing w:before="63" w:beforeAutospacing="0" w:after="0" w:afterAutospacing="0" w:line="223" w:lineRule="auto"/>
              <w:ind w:left="333" w:right="0"/>
              <w:rPr>
                <w:rFonts w:hint="default"/>
              </w:rPr>
            </w:pPr>
            <w:r>
              <w:rPr>
                <w:rFonts w:hint="default"/>
                <w:spacing w:val="-3"/>
              </w:rPr>
              <w:t>名称</w:t>
            </w:r>
          </w:p>
        </w:tc>
        <w:tc>
          <w:tcPr>
            <w:tcW w:w="1224" w:type="dxa"/>
            <w:vAlign w:val="top"/>
          </w:tcPr>
          <w:p w14:paraId="27BF6E48">
            <w:pPr>
              <w:keepNext w:val="0"/>
              <w:keepLines w:val="0"/>
              <w:suppressLineNumbers w:val="0"/>
              <w:spacing w:before="0" w:beforeAutospacing="0" w:after="0" w:afterAutospacing="0"/>
              <w:ind w:left="0" w:right="0"/>
              <w:rPr>
                <w:rFonts w:hint="default" w:ascii="Arial"/>
                <w:sz w:val="21"/>
              </w:rPr>
            </w:pPr>
          </w:p>
        </w:tc>
        <w:tc>
          <w:tcPr>
            <w:tcW w:w="1269" w:type="dxa"/>
            <w:vAlign w:val="top"/>
          </w:tcPr>
          <w:p w14:paraId="4798CED4">
            <w:pPr>
              <w:pStyle w:val="22"/>
              <w:keepNext w:val="0"/>
              <w:keepLines w:val="0"/>
              <w:suppressLineNumbers w:val="0"/>
              <w:spacing w:before="62" w:beforeAutospacing="0" w:after="0" w:afterAutospacing="0" w:line="221" w:lineRule="auto"/>
              <w:ind w:left="168" w:right="0"/>
              <w:rPr>
                <w:rFonts w:hint="default"/>
              </w:rPr>
            </w:pPr>
            <w:r>
              <w:rPr>
                <w:rFonts w:hint="default"/>
                <w:spacing w:val="-1"/>
              </w:rPr>
              <w:t>数量(t/a)</w:t>
            </w:r>
          </w:p>
        </w:tc>
      </w:tr>
      <w:tr w14:paraId="395B5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3F4EC03C">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6047811A">
            <w:pPr>
              <w:pStyle w:val="22"/>
              <w:keepNext w:val="0"/>
              <w:keepLines w:val="0"/>
              <w:suppressLineNumbers w:val="0"/>
              <w:spacing w:before="99" w:beforeAutospacing="0" w:after="0" w:afterAutospacing="0" w:line="183" w:lineRule="auto"/>
              <w:ind w:left="439" w:right="0"/>
              <w:rPr>
                <w:rFonts w:hint="default"/>
              </w:rPr>
            </w:pPr>
            <w:r>
              <w:rPr>
                <w:rFonts w:hint="default"/>
              </w:rPr>
              <w:t>1</w:t>
            </w:r>
          </w:p>
        </w:tc>
        <w:tc>
          <w:tcPr>
            <w:tcW w:w="2144" w:type="dxa"/>
            <w:vAlign w:val="top"/>
          </w:tcPr>
          <w:p w14:paraId="7945435D">
            <w:pPr>
              <w:pStyle w:val="22"/>
              <w:keepNext w:val="0"/>
              <w:keepLines w:val="0"/>
              <w:suppressLineNumbers w:val="0"/>
              <w:spacing w:before="65" w:beforeAutospacing="0" w:after="0" w:afterAutospacing="0" w:line="220" w:lineRule="auto"/>
              <w:ind w:left="360" w:right="0"/>
              <w:rPr>
                <w:rFonts w:hint="default"/>
              </w:rPr>
            </w:pPr>
            <w:r>
              <w:rPr>
                <w:rFonts w:hint="default"/>
                <w:spacing w:val="-4"/>
              </w:rPr>
              <w:t>四甲基氢氧化铵</w:t>
            </w:r>
          </w:p>
        </w:tc>
        <w:tc>
          <w:tcPr>
            <w:tcW w:w="1173" w:type="dxa"/>
            <w:vAlign w:val="top"/>
          </w:tcPr>
          <w:p w14:paraId="3649578E">
            <w:pPr>
              <w:pStyle w:val="22"/>
              <w:keepNext w:val="0"/>
              <w:keepLines w:val="0"/>
              <w:suppressLineNumbers w:val="0"/>
              <w:spacing w:before="101" w:beforeAutospacing="0" w:after="0" w:afterAutospacing="0" w:line="182" w:lineRule="auto"/>
              <w:ind w:left="332" w:right="0"/>
              <w:rPr>
                <w:rFonts w:hint="default"/>
              </w:rPr>
            </w:pPr>
            <w:r>
              <w:rPr>
                <w:rFonts w:hint="default"/>
                <w:spacing w:val="-2"/>
              </w:rPr>
              <w:t>250.5</w:t>
            </w:r>
          </w:p>
        </w:tc>
        <w:tc>
          <w:tcPr>
            <w:tcW w:w="1074" w:type="dxa"/>
            <w:vAlign w:val="top"/>
          </w:tcPr>
          <w:p w14:paraId="6CEBE23F">
            <w:pPr>
              <w:pStyle w:val="22"/>
              <w:keepNext w:val="0"/>
              <w:keepLines w:val="0"/>
              <w:suppressLineNumbers w:val="0"/>
              <w:spacing w:before="65" w:beforeAutospacing="0" w:after="0" w:afterAutospacing="0" w:line="221" w:lineRule="auto"/>
              <w:ind w:left="330" w:right="0"/>
              <w:rPr>
                <w:rFonts w:hint="default"/>
              </w:rPr>
            </w:pPr>
            <w:r>
              <w:rPr>
                <w:rFonts w:hint="default"/>
                <w:spacing w:val="-2"/>
              </w:rPr>
              <w:t>产品</w:t>
            </w:r>
          </w:p>
        </w:tc>
        <w:tc>
          <w:tcPr>
            <w:tcW w:w="1224" w:type="dxa"/>
            <w:vAlign w:val="top"/>
          </w:tcPr>
          <w:p w14:paraId="3AD1CB1E">
            <w:pPr>
              <w:pStyle w:val="22"/>
              <w:keepNext w:val="0"/>
              <w:keepLines w:val="0"/>
              <w:suppressLineNumbers w:val="0"/>
              <w:spacing w:before="66" w:beforeAutospacing="0" w:after="0" w:afterAutospacing="0" w:line="221" w:lineRule="auto"/>
              <w:ind w:left="305" w:right="0"/>
              <w:rPr>
                <w:rFonts w:hint="default"/>
              </w:rPr>
            </w:pPr>
            <w:r>
              <w:rPr>
                <w:rFonts w:hint="default"/>
                <w:spacing w:val="-2"/>
              </w:rPr>
              <w:t>剥离液</w:t>
            </w:r>
          </w:p>
        </w:tc>
        <w:tc>
          <w:tcPr>
            <w:tcW w:w="1269" w:type="dxa"/>
            <w:vAlign w:val="top"/>
          </w:tcPr>
          <w:p w14:paraId="50CBB141">
            <w:pPr>
              <w:pStyle w:val="22"/>
              <w:keepNext w:val="0"/>
              <w:keepLines w:val="0"/>
              <w:suppressLineNumbers w:val="0"/>
              <w:spacing w:before="101" w:beforeAutospacing="0" w:after="0" w:afterAutospacing="0" w:line="182" w:lineRule="auto"/>
              <w:ind w:left="435" w:right="0"/>
              <w:rPr>
                <w:rFonts w:hint="default"/>
              </w:rPr>
            </w:pPr>
            <w:r>
              <w:rPr>
                <w:rFonts w:hint="default"/>
                <w:spacing w:val="-2"/>
              </w:rPr>
              <w:t>5000</w:t>
            </w:r>
          </w:p>
        </w:tc>
      </w:tr>
      <w:tr w14:paraId="487FD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6F5AAEFB">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5AC422ED">
            <w:pPr>
              <w:pStyle w:val="22"/>
              <w:keepNext w:val="0"/>
              <w:keepLines w:val="0"/>
              <w:suppressLineNumbers w:val="0"/>
              <w:spacing w:before="101" w:beforeAutospacing="0" w:after="0" w:afterAutospacing="0" w:line="182" w:lineRule="auto"/>
              <w:ind w:left="426" w:right="0"/>
              <w:rPr>
                <w:rFonts w:hint="default"/>
              </w:rPr>
            </w:pPr>
            <w:r>
              <w:rPr>
                <w:rFonts w:hint="default"/>
              </w:rPr>
              <w:t>2</w:t>
            </w:r>
          </w:p>
        </w:tc>
        <w:tc>
          <w:tcPr>
            <w:tcW w:w="2144" w:type="dxa"/>
            <w:vAlign w:val="top"/>
          </w:tcPr>
          <w:p w14:paraId="7B1DF1CF">
            <w:pPr>
              <w:pStyle w:val="22"/>
              <w:keepNext w:val="0"/>
              <w:keepLines w:val="0"/>
              <w:suppressLineNumbers w:val="0"/>
              <w:spacing w:before="66" w:beforeAutospacing="0" w:after="0" w:afterAutospacing="0" w:line="221" w:lineRule="auto"/>
              <w:ind w:left="554" w:right="0"/>
              <w:rPr>
                <w:rFonts w:hint="default"/>
              </w:rPr>
            </w:pPr>
            <w:r>
              <w:rPr>
                <w:rFonts w:hint="default"/>
                <w:spacing w:val="-2"/>
              </w:rPr>
              <w:t>二甲基亚砜</w:t>
            </w:r>
          </w:p>
        </w:tc>
        <w:tc>
          <w:tcPr>
            <w:tcW w:w="1173" w:type="dxa"/>
            <w:vAlign w:val="top"/>
          </w:tcPr>
          <w:p w14:paraId="53BD1E50">
            <w:pPr>
              <w:pStyle w:val="22"/>
              <w:keepNext w:val="0"/>
              <w:keepLines w:val="0"/>
              <w:suppressLineNumbers w:val="0"/>
              <w:spacing w:before="100" w:beforeAutospacing="0" w:after="0" w:afterAutospacing="0" w:line="183" w:lineRule="auto"/>
              <w:ind w:left="292" w:right="0"/>
              <w:rPr>
                <w:rFonts w:hint="default"/>
              </w:rPr>
            </w:pPr>
            <w:r>
              <w:rPr>
                <w:rFonts w:hint="default"/>
                <w:spacing w:val="-3"/>
              </w:rPr>
              <w:t>1250.5</w:t>
            </w:r>
          </w:p>
        </w:tc>
        <w:tc>
          <w:tcPr>
            <w:tcW w:w="1074" w:type="dxa"/>
            <w:vAlign w:val="top"/>
          </w:tcPr>
          <w:p w14:paraId="7626F32B">
            <w:pPr>
              <w:pStyle w:val="22"/>
              <w:keepNext w:val="0"/>
              <w:keepLines w:val="0"/>
              <w:suppressLineNumbers w:val="0"/>
              <w:spacing w:before="65" w:beforeAutospacing="0" w:after="0" w:afterAutospacing="0" w:line="221" w:lineRule="auto"/>
              <w:ind w:left="330" w:right="0"/>
              <w:rPr>
                <w:rFonts w:hint="default"/>
              </w:rPr>
            </w:pPr>
            <w:r>
              <w:rPr>
                <w:rFonts w:hint="default"/>
                <w:spacing w:val="-2"/>
              </w:rPr>
              <w:t>损耗</w:t>
            </w:r>
          </w:p>
        </w:tc>
        <w:tc>
          <w:tcPr>
            <w:tcW w:w="1224" w:type="dxa"/>
            <w:vAlign w:val="top"/>
          </w:tcPr>
          <w:p w14:paraId="52229352">
            <w:pPr>
              <w:pStyle w:val="22"/>
              <w:keepNext w:val="0"/>
              <w:keepLines w:val="0"/>
              <w:suppressLineNumbers w:val="0"/>
              <w:spacing w:before="66" w:beforeAutospacing="0" w:after="0" w:afterAutospacing="0" w:line="222" w:lineRule="auto"/>
              <w:ind w:left="200" w:right="0"/>
              <w:rPr>
                <w:rFonts w:hint="default"/>
              </w:rPr>
            </w:pPr>
            <w:r>
              <w:rPr>
                <w:rFonts w:hint="default"/>
                <w:spacing w:val="-2"/>
              </w:rPr>
              <w:t>过滤损失</w:t>
            </w:r>
          </w:p>
        </w:tc>
        <w:tc>
          <w:tcPr>
            <w:tcW w:w="1269" w:type="dxa"/>
            <w:vAlign w:val="top"/>
          </w:tcPr>
          <w:p w14:paraId="1E5A470B">
            <w:pPr>
              <w:pStyle w:val="22"/>
              <w:keepNext w:val="0"/>
              <w:keepLines w:val="0"/>
              <w:suppressLineNumbers w:val="0"/>
              <w:spacing w:before="100" w:beforeAutospacing="0" w:after="0" w:afterAutospacing="0" w:line="183" w:lineRule="auto"/>
              <w:ind w:left="382" w:right="0"/>
              <w:rPr>
                <w:rFonts w:hint="default"/>
              </w:rPr>
            </w:pPr>
            <w:r>
              <w:rPr>
                <w:rFonts w:hint="default"/>
                <w:spacing w:val="-2"/>
              </w:rPr>
              <w:t>3.125</w:t>
            </w:r>
          </w:p>
        </w:tc>
      </w:tr>
      <w:tr w14:paraId="56490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26A3FF12">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3A179AA9">
            <w:pPr>
              <w:pStyle w:val="22"/>
              <w:keepNext w:val="0"/>
              <w:keepLines w:val="0"/>
              <w:suppressLineNumbers w:val="0"/>
              <w:spacing w:before="99" w:beforeAutospacing="0" w:after="0" w:afterAutospacing="0" w:line="182" w:lineRule="auto"/>
              <w:ind w:left="428" w:right="0"/>
              <w:rPr>
                <w:rFonts w:hint="default"/>
              </w:rPr>
            </w:pPr>
            <w:r>
              <w:rPr>
                <w:rFonts w:hint="default"/>
              </w:rPr>
              <w:t>3</w:t>
            </w:r>
          </w:p>
        </w:tc>
        <w:tc>
          <w:tcPr>
            <w:tcW w:w="2144" w:type="dxa"/>
            <w:vAlign w:val="top"/>
          </w:tcPr>
          <w:p w14:paraId="2458E418">
            <w:pPr>
              <w:pStyle w:val="22"/>
              <w:keepNext w:val="0"/>
              <w:keepLines w:val="0"/>
              <w:suppressLineNumbers w:val="0"/>
              <w:spacing w:before="64" w:beforeAutospacing="0" w:after="0" w:afterAutospacing="0" w:line="221" w:lineRule="auto"/>
              <w:ind w:left="473" w:right="0"/>
              <w:rPr>
                <w:rFonts w:hint="default"/>
              </w:rPr>
            </w:pPr>
            <w:r>
              <w:rPr>
                <w:rFonts w:hint="default"/>
                <w:spacing w:val="-6"/>
              </w:rPr>
              <w:t>甲基吡咯烷酮</w:t>
            </w:r>
          </w:p>
        </w:tc>
        <w:tc>
          <w:tcPr>
            <w:tcW w:w="1173" w:type="dxa"/>
            <w:vAlign w:val="top"/>
          </w:tcPr>
          <w:p w14:paraId="7EDB48B5">
            <w:pPr>
              <w:pStyle w:val="22"/>
              <w:keepNext w:val="0"/>
              <w:keepLines w:val="0"/>
              <w:suppressLineNumbers w:val="0"/>
              <w:spacing w:before="99" w:beforeAutospacing="0" w:after="0" w:afterAutospacing="0" w:line="182" w:lineRule="auto"/>
              <w:ind w:left="334" w:right="0"/>
              <w:rPr>
                <w:rFonts w:hint="default"/>
              </w:rPr>
            </w:pPr>
            <w:r>
              <w:rPr>
                <w:rFonts w:hint="default"/>
                <w:spacing w:val="-2"/>
              </w:rPr>
              <w:t>500.5</w:t>
            </w:r>
          </w:p>
        </w:tc>
        <w:tc>
          <w:tcPr>
            <w:tcW w:w="1074" w:type="dxa"/>
            <w:vAlign w:val="top"/>
          </w:tcPr>
          <w:p w14:paraId="0B0715B8">
            <w:pPr>
              <w:keepNext w:val="0"/>
              <w:keepLines w:val="0"/>
              <w:suppressLineNumbers w:val="0"/>
              <w:spacing w:before="0" w:beforeAutospacing="0" w:after="0" w:afterAutospacing="0"/>
              <w:ind w:left="0" w:right="0"/>
              <w:rPr>
                <w:rFonts w:hint="default" w:ascii="Arial"/>
                <w:sz w:val="21"/>
              </w:rPr>
            </w:pPr>
          </w:p>
        </w:tc>
        <w:tc>
          <w:tcPr>
            <w:tcW w:w="1224" w:type="dxa"/>
            <w:vAlign w:val="top"/>
          </w:tcPr>
          <w:p w14:paraId="617732CC">
            <w:pPr>
              <w:pStyle w:val="22"/>
              <w:keepNext w:val="0"/>
              <w:keepLines w:val="0"/>
              <w:suppressLineNumbers w:val="0"/>
              <w:spacing w:before="64" w:beforeAutospacing="0" w:after="0" w:afterAutospacing="0" w:line="221" w:lineRule="auto"/>
              <w:ind w:left="199" w:right="0"/>
              <w:rPr>
                <w:rFonts w:hint="default"/>
              </w:rPr>
            </w:pPr>
            <w:r>
              <w:rPr>
                <w:rFonts w:hint="default"/>
                <w:spacing w:val="-2"/>
              </w:rPr>
              <w:t>包装损失</w:t>
            </w:r>
          </w:p>
        </w:tc>
        <w:tc>
          <w:tcPr>
            <w:tcW w:w="1269" w:type="dxa"/>
            <w:vAlign w:val="top"/>
          </w:tcPr>
          <w:p w14:paraId="2D84DA08">
            <w:pPr>
              <w:pStyle w:val="22"/>
              <w:keepNext w:val="0"/>
              <w:keepLines w:val="0"/>
              <w:suppressLineNumbers w:val="0"/>
              <w:spacing w:before="98" w:beforeAutospacing="0" w:after="0" w:afterAutospacing="0" w:line="183" w:lineRule="auto"/>
              <w:ind w:left="382" w:right="0"/>
              <w:rPr>
                <w:rFonts w:hint="default"/>
              </w:rPr>
            </w:pPr>
            <w:r>
              <w:rPr>
                <w:rFonts w:hint="default"/>
                <w:spacing w:val="-2"/>
              </w:rPr>
              <w:t>3.125</w:t>
            </w:r>
          </w:p>
        </w:tc>
      </w:tr>
      <w:tr w14:paraId="18BF5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1B82A9F7">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6AF87BF7">
            <w:pPr>
              <w:pStyle w:val="22"/>
              <w:keepNext w:val="0"/>
              <w:keepLines w:val="0"/>
              <w:suppressLineNumbers w:val="0"/>
              <w:spacing w:before="99" w:beforeAutospacing="0" w:after="0" w:afterAutospacing="0" w:line="182" w:lineRule="auto"/>
              <w:ind w:left="423" w:right="0"/>
              <w:rPr>
                <w:rFonts w:hint="default"/>
              </w:rPr>
            </w:pPr>
            <w:r>
              <w:rPr>
                <w:rFonts w:hint="default"/>
              </w:rPr>
              <w:t>4</w:t>
            </w:r>
          </w:p>
        </w:tc>
        <w:tc>
          <w:tcPr>
            <w:tcW w:w="2144" w:type="dxa"/>
            <w:vAlign w:val="top"/>
          </w:tcPr>
          <w:p w14:paraId="346D664D">
            <w:pPr>
              <w:pStyle w:val="22"/>
              <w:keepNext w:val="0"/>
              <w:keepLines w:val="0"/>
              <w:suppressLineNumbers w:val="0"/>
              <w:spacing w:before="64" w:beforeAutospacing="0" w:after="0" w:afterAutospacing="0" w:line="221" w:lineRule="auto"/>
              <w:ind w:left="973" w:right="0"/>
              <w:rPr>
                <w:rFonts w:hint="default"/>
              </w:rPr>
            </w:pPr>
            <w:r>
              <w:rPr>
                <w:rFonts w:hint="default"/>
              </w:rPr>
              <w:t>水</w:t>
            </w:r>
          </w:p>
        </w:tc>
        <w:tc>
          <w:tcPr>
            <w:tcW w:w="1173" w:type="dxa"/>
            <w:vAlign w:val="top"/>
          </w:tcPr>
          <w:p w14:paraId="2E1A2F5C">
            <w:pPr>
              <w:pStyle w:val="22"/>
              <w:keepNext w:val="0"/>
              <w:keepLines w:val="0"/>
              <w:suppressLineNumbers w:val="0"/>
              <w:spacing w:before="99" w:beforeAutospacing="0" w:after="0" w:afterAutospacing="0" w:line="182" w:lineRule="auto"/>
              <w:ind w:left="228" w:right="0"/>
              <w:rPr>
                <w:rFonts w:hint="default"/>
              </w:rPr>
            </w:pPr>
            <w:r>
              <w:rPr>
                <w:rFonts w:hint="default"/>
                <w:spacing w:val="-2"/>
              </w:rPr>
              <w:t>3007.25</w:t>
            </w:r>
          </w:p>
        </w:tc>
        <w:tc>
          <w:tcPr>
            <w:tcW w:w="1074" w:type="dxa"/>
            <w:vAlign w:val="top"/>
          </w:tcPr>
          <w:p w14:paraId="4CA47B19">
            <w:pPr>
              <w:keepNext w:val="0"/>
              <w:keepLines w:val="0"/>
              <w:suppressLineNumbers w:val="0"/>
              <w:spacing w:before="0" w:beforeAutospacing="0" w:after="0" w:afterAutospacing="0"/>
              <w:ind w:left="0" w:right="0"/>
              <w:rPr>
                <w:rFonts w:hint="default" w:ascii="Arial"/>
                <w:sz w:val="21"/>
              </w:rPr>
            </w:pPr>
          </w:p>
        </w:tc>
        <w:tc>
          <w:tcPr>
            <w:tcW w:w="1224" w:type="dxa"/>
            <w:vAlign w:val="top"/>
          </w:tcPr>
          <w:p w14:paraId="3F615015">
            <w:pPr>
              <w:pStyle w:val="22"/>
              <w:keepNext w:val="0"/>
              <w:keepLines w:val="0"/>
              <w:suppressLineNumbers w:val="0"/>
              <w:spacing w:before="64" w:beforeAutospacing="0" w:after="0" w:afterAutospacing="0" w:line="221" w:lineRule="auto"/>
              <w:ind w:left="407" w:right="0"/>
              <w:rPr>
                <w:rFonts w:hint="default"/>
              </w:rPr>
            </w:pPr>
            <w:r>
              <w:rPr>
                <w:rFonts w:hint="default"/>
                <w:spacing w:val="-2"/>
              </w:rPr>
              <w:t>废气</w:t>
            </w:r>
          </w:p>
        </w:tc>
        <w:tc>
          <w:tcPr>
            <w:tcW w:w="1269" w:type="dxa"/>
            <w:vAlign w:val="top"/>
          </w:tcPr>
          <w:p w14:paraId="68E48327">
            <w:pPr>
              <w:pStyle w:val="22"/>
              <w:keepNext w:val="0"/>
              <w:keepLines w:val="0"/>
              <w:suppressLineNumbers w:val="0"/>
              <w:spacing w:before="99" w:beforeAutospacing="0" w:after="0" w:afterAutospacing="0" w:line="182" w:lineRule="auto"/>
              <w:ind w:left="486" w:right="0"/>
              <w:rPr>
                <w:rFonts w:hint="default"/>
              </w:rPr>
            </w:pPr>
            <w:r>
              <w:rPr>
                <w:rFonts w:hint="default"/>
                <w:spacing w:val="-2"/>
              </w:rPr>
              <w:t>2.5</w:t>
            </w:r>
          </w:p>
        </w:tc>
      </w:tr>
      <w:tr w14:paraId="2087E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tcBorders>
            <w:vAlign w:val="top"/>
          </w:tcPr>
          <w:p w14:paraId="61CCD262">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0526E95C">
            <w:pPr>
              <w:pStyle w:val="22"/>
              <w:keepNext w:val="0"/>
              <w:keepLines w:val="0"/>
              <w:suppressLineNumbers w:val="0"/>
              <w:spacing w:before="64" w:beforeAutospacing="0" w:after="0" w:afterAutospacing="0" w:line="222" w:lineRule="auto"/>
              <w:ind w:left="266" w:right="0"/>
              <w:rPr>
                <w:rFonts w:hint="default"/>
              </w:rPr>
            </w:pPr>
            <w:r>
              <w:rPr>
                <w:rFonts w:hint="default"/>
                <w:spacing w:val="-2"/>
              </w:rPr>
              <w:t>合计</w:t>
            </w:r>
          </w:p>
        </w:tc>
        <w:tc>
          <w:tcPr>
            <w:tcW w:w="2144" w:type="dxa"/>
            <w:vAlign w:val="top"/>
          </w:tcPr>
          <w:p w14:paraId="593BFDB5">
            <w:pPr>
              <w:keepNext w:val="0"/>
              <w:keepLines w:val="0"/>
              <w:suppressLineNumbers w:val="0"/>
              <w:spacing w:before="0" w:beforeAutospacing="0" w:after="0" w:afterAutospacing="0"/>
              <w:ind w:left="0" w:right="0"/>
              <w:rPr>
                <w:rFonts w:hint="default" w:ascii="Arial"/>
                <w:sz w:val="21"/>
              </w:rPr>
            </w:pPr>
          </w:p>
        </w:tc>
        <w:tc>
          <w:tcPr>
            <w:tcW w:w="1173" w:type="dxa"/>
            <w:vAlign w:val="top"/>
          </w:tcPr>
          <w:p w14:paraId="34B0F367">
            <w:pPr>
              <w:pStyle w:val="22"/>
              <w:keepNext w:val="0"/>
              <w:keepLines w:val="0"/>
              <w:suppressLineNumbers w:val="0"/>
              <w:spacing w:before="100" w:beforeAutospacing="0" w:after="0" w:afterAutospacing="0" w:line="182" w:lineRule="auto"/>
              <w:ind w:left="228" w:right="0"/>
              <w:rPr>
                <w:rFonts w:hint="default"/>
              </w:rPr>
            </w:pPr>
            <w:r>
              <w:rPr>
                <w:rFonts w:hint="default"/>
                <w:spacing w:val="-2"/>
              </w:rPr>
              <w:t>5008.75</w:t>
            </w:r>
          </w:p>
        </w:tc>
        <w:tc>
          <w:tcPr>
            <w:tcW w:w="1074" w:type="dxa"/>
            <w:vAlign w:val="top"/>
          </w:tcPr>
          <w:p w14:paraId="39339B0F">
            <w:pPr>
              <w:pStyle w:val="22"/>
              <w:keepNext w:val="0"/>
              <w:keepLines w:val="0"/>
              <w:suppressLineNumbers w:val="0"/>
              <w:spacing w:before="64" w:beforeAutospacing="0" w:after="0" w:afterAutospacing="0" w:line="222" w:lineRule="auto"/>
              <w:ind w:left="331" w:right="0"/>
              <w:rPr>
                <w:rFonts w:hint="default"/>
              </w:rPr>
            </w:pPr>
            <w:r>
              <w:rPr>
                <w:rFonts w:hint="default"/>
                <w:spacing w:val="-2"/>
              </w:rPr>
              <w:t>合计</w:t>
            </w:r>
          </w:p>
        </w:tc>
        <w:tc>
          <w:tcPr>
            <w:tcW w:w="1224" w:type="dxa"/>
            <w:vAlign w:val="top"/>
          </w:tcPr>
          <w:p w14:paraId="05DAD675">
            <w:pPr>
              <w:keepNext w:val="0"/>
              <w:keepLines w:val="0"/>
              <w:suppressLineNumbers w:val="0"/>
              <w:spacing w:before="0" w:beforeAutospacing="0" w:after="0" w:afterAutospacing="0"/>
              <w:ind w:left="0" w:right="0"/>
              <w:rPr>
                <w:rFonts w:hint="default" w:ascii="Arial"/>
                <w:sz w:val="21"/>
              </w:rPr>
            </w:pPr>
          </w:p>
        </w:tc>
        <w:tc>
          <w:tcPr>
            <w:tcW w:w="1269" w:type="dxa"/>
            <w:vAlign w:val="top"/>
          </w:tcPr>
          <w:p w14:paraId="63E1164A">
            <w:pPr>
              <w:pStyle w:val="22"/>
              <w:keepNext w:val="0"/>
              <w:keepLines w:val="0"/>
              <w:suppressLineNumbers w:val="0"/>
              <w:spacing w:before="100" w:beforeAutospacing="0" w:after="0" w:afterAutospacing="0" w:line="182" w:lineRule="auto"/>
              <w:ind w:left="276" w:right="0"/>
              <w:rPr>
                <w:rFonts w:hint="default"/>
              </w:rPr>
            </w:pPr>
            <w:r>
              <w:rPr>
                <w:rFonts w:hint="default"/>
                <w:spacing w:val="-2"/>
              </w:rPr>
              <w:t>5008.75</w:t>
            </w:r>
          </w:p>
        </w:tc>
      </w:tr>
      <w:tr w14:paraId="6600A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576" w:type="dxa"/>
            <w:vMerge w:val="restart"/>
            <w:tcBorders>
              <w:bottom w:val="nil"/>
            </w:tcBorders>
            <w:vAlign w:val="top"/>
          </w:tcPr>
          <w:p w14:paraId="31D66B49">
            <w:pPr>
              <w:keepNext w:val="0"/>
              <w:keepLines w:val="0"/>
              <w:suppressLineNumbers w:val="0"/>
              <w:spacing w:before="0" w:beforeAutospacing="0" w:after="0" w:afterAutospacing="0" w:line="288" w:lineRule="auto"/>
              <w:ind w:left="0" w:right="0"/>
              <w:rPr>
                <w:rFonts w:hint="default" w:ascii="Arial"/>
                <w:sz w:val="21"/>
              </w:rPr>
            </w:pPr>
          </w:p>
          <w:p w14:paraId="4FFCCCBF">
            <w:pPr>
              <w:keepNext w:val="0"/>
              <w:keepLines w:val="0"/>
              <w:suppressLineNumbers w:val="0"/>
              <w:spacing w:before="0" w:beforeAutospacing="0" w:after="0" w:afterAutospacing="0" w:line="289" w:lineRule="auto"/>
              <w:ind w:left="0" w:right="0"/>
              <w:rPr>
                <w:rFonts w:hint="default" w:ascii="Arial"/>
                <w:sz w:val="21"/>
              </w:rPr>
            </w:pPr>
          </w:p>
          <w:p w14:paraId="0D394681">
            <w:pPr>
              <w:keepNext w:val="0"/>
              <w:keepLines w:val="0"/>
              <w:suppressLineNumbers w:val="0"/>
              <w:spacing w:before="0" w:beforeAutospacing="0" w:after="0" w:afterAutospacing="0" w:line="289" w:lineRule="auto"/>
              <w:ind w:left="0" w:right="0"/>
              <w:rPr>
                <w:rFonts w:hint="default" w:ascii="Arial"/>
                <w:sz w:val="21"/>
              </w:rPr>
            </w:pPr>
          </w:p>
          <w:p w14:paraId="2EC4E0B5">
            <w:pPr>
              <w:pStyle w:val="22"/>
              <w:keepNext w:val="0"/>
              <w:keepLines w:val="0"/>
              <w:suppressLineNumbers w:val="0"/>
              <w:spacing w:before="68" w:beforeAutospacing="0" w:after="0" w:afterAutospacing="0" w:line="221" w:lineRule="auto"/>
              <w:ind w:left="401" w:right="0"/>
              <w:rPr>
                <w:rFonts w:hint="default"/>
              </w:rPr>
            </w:pPr>
            <w:r>
              <w:rPr>
                <w:rFonts w:hint="default"/>
                <w:spacing w:val="-3"/>
              </w:rPr>
              <w:t>剥离液</w:t>
            </w:r>
            <w:r>
              <w:rPr>
                <w:rFonts w:hint="default"/>
                <w:spacing w:val="-41"/>
              </w:rPr>
              <w:t xml:space="preserve"> </w:t>
            </w:r>
            <w:r>
              <w:rPr>
                <w:rFonts w:hint="default"/>
                <w:spacing w:val="-3"/>
              </w:rPr>
              <w:t>2</w:t>
            </w:r>
          </w:p>
        </w:tc>
        <w:tc>
          <w:tcPr>
            <w:tcW w:w="946" w:type="dxa"/>
            <w:vAlign w:val="top"/>
          </w:tcPr>
          <w:p w14:paraId="65654FA8">
            <w:pPr>
              <w:pStyle w:val="22"/>
              <w:keepNext w:val="0"/>
              <w:keepLines w:val="0"/>
              <w:suppressLineNumbers w:val="0"/>
              <w:spacing w:before="65" w:beforeAutospacing="0" w:after="0" w:afterAutospacing="0" w:line="222" w:lineRule="auto"/>
              <w:ind w:left="264" w:right="0"/>
              <w:rPr>
                <w:rFonts w:hint="default"/>
              </w:rPr>
            </w:pPr>
            <w:r>
              <w:rPr>
                <w:rFonts w:hint="default"/>
                <w:spacing w:val="-2"/>
              </w:rPr>
              <w:t>序号</w:t>
            </w:r>
          </w:p>
        </w:tc>
        <w:tc>
          <w:tcPr>
            <w:tcW w:w="2144" w:type="dxa"/>
            <w:vAlign w:val="top"/>
          </w:tcPr>
          <w:p w14:paraId="4379E623">
            <w:pPr>
              <w:pStyle w:val="22"/>
              <w:keepNext w:val="0"/>
              <w:keepLines w:val="0"/>
              <w:suppressLineNumbers w:val="0"/>
              <w:spacing w:before="65" w:beforeAutospacing="0" w:after="0" w:afterAutospacing="0" w:line="222" w:lineRule="auto"/>
              <w:ind w:left="864" w:right="0"/>
              <w:rPr>
                <w:rFonts w:hint="default"/>
              </w:rPr>
            </w:pPr>
            <w:r>
              <w:rPr>
                <w:rFonts w:hint="default"/>
                <w:spacing w:val="-2"/>
              </w:rPr>
              <w:t>入方</w:t>
            </w:r>
          </w:p>
        </w:tc>
        <w:tc>
          <w:tcPr>
            <w:tcW w:w="1173" w:type="dxa"/>
            <w:vAlign w:val="top"/>
          </w:tcPr>
          <w:p w14:paraId="29A4CB88">
            <w:pPr>
              <w:keepNext w:val="0"/>
              <w:keepLines w:val="0"/>
              <w:suppressLineNumbers w:val="0"/>
              <w:spacing w:before="0" w:beforeAutospacing="0" w:after="0" w:afterAutospacing="0"/>
              <w:ind w:left="0" w:right="0"/>
              <w:rPr>
                <w:rFonts w:hint="default" w:ascii="Arial"/>
                <w:sz w:val="21"/>
              </w:rPr>
            </w:pPr>
          </w:p>
        </w:tc>
        <w:tc>
          <w:tcPr>
            <w:tcW w:w="1074" w:type="dxa"/>
            <w:vAlign w:val="top"/>
          </w:tcPr>
          <w:p w14:paraId="01C367E9">
            <w:pPr>
              <w:pStyle w:val="22"/>
              <w:keepNext w:val="0"/>
              <w:keepLines w:val="0"/>
              <w:suppressLineNumbers w:val="0"/>
              <w:spacing w:before="65" w:beforeAutospacing="0" w:after="0" w:afterAutospacing="0" w:line="222" w:lineRule="auto"/>
              <w:ind w:left="348" w:right="0"/>
              <w:rPr>
                <w:rFonts w:hint="default"/>
              </w:rPr>
            </w:pPr>
            <w:r>
              <w:rPr>
                <w:rFonts w:hint="default"/>
                <w:spacing w:val="-7"/>
              </w:rPr>
              <w:t>出方</w:t>
            </w:r>
          </w:p>
        </w:tc>
        <w:tc>
          <w:tcPr>
            <w:tcW w:w="1224" w:type="dxa"/>
            <w:vAlign w:val="top"/>
          </w:tcPr>
          <w:p w14:paraId="3569A6D2">
            <w:pPr>
              <w:keepNext w:val="0"/>
              <w:keepLines w:val="0"/>
              <w:suppressLineNumbers w:val="0"/>
              <w:spacing w:before="0" w:beforeAutospacing="0" w:after="0" w:afterAutospacing="0"/>
              <w:ind w:left="0" w:right="0"/>
              <w:rPr>
                <w:rFonts w:hint="default" w:ascii="Arial"/>
                <w:sz w:val="21"/>
              </w:rPr>
            </w:pPr>
          </w:p>
        </w:tc>
        <w:tc>
          <w:tcPr>
            <w:tcW w:w="1269" w:type="dxa"/>
            <w:vAlign w:val="top"/>
          </w:tcPr>
          <w:p w14:paraId="5317F60E">
            <w:pPr>
              <w:keepNext w:val="0"/>
              <w:keepLines w:val="0"/>
              <w:suppressLineNumbers w:val="0"/>
              <w:spacing w:before="0" w:beforeAutospacing="0" w:after="0" w:afterAutospacing="0"/>
              <w:ind w:left="0" w:right="0"/>
              <w:rPr>
                <w:rFonts w:hint="default" w:ascii="Arial"/>
                <w:sz w:val="21"/>
              </w:rPr>
            </w:pPr>
          </w:p>
        </w:tc>
      </w:tr>
      <w:tr w14:paraId="58656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7205F8AC">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5017A5C3">
            <w:pPr>
              <w:keepNext w:val="0"/>
              <w:keepLines w:val="0"/>
              <w:suppressLineNumbers w:val="0"/>
              <w:spacing w:before="0" w:beforeAutospacing="0" w:after="0" w:afterAutospacing="0"/>
              <w:ind w:left="0" w:right="0"/>
              <w:rPr>
                <w:rFonts w:hint="default" w:ascii="Arial"/>
                <w:sz w:val="21"/>
              </w:rPr>
            </w:pPr>
          </w:p>
        </w:tc>
        <w:tc>
          <w:tcPr>
            <w:tcW w:w="2144" w:type="dxa"/>
            <w:vAlign w:val="top"/>
          </w:tcPr>
          <w:p w14:paraId="1AF49E86">
            <w:pPr>
              <w:pStyle w:val="22"/>
              <w:keepNext w:val="0"/>
              <w:keepLines w:val="0"/>
              <w:suppressLineNumbers w:val="0"/>
              <w:spacing w:before="69" w:beforeAutospacing="0" w:after="0" w:afterAutospacing="0" w:line="223" w:lineRule="auto"/>
              <w:ind w:left="868" w:right="0"/>
              <w:rPr>
                <w:rFonts w:hint="default"/>
              </w:rPr>
            </w:pPr>
            <w:r>
              <w:rPr>
                <w:rFonts w:hint="default"/>
                <w:spacing w:val="-3"/>
              </w:rPr>
              <w:t>名称</w:t>
            </w:r>
          </w:p>
        </w:tc>
        <w:tc>
          <w:tcPr>
            <w:tcW w:w="1173" w:type="dxa"/>
            <w:vAlign w:val="top"/>
          </w:tcPr>
          <w:p w14:paraId="32422771">
            <w:pPr>
              <w:pStyle w:val="22"/>
              <w:keepNext w:val="0"/>
              <w:keepLines w:val="0"/>
              <w:suppressLineNumbers w:val="0"/>
              <w:spacing w:before="68" w:beforeAutospacing="0" w:after="0" w:afterAutospacing="0" w:line="221" w:lineRule="auto"/>
              <w:ind w:left="120" w:right="0"/>
              <w:rPr>
                <w:rFonts w:hint="default"/>
              </w:rPr>
            </w:pPr>
            <w:r>
              <w:rPr>
                <w:rFonts w:hint="default"/>
                <w:spacing w:val="-1"/>
              </w:rPr>
              <w:t>数量(t/a)</w:t>
            </w:r>
          </w:p>
        </w:tc>
        <w:tc>
          <w:tcPr>
            <w:tcW w:w="1074" w:type="dxa"/>
            <w:vAlign w:val="top"/>
          </w:tcPr>
          <w:p w14:paraId="385F683D">
            <w:pPr>
              <w:pStyle w:val="22"/>
              <w:keepNext w:val="0"/>
              <w:keepLines w:val="0"/>
              <w:suppressLineNumbers w:val="0"/>
              <w:spacing w:before="69" w:beforeAutospacing="0" w:after="0" w:afterAutospacing="0" w:line="223" w:lineRule="auto"/>
              <w:ind w:left="333" w:right="0"/>
              <w:rPr>
                <w:rFonts w:hint="default"/>
              </w:rPr>
            </w:pPr>
            <w:r>
              <w:rPr>
                <w:rFonts w:hint="default"/>
                <w:spacing w:val="-3"/>
              </w:rPr>
              <w:t>名称</w:t>
            </w:r>
          </w:p>
        </w:tc>
        <w:tc>
          <w:tcPr>
            <w:tcW w:w="1224" w:type="dxa"/>
            <w:vAlign w:val="top"/>
          </w:tcPr>
          <w:p w14:paraId="35F5F9BB">
            <w:pPr>
              <w:keepNext w:val="0"/>
              <w:keepLines w:val="0"/>
              <w:suppressLineNumbers w:val="0"/>
              <w:spacing w:before="0" w:beforeAutospacing="0" w:after="0" w:afterAutospacing="0"/>
              <w:ind w:left="0" w:right="0"/>
              <w:rPr>
                <w:rFonts w:hint="default" w:ascii="Arial"/>
                <w:sz w:val="21"/>
              </w:rPr>
            </w:pPr>
          </w:p>
        </w:tc>
        <w:tc>
          <w:tcPr>
            <w:tcW w:w="1269" w:type="dxa"/>
            <w:vAlign w:val="top"/>
          </w:tcPr>
          <w:p w14:paraId="22F1B75D">
            <w:pPr>
              <w:pStyle w:val="22"/>
              <w:keepNext w:val="0"/>
              <w:keepLines w:val="0"/>
              <w:suppressLineNumbers w:val="0"/>
              <w:spacing w:before="68" w:beforeAutospacing="0" w:after="0" w:afterAutospacing="0" w:line="221" w:lineRule="auto"/>
              <w:ind w:left="168" w:right="0"/>
              <w:rPr>
                <w:rFonts w:hint="default"/>
              </w:rPr>
            </w:pPr>
            <w:r>
              <w:rPr>
                <w:rFonts w:hint="default"/>
                <w:spacing w:val="-1"/>
              </w:rPr>
              <w:t>数量(t/a)</w:t>
            </w:r>
          </w:p>
        </w:tc>
      </w:tr>
      <w:tr w14:paraId="08999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242A714E">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5C6FC5E2">
            <w:pPr>
              <w:pStyle w:val="22"/>
              <w:keepNext w:val="0"/>
              <w:keepLines w:val="0"/>
              <w:suppressLineNumbers w:val="0"/>
              <w:spacing w:before="103" w:beforeAutospacing="0" w:after="0" w:afterAutospacing="0" w:line="183" w:lineRule="auto"/>
              <w:ind w:left="439" w:right="0"/>
              <w:rPr>
                <w:rFonts w:hint="default"/>
              </w:rPr>
            </w:pPr>
            <w:r>
              <w:rPr>
                <w:rFonts w:hint="default"/>
              </w:rPr>
              <w:t>1</w:t>
            </w:r>
          </w:p>
        </w:tc>
        <w:tc>
          <w:tcPr>
            <w:tcW w:w="2144" w:type="dxa"/>
            <w:vAlign w:val="top"/>
          </w:tcPr>
          <w:p w14:paraId="465CB8BA">
            <w:pPr>
              <w:pStyle w:val="22"/>
              <w:keepNext w:val="0"/>
              <w:keepLines w:val="0"/>
              <w:suppressLineNumbers w:val="0"/>
              <w:spacing w:before="70" w:beforeAutospacing="0" w:after="0" w:afterAutospacing="0" w:line="221" w:lineRule="auto"/>
              <w:ind w:left="554" w:right="0"/>
              <w:rPr>
                <w:rFonts w:hint="default"/>
              </w:rPr>
            </w:pPr>
            <w:r>
              <w:rPr>
                <w:rFonts w:hint="default"/>
                <w:spacing w:val="-2"/>
              </w:rPr>
              <w:t>二甲基亚砜</w:t>
            </w:r>
          </w:p>
        </w:tc>
        <w:tc>
          <w:tcPr>
            <w:tcW w:w="1173" w:type="dxa"/>
            <w:vAlign w:val="top"/>
          </w:tcPr>
          <w:p w14:paraId="2E1AE700">
            <w:pPr>
              <w:pStyle w:val="22"/>
              <w:keepNext w:val="0"/>
              <w:keepLines w:val="0"/>
              <w:suppressLineNumbers w:val="0"/>
              <w:spacing w:before="105" w:beforeAutospacing="0" w:after="0" w:afterAutospacing="0" w:line="182" w:lineRule="auto"/>
              <w:ind w:left="279" w:right="0"/>
              <w:rPr>
                <w:rFonts w:hint="default"/>
              </w:rPr>
            </w:pPr>
            <w:r>
              <w:rPr>
                <w:rFonts w:hint="default"/>
                <w:spacing w:val="-1"/>
              </w:rPr>
              <w:t>2250.5</w:t>
            </w:r>
          </w:p>
        </w:tc>
        <w:tc>
          <w:tcPr>
            <w:tcW w:w="1074" w:type="dxa"/>
            <w:vAlign w:val="top"/>
          </w:tcPr>
          <w:p w14:paraId="574BB7AA">
            <w:pPr>
              <w:pStyle w:val="22"/>
              <w:keepNext w:val="0"/>
              <w:keepLines w:val="0"/>
              <w:suppressLineNumbers w:val="0"/>
              <w:spacing w:before="69" w:beforeAutospacing="0" w:after="0" w:afterAutospacing="0" w:line="221" w:lineRule="auto"/>
              <w:ind w:left="330" w:right="0"/>
              <w:rPr>
                <w:rFonts w:hint="default"/>
              </w:rPr>
            </w:pPr>
            <w:r>
              <w:rPr>
                <w:rFonts w:hint="default"/>
                <w:spacing w:val="-2"/>
              </w:rPr>
              <w:t>产品</w:t>
            </w:r>
          </w:p>
        </w:tc>
        <w:tc>
          <w:tcPr>
            <w:tcW w:w="1224" w:type="dxa"/>
            <w:vAlign w:val="top"/>
          </w:tcPr>
          <w:p w14:paraId="131AC958">
            <w:pPr>
              <w:pStyle w:val="22"/>
              <w:keepNext w:val="0"/>
              <w:keepLines w:val="0"/>
              <w:suppressLineNumbers w:val="0"/>
              <w:spacing w:before="70" w:beforeAutospacing="0" w:after="0" w:afterAutospacing="0" w:line="221" w:lineRule="auto"/>
              <w:ind w:left="305" w:right="0"/>
              <w:rPr>
                <w:rFonts w:hint="default"/>
              </w:rPr>
            </w:pPr>
            <w:r>
              <w:rPr>
                <w:rFonts w:hint="default"/>
                <w:spacing w:val="-2"/>
              </w:rPr>
              <w:t>剥离液</w:t>
            </w:r>
          </w:p>
        </w:tc>
        <w:tc>
          <w:tcPr>
            <w:tcW w:w="1269" w:type="dxa"/>
            <w:vAlign w:val="top"/>
          </w:tcPr>
          <w:p w14:paraId="3FF4EF6B">
            <w:pPr>
              <w:pStyle w:val="22"/>
              <w:keepNext w:val="0"/>
              <w:keepLines w:val="0"/>
              <w:suppressLineNumbers w:val="0"/>
              <w:spacing w:before="105" w:beforeAutospacing="0" w:after="0" w:afterAutospacing="0" w:line="182" w:lineRule="auto"/>
              <w:ind w:left="435" w:right="0"/>
              <w:rPr>
                <w:rFonts w:hint="default"/>
              </w:rPr>
            </w:pPr>
            <w:r>
              <w:rPr>
                <w:rFonts w:hint="default"/>
                <w:spacing w:val="-2"/>
              </w:rPr>
              <w:t>5000</w:t>
            </w:r>
          </w:p>
        </w:tc>
      </w:tr>
      <w:tr w14:paraId="0A708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39FA146C">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1D98B47D">
            <w:pPr>
              <w:pStyle w:val="22"/>
              <w:keepNext w:val="0"/>
              <w:keepLines w:val="0"/>
              <w:suppressLineNumbers w:val="0"/>
              <w:spacing w:before="103" w:beforeAutospacing="0" w:after="0" w:afterAutospacing="0" w:line="182" w:lineRule="auto"/>
              <w:ind w:left="426" w:right="0"/>
              <w:rPr>
                <w:rFonts w:hint="default"/>
              </w:rPr>
            </w:pPr>
            <w:r>
              <w:rPr>
                <w:rFonts w:hint="default"/>
              </w:rPr>
              <w:t>2</w:t>
            </w:r>
          </w:p>
        </w:tc>
        <w:tc>
          <w:tcPr>
            <w:tcW w:w="2144" w:type="dxa"/>
            <w:vAlign w:val="top"/>
          </w:tcPr>
          <w:p w14:paraId="668ED650">
            <w:pPr>
              <w:pStyle w:val="22"/>
              <w:keepNext w:val="0"/>
              <w:keepLines w:val="0"/>
              <w:suppressLineNumbers w:val="0"/>
              <w:spacing w:before="68" w:beforeAutospacing="0" w:after="0" w:afterAutospacing="0" w:line="221" w:lineRule="auto"/>
              <w:ind w:left="343" w:right="0"/>
              <w:rPr>
                <w:rFonts w:hint="default"/>
              </w:rPr>
            </w:pPr>
            <w:r>
              <w:rPr>
                <w:rFonts w:hint="default"/>
                <w:spacing w:val="-2"/>
              </w:rPr>
              <w:t>二丙二醇单甲醚</w:t>
            </w:r>
          </w:p>
        </w:tc>
        <w:tc>
          <w:tcPr>
            <w:tcW w:w="1173" w:type="dxa"/>
            <w:vAlign w:val="top"/>
          </w:tcPr>
          <w:p w14:paraId="4161F0CA">
            <w:pPr>
              <w:pStyle w:val="22"/>
              <w:keepNext w:val="0"/>
              <w:keepLines w:val="0"/>
              <w:suppressLineNumbers w:val="0"/>
              <w:spacing w:before="102" w:beforeAutospacing="0" w:after="0" w:afterAutospacing="0" w:line="183" w:lineRule="auto"/>
              <w:ind w:left="292" w:right="0"/>
              <w:rPr>
                <w:rFonts w:hint="default"/>
              </w:rPr>
            </w:pPr>
            <w:r>
              <w:rPr>
                <w:rFonts w:hint="default"/>
                <w:spacing w:val="-3"/>
              </w:rPr>
              <w:t>1250.5</w:t>
            </w:r>
          </w:p>
        </w:tc>
        <w:tc>
          <w:tcPr>
            <w:tcW w:w="1074" w:type="dxa"/>
            <w:vAlign w:val="top"/>
          </w:tcPr>
          <w:p w14:paraId="26ED980B">
            <w:pPr>
              <w:pStyle w:val="22"/>
              <w:keepNext w:val="0"/>
              <w:keepLines w:val="0"/>
              <w:suppressLineNumbers w:val="0"/>
              <w:spacing w:before="67" w:beforeAutospacing="0" w:after="0" w:afterAutospacing="0" w:line="221" w:lineRule="auto"/>
              <w:ind w:left="330" w:right="0"/>
              <w:rPr>
                <w:rFonts w:hint="default"/>
              </w:rPr>
            </w:pPr>
            <w:r>
              <w:rPr>
                <w:rFonts w:hint="default"/>
                <w:spacing w:val="-2"/>
              </w:rPr>
              <w:t>损耗</w:t>
            </w:r>
          </w:p>
        </w:tc>
        <w:tc>
          <w:tcPr>
            <w:tcW w:w="1224" w:type="dxa"/>
            <w:vAlign w:val="top"/>
          </w:tcPr>
          <w:p w14:paraId="08D46964">
            <w:pPr>
              <w:pStyle w:val="22"/>
              <w:keepNext w:val="0"/>
              <w:keepLines w:val="0"/>
              <w:suppressLineNumbers w:val="0"/>
              <w:spacing w:before="67" w:beforeAutospacing="0" w:after="0" w:afterAutospacing="0" w:line="222" w:lineRule="auto"/>
              <w:ind w:left="200" w:right="0"/>
              <w:rPr>
                <w:rFonts w:hint="default"/>
              </w:rPr>
            </w:pPr>
            <w:r>
              <w:rPr>
                <w:rFonts w:hint="default"/>
                <w:spacing w:val="-2"/>
              </w:rPr>
              <w:t>过滤损失</w:t>
            </w:r>
          </w:p>
        </w:tc>
        <w:tc>
          <w:tcPr>
            <w:tcW w:w="1269" w:type="dxa"/>
            <w:vAlign w:val="top"/>
          </w:tcPr>
          <w:p w14:paraId="6926A9FA">
            <w:pPr>
              <w:pStyle w:val="22"/>
              <w:keepNext w:val="0"/>
              <w:keepLines w:val="0"/>
              <w:suppressLineNumbers w:val="0"/>
              <w:spacing w:before="102" w:beforeAutospacing="0" w:after="0" w:afterAutospacing="0" w:line="183" w:lineRule="auto"/>
              <w:ind w:left="382" w:right="0"/>
              <w:rPr>
                <w:rFonts w:hint="default"/>
              </w:rPr>
            </w:pPr>
            <w:r>
              <w:rPr>
                <w:rFonts w:hint="default"/>
                <w:spacing w:val="-2"/>
              </w:rPr>
              <w:t>3.125</w:t>
            </w:r>
          </w:p>
        </w:tc>
      </w:tr>
      <w:tr w14:paraId="07F49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76" w:type="dxa"/>
            <w:vMerge w:val="continue"/>
            <w:tcBorders>
              <w:top w:val="nil"/>
              <w:bottom w:val="nil"/>
            </w:tcBorders>
            <w:vAlign w:val="top"/>
          </w:tcPr>
          <w:p w14:paraId="63A70832">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0D8A7702">
            <w:pPr>
              <w:pStyle w:val="22"/>
              <w:keepNext w:val="0"/>
              <w:keepLines w:val="0"/>
              <w:suppressLineNumbers w:val="0"/>
              <w:spacing w:before="103" w:beforeAutospacing="0" w:after="0" w:afterAutospacing="0" w:line="182" w:lineRule="auto"/>
              <w:ind w:left="428" w:right="0"/>
              <w:rPr>
                <w:rFonts w:hint="default"/>
              </w:rPr>
            </w:pPr>
            <w:r>
              <w:rPr>
                <w:rFonts w:hint="default"/>
              </w:rPr>
              <w:t>3</w:t>
            </w:r>
          </w:p>
        </w:tc>
        <w:tc>
          <w:tcPr>
            <w:tcW w:w="2144" w:type="dxa"/>
            <w:vAlign w:val="top"/>
          </w:tcPr>
          <w:p w14:paraId="741440E9">
            <w:pPr>
              <w:pStyle w:val="22"/>
              <w:keepNext w:val="0"/>
              <w:keepLines w:val="0"/>
              <w:suppressLineNumbers w:val="0"/>
              <w:spacing w:before="68" w:beforeAutospacing="0" w:after="0" w:afterAutospacing="0" w:line="221" w:lineRule="auto"/>
              <w:ind w:left="447" w:right="0"/>
              <w:rPr>
                <w:rFonts w:hint="default"/>
              </w:rPr>
            </w:pPr>
            <w:r>
              <w:rPr>
                <w:rFonts w:hint="default"/>
                <w:spacing w:val="-2"/>
              </w:rPr>
              <w:t>亚氨基二乙酸</w:t>
            </w:r>
          </w:p>
        </w:tc>
        <w:tc>
          <w:tcPr>
            <w:tcW w:w="1173" w:type="dxa"/>
            <w:vAlign w:val="top"/>
          </w:tcPr>
          <w:p w14:paraId="170669F0">
            <w:pPr>
              <w:pStyle w:val="22"/>
              <w:keepNext w:val="0"/>
              <w:keepLines w:val="0"/>
              <w:suppressLineNumbers w:val="0"/>
              <w:spacing w:before="103" w:beforeAutospacing="0" w:after="0" w:afterAutospacing="0" w:line="182" w:lineRule="auto"/>
              <w:ind w:left="332" w:right="0"/>
              <w:rPr>
                <w:rFonts w:hint="default"/>
              </w:rPr>
            </w:pPr>
            <w:r>
              <w:rPr>
                <w:rFonts w:hint="default"/>
                <w:spacing w:val="-2"/>
              </w:rPr>
              <w:t>250.5</w:t>
            </w:r>
          </w:p>
        </w:tc>
        <w:tc>
          <w:tcPr>
            <w:tcW w:w="1074" w:type="dxa"/>
            <w:vAlign w:val="top"/>
          </w:tcPr>
          <w:p w14:paraId="11BDCA0D">
            <w:pPr>
              <w:keepNext w:val="0"/>
              <w:keepLines w:val="0"/>
              <w:suppressLineNumbers w:val="0"/>
              <w:spacing w:before="0" w:beforeAutospacing="0" w:after="0" w:afterAutospacing="0"/>
              <w:ind w:left="0" w:right="0"/>
              <w:rPr>
                <w:rFonts w:hint="default" w:ascii="Arial"/>
                <w:sz w:val="21"/>
              </w:rPr>
            </w:pPr>
          </w:p>
        </w:tc>
        <w:tc>
          <w:tcPr>
            <w:tcW w:w="1224" w:type="dxa"/>
            <w:vAlign w:val="top"/>
          </w:tcPr>
          <w:p w14:paraId="2CC229BF">
            <w:pPr>
              <w:pStyle w:val="22"/>
              <w:keepNext w:val="0"/>
              <w:keepLines w:val="0"/>
              <w:suppressLineNumbers w:val="0"/>
              <w:spacing w:before="68" w:beforeAutospacing="0" w:after="0" w:afterAutospacing="0" w:line="221" w:lineRule="auto"/>
              <w:ind w:left="199" w:right="0"/>
              <w:rPr>
                <w:rFonts w:hint="default"/>
              </w:rPr>
            </w:pPr>
            <w:r>
              <w:rPr>
                <w:rFonts w:hint="default"/>
                <w:spacing w:val="-2"/>
              </w:rPr>
              <w:t>包装损失</w:t>
            </w:r>
          </w:p>
        </w:tc>
        <w:tc>
          <w:tcPr>
            <w:tcW w:w="1269" w:type="dxa"/>
            <w:vAlign w:val="top"/>
          </w:tcPr>
          <w:p w14:paraId="43685358">
            <w:pPr>
              <w:pStyle w:val="22"/>
              <w:keepNext w:val="0"/>
              <w:keepLines w:val="0"/>
              <w:suppressLineNumbers w:val="0"/>
              <w:spacing w:before="102" w:beforeAutospacing="0" w:after="0" w:afterAutospacing="0" w:line="183" w:lineRule="auto"/>
              <w:ind w:left="382" w:right="0"/>
              <w:rPr>
                <w:rFonts w:hint="default"/>
              </w:rPr>
            </w:pPr>
            <w:r>
              <w:rPr>
                <w:rFonts w:hint="default"/>
                <w:spacing w:val="-2"/>
              </w:rPr>
              <w:t>3.125</w:t>
            </w:r>
          </w:p>
        </w:tc>
      </w:tr>
      <w:tr w14:paraId="7EFB5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76" w:type="dxa"/>
            <w:vMerge w:val="continue"/>
            <w:tcBorders>
              <w:top w:val="nil"/>
            </w:tcBorders>
            <w:vAlign w:val="top"/>
          </w:tcPr>
          <w:p w14:paraId="0267909C">
            <w:pPr>
              <w:keepNext w:val="0"/>
              <w:keepLines w:val="0"/>
              <w:suppressLineNumbers w:val="0"/>
              <w:spacing w:before="0" w:beforeAutospacing="0" w:after="0" w:afterAutospacing="0"/>
              <w:ind w:left="0" w:right="0"/>
              <w:rPr>
                <w:rFonts w:hint="default" w:ascii="Arial"/>
                <w:sz w:val="21"/>
              </w:rPr>
            </w:pPr>
          </w:p>
        </w:tc>
        <w:tc>
          <w:tcPr>
            <w:tcW w:w="946" w:type="dxa"/>
            <w:vAlign w:val="top"/>
          </w:tcPr>
          <w:p w14:paraId="0BC05F4E">
            <w:pPr>
              <w:pStyle w:val="22"/>
              <w:keepNext w:val="0"/>
              <w:keepLines w:val="0"/>
              <w:suppressLineNumbers w:val="0"/>
              <w:spacing w:before="103" w:beforeAutospacing="0" w:after="0" w:afterAutospacing="0" w:line="182" w:lineRule="auto"/>
              <w:ind w:left="423" w:right="0"/>
              <w:rPr>
                <w:rFonts w:hint="default"/>
              </w:rPr>
            </w:pPr>
            <w:r>
              <w:rPr>
                <w:rFonts w:hint="default"/>
              </w:rPr>
              <w:t>4</w:t>
            </w:r>
          </w:p>
        </w:tc>
        <w:tc>
          <w:tcPr>
            <w:tcW w:w="2144" w:type="dxa"/>
            <w:vAlign w:val="top"/>
          </w:tcPr>
          <w:p w14:paraId="3995B2CD">
            <w:pPr>
              <w:pStyle w:val="22"/>
              <w:keepNext w:val="0"/>
              <w:keepLines w:val="0"/>
              <w:suppressLineNumbers w:val="0"/>
              <w:spacing w:before="68" w:beforeAutospacing="0" w:after="0" w:afterAutospacing="0" w:line="221" w:lineRule="auto"/>
              <w:ind w:left="973" w:right="0"/>
              <w:rPr>
                <w:rFonts w:hint="default"/>
              </w:rPr>
            </w:pPr>
            <w:r>
              <w:rPr>
                <w:rFonts w:hint="default"/>
              </w:rPr>
              <w:t>水</w:t>
            </w:r>
          </w:p>
        </w:tc>
        <w:tc>
          <w:tcPr>
            <w:tcW w:w="1173" w:type="dxa"/>
            <w:vAlign w:val="top"/>
          </w:tcPr>
          <w:p w14:paraId="196EE3F7">
            <w:pPr>
              <w:pStyle w:val="22"/>
              <w:keepNext w:val="0"/>
              <w:keepLines w:val="0"/>
              <w:suppressLineNumbers w:val="0"/>
              <w:spacing w:before="102" w:beforeAutospacing="0" w:after="0" w:afterAutospacing="0" w:line="183" w:lineRule="auto"/>
              <w:ind w:left="240" w:right="0"/>
              <w:rPr>
                <w:rFonts w:hint="default"/>
              </w:rPr>
            </w:pPr>
            <w:r>
              <w:rPr>
                <w:rFonts w:hint="default"/>
                <w:spacing w:val="-3"/>
              </w:rPr>
              <w:t>1257.25</w:t>
            </w:r>
          </w:p>
        </w:tc>
        <w:tc>
          <w:tcPr>
            <w:tcW w:w="1074" w:type="dxa"/>
            <w:vAlign w:val="top"/>
          </w:tcPr>
          <w:p w14:paraId="62B35410">
            <w:pPr>
              <w:keepNext w:val="0"/>
              <w:keepLines w:val="0"/>
              <w:suppressLineNumbers w:val="0"/>
              <w:spacing w:before="0" w:beforeAutospacing="0" w:after="0" w:afterAutospacing="0"/>
              <w:ind w:left="0" w:right="0"/>
              <w:rPr>
                <w:rFonts w:hint="default" w:ascii="Arial"/>
                <w:sz w:val="21"/>
              </w:rPr>
            </w:pPr>
          </w:p>
        </w:tc>
        <w:tc>
          <w:tcPr>
            <w:tcW w:w="1224" w:type="dxa"/>
            <w:vAlign w:val="top"/>
          </w:tcPr>
          <w:p w14:paraId="3BA41487">
            <w:pPr>
              <w:pStyle w:val="22"/>
              <w:keepNext w:val="0"/>
              <w:keepLines w:val="0"/>
              <w:suppressLineNumbers w:val="0"/>
              <w:spacing w:before="68" w:beforeAutospacing="0" w:after="0" w:afterAutospacing="0" w:line="221" w:lineRule="auto"/>
              <w:ind w:left="407" w:right="0"/>
              <w:rPr>
                <w:rFonts w:hint="default"/>
              </w:rPr>
            </w:pPr>
            <w:r>
              <w:rPr>
                <w:rFonts w:hint="default"/>
                <w:spacing w:val="-2"/>
              </w:rPr>
              <w:t>废气</w:t>
            </w:r>
          </w:p>
        </w:tc>
        <w:tc>
          <w:tcPr>
            <w:tcW w:w="1269" w:type="dxa"/>
            <w:vAlign w:val="top"/>
          </w:tcPr>
          <w:p w14:paraId="3EEB16F3">
            <w:pPr>
              <w:pStyle w:val="22"/>
              <w:keepNext w:val="0"/>
              <w:keepLines w:val="0"/>
              <w:suppressLineNumbers w:val="0"/>
              <w:spacing w:before="103" w:beforeAutospacing="0" w:after="0" w:afterAutospacing="0" w:line="182" w:lineRule="auto"/>
              <w:ind w:left="486" w:right="0"/>
              <w:rPr>
                <w:rFonts w:hint="default"/>
              </w:rPr>
            </w:pPr>
            <w:r>
              <w:rPr>
                <w:rFonts w:hint="default"/>
                <w:spacing w:val="-2"/>
              </w:rPr>
              <w:t>2.5</w:t>
            </w:r>
          </w:p>
        </w:tc>
      </w:tr>
    </w:tbl>
    <w:p w14:paraId="12164FF6">
      <w:pPr>
        <w:pStyle w:val="6"/>
      </w:pPr>
    </w:p>
    <w:p w14:paraId="08D15A25">
      <w:pPr>
        <w:sectPr>
          <w:headerReference r:id="rId17" w:type="default"/>
          <w:footerReference r:id="rId18" w:type="default"/>
          <w:pgSz w:w="11907" w:h="16839"/>
          <w:pgMar w:top="1120" w:right="1018" w:bottom="946" w:left="1476" w:header="809" w:footer="685" w:gutter="0"/>
          <w:cols w:space="720" w:num="1"/>
        </w:sectPr>
      </w:pPr>
    </w:p>
    <w:p w14:paraId="12E4157F">
      <w:pPr>
        <w:spacing w:before="56"/>
      </w:pPr>
    </w:p>
    <w:tbl>
      <w:tblPr>
        <w:tblStyle w:val="21"/>
        <w:tblW w:w="9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6"/>
        <w:gridCol w:w="945"/>
        <w:gridCol w:w="2145"/>
        <w:gridCol w:w="1173"/>
        <w:gridCol w:w="1075"/>
        <w:gridCol w:w="1224"/>
        <w:gridCol w:w="1269"/>
      </w:tblGrid>
      <w:tr w14:paraId="619E3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76" w:type="dxa"/>
            <w:vAlign w:val="top"/>
          </w:tcPr>
          <w:p w14:paraId="4F6F6204">
            <w:pPr>
              <w:keepNext w:val="0"/>
              <w:keepLines w:val="0"/>
              <w:suppressLineNumbers w:val="0"/>
              <w:spacing w:before="0" w:beforeAutospacing="0" w:after="0" w:afterAutospacing="0"/>
              <w:ind w:left="0" w:right="0"/>
              <w:rPr>
                <w:rFonts w:hint="default" w:ascii="Arial"/>
                <w:sz w:val="21"/>
              </w:rPr>
            </w:pPr>
          </w:p>
        </w:tc>
        <w:tc>
          <w:tcPr>
            <w:tcW w:w="945" w:type="dxa"/>
            <w:vAlign w:val="top"/>
          </w:tcPr>
          <w:p w14:paraId="71250ED0">
            <w:pPr>
              <w:pStyle w:val="22"/>
              <w:keepNext w:val="0"/>
              <w:keepLines w:val="0"/>
              <w:suppressLineNumbers w:val="0"/>
              <w:spacing w:before="67" w:beforeAutospacing="0" w:after="0" w:afterAutospacing="0" w:line="222" w:lineRule="auto"/>
              <w:ind w:left="266" w:right="0"/>
              <w:rPr>
                <w:rFonts w:hint="default"/>
              </w:rPr>
            </w:pPr>
            <w:r>
              <w:rPr>
                <w:rFonts w:hint="default"/>
                <w:spacing w:val="-2"/>
              </w:rPr>
              <w:t>合计</w:t>
            </w:r>
          </w:p>
        </w:tc>
        <w:tc>
          <w:tcPr>
            <w:tcW w:w="2145" w:type="dxa"/>
            <w:vAlign w:val="top"/>
          </w:tcPr>
          <w:p w14:paraId="34F694CA">
            <w:pPr>
              <w:keepNext w:val="0"/>
              <w:keepLines w:val="0"/>
              <w:suppressLineNumbers w:val="0"/>
              <w:spacing w:before="0" w:beforeAutospacing="0" w:after="0" w:afterAutospacing="0"/>
              <w:ind w:left="0" w:right="0"/>
              <w:rPr>
                <w:rFonts w:hint="default" w:ascii="Arial"/>
                <w:sz w:val="21"/>
              </w:rPr>
            </w:pPr>
          </w:p>
        </w:tc>
        <w:tc>
          <w:tcPr>
            <w:tcW w:w="1173" w:type="dxa"/>
            <w:vAlign w:val="top"/>
          </w:tcPr>
          <w:p w14:paraId="4E1F7507">
            <w:pPr>
              <w:pStyle w:val="22"/>
              <w:keepNext w:val="0"/>
              <w:keepLines w:val="0"/>
              <w:suppressLineNumbers w:val="0"/>
              <w:spacing w:before="103" w:beforeAutospacing="0" w:after="0" w:afterAutospacing="0" w:line="182" w:lineRule="auto"/>
              <w:ind w:left="228" w:right="0"/>
              <w:rPr>
                <w:rFonts w:hint="default"/>
              </w:rPr>
            </w:pPr>
            <w:r>
              <w:rPr>
                <w:rFonts w:hint="default"/>
                <w:spacing w:val="-2"/>
              </w:rPr>
              <w:t>5008.75</w:t>
            </w:r>
          </w:p>
        </w:tc>
        <w:tc>
          <w:tcPr>
            <w:tcW w:w="1075" w:type="dxa"/>
            <w:vAlign w:val="top"/>
          </w:tcPr>
          <w:p w14:paraId="59A6FCB6">
            <w:pPr>
              <w:pStyle w:val="22"/>
              <w:keepNext w:val="0"/>
              <w:keepLines w:val="0"/>
              <w:suppressLineNumbers w:val="0"/>
              <w:spacing w:before="67" w:beforeAutospacing="0" w:after="0" w:afterAutospacing="0" w:line="222" w:lineRule="auto"/>
              <w:ind w:left="334" w:right="0"/>
              <w:rPr>
                <w:rFonts w:hint="default"/>
              </w:rPr>
            </w:pPr>
            <w:r>
              <w:rPr>
                <w:rFonts w:hint="default"/>
                <w:spacing w:val="-2"/>
              </w:rPr>
              <w:t>合计</w:t>
            </w:r>
          </w:p>
        </w:tc>
        <w:tc>
          <w:tcPr>
            <w:tcW w:w="1224" w:type="dxa"/>
            <w:vAlign w:val="top"/>
          </w:tcPr>
          <w:p w14:paraId="1853063C">
            <w:pPr>
              <w:keepNext w:val="0"/>
              <w:keepLines w:val="0"/>
              <w:suppressLineNumbers w:val="0"/>
              <w:spacing w:before="0" w:beforeAutospacing="0" w:after="0" w:afterAutospacing="0"/>
              <w:ind w:left="0" w:right="0"/>
              <w:rPr>
                <w:rFonts w:hint="default" w:ascii="Arial"/>
                <w:sz w:val="21"/>
              </w:rPr>
            </w:pPr>
          </w:p>
        </w:tc>
        <w:tc>
          <w:tcPr>
            <w:tcW w:w="1269" w:type="dxa"/>
            <w:vAlign w:val="top"/>
          </w:tcPr>
          <w:p w14:paraId="3E409B04">
            <w:pPr>
              <w:pStyle w:val="22"/>
              <w:keepNext w:val="0"/>
              <w:keepLines w:val="0"/>
              <w:suppressLineNumbers w:val="0"/>
              <w:spacing w:before="103" w:beforeAutospacing="0" w:after="0" w:afterAutospacing="0" w:line="182" w:lineRule="auto"/>
              <w:ind w:left="276" w:right="0"/>
              <w:rPr>
                <w:rFonts w:hint="default"/>
              </w:rPr>
            </w:pPr>
            <w:r>
              <w:rPr>
                <w:rFonts w:hint="default"/>
                <w:spacing w:val="-2"/>
              </w:rPr>
              <w:t>5008.75</w:t>
            </w:r>
          </w:p>
        </w:tc>
      </w:tr>
    </w:tbl>
    <w:p w14:paraId="7193DD60">
      <w:pPr>
        <w:widowControl/>
        <w:numPr>
          <w:ilvl w:val="0"/>
          <w:numId w:val="0"/>
        </w:numPr>
        <w:spacing w:line="540" w:lineRule="exact"/>
        <w:ind w:leftChars="0"/>
        <w:rPr>
          <w:rFonts w:hint="eastAsia" w:ascii="宋体" w:hAnsi="宋体"/>
          <w:b/>
          <w:bCs/>
          <w:kern w:val="0"/>
          <w:sz w:val="28"/>
          <w:szCs w:val="28"/>
        </w:rPr>
      </w:pPr>
    </w:p>
    <w:p w14:paraId="7E3D1D8E">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主要设备设施</w:t>
      </w:r>
    </w:p>
    <w:p w14:paraId="0E6A3B16">
      <w:pPr>
        <w:spacing w:before="91" w:line="221" w:lineRule="auto"/>
        <w:ind w:left="5470"/>
        <w:rPr>
          <w:rFonts w:ascii="宋体" w:hAnsi="宋体" w:eastAsia="宋体" w:cs="宋体"/>
          <w:sz w:val="28"/>
          <w:szCs w:val="28"/>
        </w:rPr>
      </w:pPr>
      <w:r>
        <w:rPr>
          <w:rFonts w:ascii="宋体" w:hAnsi="宋体" w:eastAsia="宋体" w:cs="宋体"/>
          <w:spacing w:val="-1"/>
          <w:sz w:val="28"/>
          <w:szCs w:val="28"/>
        </w:rPr>
        <w:t>表</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 xml:space="preserve">2.8-1  </w:t>
      </w:r>
      <w:r>
        <w:rPr>
          <w:rFonts w:ascii="宋体" w:hAnsi="宋体" w:eastAsia="宋体" w:cs="宋体"/>
          <w:spacing w:val="-1"/>
          <w:sz w:val="28"/>
          <w:szCs w:val="28"/>
        </w:rPr>
        <w:t>项目主要设备一览表</w:t>
      </w:r>
    </w:p>
    <w:p w14:paraId="1BBA25B5">
      <w:pPr>
        <w:spacing w:line="211" w:lineRule="exact"/>
      </w:pP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334"/>
        <w:gridCol w:w="1950"/>
        <w:gridCol w:w="2683"/>
        <w:gridCol w:w="1782"/>
        <w:gridCol w:w="1800"/>
        <w:gridCol w:w="1583"/>
        <w:gridCol w:w="1716"/>
        <w:gridCol w:w="1200"/>
      </w:tblGrid>
      <w:tr w14:paraId="5EDB1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461" w:type="dxa"/>
            <w:textDirection w:val="tbRlV"/>
            <w:vAlign w:val="top"/>
          </w:tcPr>
          <w:p w14:paraId="3E1A15C3">
            <w:pPr>
              <w:pStyle w:val="22"/>
              <w:keepNext w:val="0"/>
              <w:keepLines w:val="0"/>
              <w:suppressLineNumbers w:val="0"/>
              <w:spacing w:before="122" w:beforeAutospacing="0" w:after="0" w:afterAutospacing="0" w:line="211" w:lineRule="auto"/>
              <w:ind w:left="0" w:right="34"/>
              <w:jc w:val="right"/>
              <w:rPr>
                <w:rFonts w:hint="default"/>
              </w:rPr>
            </w:pPr>
            <w:r>
              <w:rPr>
                <w:rFonts w:hint="default"/>
                <w:spacing w:val="1"/>
              </w:rPr>
              <w:t>序</w:t>
            </w:r>
            <w:r>
              <w:rPr>
                <w:rFonts w:hint="default"/>
                <w:spacing w:val="-43"/>
              </w:rPr>
              <w:t xml:space="preserve"> </w:t>
            </w:r>
            <w:r>
              <w:rPr>
                <w:rFonts w:hint="default"/>
                <w:spacing w:val="1"/>
              </w:rPr>
              <w:t>号</w:t>
            </w:r>
          </w:p>
        </w:tc>
        <w:tc>
          <w:tcPr>
            <w:tcW w:w="1334" w:type="dxa"/>
            <w:vAlign w:val="top"/>
          </w:tcPr>
          <w:p w14:paraId="1FB61725">
            <w:pPr>
              <w:keepNext w:val="0"/>
              <w:keepLines w:val="0"/>
              <w:suppressLineNumbers w:val="0"/>
              <w:spacing w:before="0" w:beforeAutospacing="0" w:after="0" w:afterAutospacing="0" w:line="290" w:lineRule="auto"/>
              <w:ind w:left="0" w:right="0"/>
              <w:rPr>
                <w:rFonts w:hint="default" w:ascii="Arial"/>
                <w:sz w:val="21"/>
              </w:rPr>
            </w:pPr>
          </w:p>
          <w:p w14:paraId="1982DCF2">
            <w:pPr>
              <w:pStyle w:val="22"/>
              <w:keepNext w:val="0"/>
              <w:keepLines w:val="0"/>
              <w:suppressLineNumbers w:val="0"/>
              <w:spacing w:before="69" w:beforeAutospacing="0" w:after="0" w:afterAutospacing="0" w:line="222" w:lineRule="auto"/>
              <w:ind w:left="113" w:right="0"/>
              <w:rPr>
                <w:rFonts w:hint="default"/>
              </w:rPr>
            </w:pPr>
            <w:r>
              <w:rPr>
                <w:rFonts w:hint="default"/>
                <w:spacing w:val="-2"/>
              </w:rPr>
              <w:t>位号</w:t>
            </w:r>
          </w:p>
        </w:tc>
        <w:tc>
          <w:tcPr>
            <w:tcW w:w="1950" w:type="dxa"/>
            <w:vAlign w:val="top"/>
          </w:tcPr>
          <w:p w14:paraId="2447B6AD">
            <w:pPr>
              <w:keepNext w:val="0"/>
              <w:keepLines w:val="0"/>
              <w:suppressLineNumbers w:val="0"/>
              <w:spacing w:before="0" w:beforeAutospacing="0" w:after="0" w:afterAutospacing="0" w:line="290" w:lineRule="auto"/>
              <w:ind w:left="0" w:right="0"/>
              <w:rPr>
                <w:rFonts w:hint="default" w:ascii="Arial"/>
                <w:sz w:val="21"/>
              </w:rPr>
            </w:pPr>
          </w:p>
          <w:p w14:paraId="375223AC">
            <w:pPr>
              <w:pStyle w:val="22"/>
              <w:keepNext w:val="0"/>
              <w:keepLines w:val="0"/>
              <w:suppressLineNumbers w:val="0"/>
              <w:spacing w:before="69" w:beforeAutospacing="0" w:after="0" w:afterAutospacing="0" w:line="222" w:lineRule="auto"/>
              <w:ind w:left="117" w:right="0"/>
              <w:rPr>
                <w:rFonts w:hint="default"/>
              </w:rPr>
            </w:pPr>
            <w:r>
              <w:rPr>
                <w:rFonts w:hint="default"/>
                <w:spacing w:val="-3"/>
              </w:rPr>
              <w:t>设备名称</w:t>
            </w:r>
          </w:p>
        </w:tc>
        <w:tc>
          <w:tcPr>
            <w:tcW w:w="2683" w:type="dxa"/>
            <w:vAlign w:val="top"/>
          </w:tcPr>
          <w:p w14:paraId="13BB7F81">
            <w:pPr>
              <w:keepNext w:val="0"/>
              <w:keepLines w:val="0"/>
              <w:suppressLineNumbers w:val="0"/>
              <w:spacing w:before="0" w:beforeAutospacing="0" w:after="0" w:afterAutospacing="0" w:line="290" w:lineRule="auto"/>
              <w:ind w:left="0" w:right="0"/>
              <w:rPr>
                <w:rFonts w:hint="default" w:ascii="Arial"/>
                <w:sz w:val="21"/>
              </w:rPr>
            </w:pPr>
          </w:p>
          <w:p w14:paraId="4101CD01">
            <w:pPr>
              <w:pStyle w:val="22"/>
              <w:keepNext w:val="0"/>
              <w:keepLines w:val="0"/>
              <w:suppressLineNumbers w:val="0"/>
              <w:spacing w:before="68" w:beforeAutospacing="0" w:after="0" w:afterAutospacing="0" w:line="221" w:lineRule="auto"/>
              <w:ind w:left="928" w:right="0"/>
              <w:rPr>
                <w:rFonts w:hint="default"/>
              </w:rPr>
            </w:pPr>
            <w:r>
              <w:rPr>
                <w:rFonts w:hint="default"/>
                <w:spacing w:val="-2"/>
              </w:rPr>
              <w:t>规格型号</w:t>
            </w:r>
          </w:p>
        </w:tc>
        <w:tc>
          <w:tcPr>
            <w:tcW w:w="1782" w:type="dxa"/>
            <w:vAlign w:val="top"/>
          </w:tcPr>
          <w:p w14:paraId="0F29801E">
            <w:pPr>
              <w:pStyle w:val="22"/>
              <w:keepNext w:val="0"/>
              <w:keepLines w:val="0"/>
              <w:suppressLineNumbers w:val="0"/>
              <w:spacing w:before="223" w:beforeAutospacing="0" w:after="0" w:afterAutospacing="0" w:line="224" w:lineRule="auto"/>
              <w:ind w:left="164" w:right="214" w:hanging="47"/>
              <w:rPr>
                <w:rFonts w:hint="default"/>
              </w:rPr>
            </w:pPr>
            <w:r>
              <w:rPr>
                <w:rFonts w:hint="default"/>
                <w:spacing w:val="-3"/>
              </w:rPr>
              <w:t>设计压力（MPɑ)</w:t>
            </w:r>
            <w:r>
              <w:rPr>
                <w:rFonts w:hint="default"/>
                <w:spacing w:val="1"/>
              </w:rPr>
              <w:t xml:space="preserve"> </w:t>
            </w:r>
            <w:r>
              <w:rPr>
                <w:rFonts w:hint="default"/>
                <w:spacing w:val="11"/>
              </w:rPr>
              <w:t>设计温度(℃)</w:t>
            </w:r>
          </w:p>
        </w:tc>
        <w:tc>
          <w:tcPr>
            <w:tcW w:w="1800" w:type="dxa"/>
            <w:vAlign w:val="top"/>
          </w:tcPr>
          <w:p w14:paraId="3472367D">
            <w:pPr>
              <w:pStyle w:val="22"/>
              <w:keepNext w:val="0"/>
              <w:keepLines w:val="0"/>
              <w:suppressLineNumbers w:val="0"/>
              <w:spacing w:before="223" w:beforeAutospacing="0" w:after="0" w:afterAutospacing="0" w:line="224" w:lineRule="auto"/>
              <w:ind w:left="172" w:right="26" w:hanging="55"/>
              <w:rPr>
                <w:rFonts w:hint="default"/>
              </w:rPr>
            </w:pPr>
            <w:r>
              <w:rPr>
                <w:rFonts w:hint="default"/>
                <w:spacing w:val="-11"/>
              </w:rPr>
              <w:t>工作压力（MPɑ)</w:t>
            </w:r>
            <w:r>
              <w:rPr>
                <w:rFonts w:hint="default"/>
                <w:spacing w:val="-26"/>
              </w:rPr>
              <w:t xml:space="preserve"> </w:t>
            </w:r>
            <w:r>
              <w:rPr>
                <w:rFonts w:hint="default"/>
                <w:spacing w:val="-11"/>
              </w:rPr>
              <w:t>、</w:t>
            </w:r>
            <w:r>
              <w:rPr>
                <w:rFonts w:hint="default"/>
              </w:rPr>
              <w:t xml:space="preserve"> </w:t>
            </w:r>
            <w:r>
              <w:rPr>
                <w:rFonts w:hint="default"/>
                <w:spacing w:val="11"/>
              </w:rPr>
              <w:t>工作温度(℃)</w:t>
            </w:r>
          </w:p>
        </w:tc>
        <w:tc>
          <w:tcPr>
            <w:tcW w:w="1583" w:type="dxa"/>
            <w:vAlign w:val="top"/>
          </w:tcPr>
          <w:p w14:paraId="254F80CC">
            <w:pPr>
              <w:keepNext w:val="0"/>
              <w:keepLines w:val="0"/>
              <w:suppressLineNumbers w:val="0"/>
              <w:spacing w:before="0" w:beforeAutospacing="0" w:after="0" w:afterAutospacing="0" w:line="290" w:lineRule="auto"/>
              <w:ind w:left="0" w:right="0"/>
              <w:rPr>
                <w:rFonts w:hint="default" w:ascii="Arial"/>
                <w:sz w:val="21"/>
              </w:rPr>
            </w:pPr>
          </w:p>
          <w:p w14:paraId="075155AB">
            <w:pPr>
              <w:pStyle w:val="22"/>
              <w:keepNext w:val="0"/>
              <w:keepLines w:val="0"/>
              <w:suppressLineNumbers w:val="0"/>
              <w:spacing w:before="68" w:beforeAutospacing="0" w:after="0" w:afterAutospacing="0" w:line="220" w:lineRule="auto"/>
              <w:ind w:left="588" w:right="0"/>
              <w:rPr>
                <w:rFonts w:hint="default"/>
              </w:rPr>
            </w:pPr>
            <w:r>
              <w:rPr>
                <w:rFonts w:hint="default"/>
                <w:spacing w:val="-2"/>
              </w:rPr>
              <w:t>材质</w:t>
            </w:r>
          </w:p>
        </w:tc>
        <w:tc>
          <w:tcPr>
            <w:tcW w:w="1716" w:type="dxa"/>
            <w:vAlign w:val="top"/>
          </w:tcPr>
          <w:p w14:paraId="260D11F3">
            <w:pPr>
              <w:keepNext w:val="0"/>
              <w:keepLines w:val="0"/>
              <w:suppressLineNumbers w:val="0"/>
              <w:spacing w:before="0" w:beforeAutospacing="0" w:after="0" w:afterAutospacing="0" w:line="290" w:lineRule="auto"/>
              <w:ind w:left="0" w:right="0"/>
              <w:rPr>
                <w:rFonts w:hint="default" w:ascii="Arial"/>
                <w:sz w:val="21"/>
              </w:rPr>
            </w:pPr>
          </w:p>
          <w:p w14:paraId="72E6758C">
            <w:pPr>
              <w:pStyle w:val="22"/>
              <w:keepNext w:val="0"/>
              <w:keepLines w:val="0"/>
              <w:suppressLineNumbers w:val="0"/>
              <w:spacing w:before="68" w:beforeAutospacing="0" w:after="0" w:afterAutospacing="0" w:line="220" w:lineRule="auto"/>
              <w:ind w:left="657" w:right="0"/>
              <w:rPr>
                <w:rFonts w:hint="default"/>
              </w:rPr>
            </w:pPr>
            <w:r>
              <w:rPr>
                <w:rFonts w:hint="default"/>
                <w:spacing w:val="-2"/>
              </w:rPr>
              <w:t>介质</w:t>
            </w:r>
          </w:p>
        </w:tc>
        <w:tc>
          <w:tcPr>
            <w:tcW w:w="1200" w:type="dxa"/>
            <w:vAlign w:val="top"/>
          </w:tcPr>
          <w:p w14:paraId="626E68BB">
            <w:pPr>
              <w:keepNext w:val="0"/>
              <w:keepLines w:val="0"/>
              <w:suppressLineNumbers w:val="0"/>
              <w:spacing w:before="0" w:beforeAutospacing="0" w:after="0" w:afterAutospacing="0" w:line="290" w:lineRule="auto"/>
              <w:ind w:left="0" w:right="0"/>
              <w:rPr>
                <w:rFonts w:hint="default" w:ascii="Arial"/>
                <w:sz w:val="21"/>
              </w:rPr>
            </w:pPr>
          </w:p>
          <w:p w14:paraId="74ABB27A">
            <w:pPr>
              <w:pStyle w:val="22"/>
              <w:keepNext w:val="0"/>
              <w:keepLines w:val="0"/>
              <w:suppressLineNumbers w:val="0"/>
              <w:spacing w:before="68" w:beforeAutospacing="0" w:after="0" w:afterAutospacing="0" w:line="221" w:lineRule="auto"/>
              <w:ind w:left="397" w:right="0"/>
              <w:rPr>
                <w:rFonts w:hint="default"/>
              </w:rPr>
            </w:pPr>
            <w:r>
              <w:rPr>
                <w:rFonts w:hint="default"/>
                <w:spacing w:val="-2"/>
              </w:rPr>
              <w:t>数量</w:t>
            </w:r>
          </w:p>
        </w:tc>
      </w:tr>
      <w:tr w14:paraId="4424D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60BB5A7E">
            <w:pPr>
              <w:pStyle w:val="22"/>
              <w:keepNext w:val="0"/>
              <w:keepLines w:val="0"/>
              <w:suppressLineNumbers w:val="0"/>
              <w:spacing w:before="254" w:beforeAutospacing="0" w:after="0" w:afterAutospacing="0" w:line="179" w:lineRule="auto"/>
              <w:ind w:left="131" w:right="0"/>
              <w:rPr>
                <w:rFonts w:hint="default"/>
              </w:rPr>
            </w:pPr>
            <w:r>
              <w:rPr>
                <w:rFonts w:hint="default"/>
                <w:spacing w:val="-6"/>
              </w:rPr>
              <w:t>1.</w:t>
            </w:r>
          </w:p>
        </w:tc>
        <w:tc>
          <w:tcPr>
            <w:tcW w:w="1334" w:type="dxa"/>
            <w:vAlign w:val="top"/>
          </w:tcPr>
          <w:p w14:paraId="5CE0A6D9">
            <w:pPr>
              <w:pStyle w:val="22"/>
              <w:keepNext w:val="0"/>
              <w:keepLines w:val="0"/>
              <w:suppressLineNumbers w:val="0"/>
              <w:spacing w:before="254" w:beforeAutospacing="0" w:after="0" w:afterAutospacing="0" w:line="179" w:lineRule="auto"/>
              <w:ind w:left="247" w:right="0"/>
              <w:rPr>
                <w:rFonts w:hint="default"/>
              </w:rPr>
            </w:pPr>
            <w:r>
              <w:rPr>
                <w:rFonts w:hint="default"/>
              </w:rPr>
              <w:t>V-110101</w:t>
            </w:r>
          </w:p>
        </w:tc>
        <w:tc>
          <w:tcPr>
            <w:tcW w:w="1950" w:type="dxa"/>
            <w:vAlign w:val="top"/>
          </w:tcPr>
          <w:p w14:paraId="264CC7D1">
            <w:pPr>
              <w:pStyle w:val="22"/>
              <w:keepNext w:val="0"/>
              <w:keepLines w:val="0"/>
              <w:suppressLineNumbers w:val="0"/>
              <w:spacing w:before="220" w:beforeAutospacing="0" w:after="0" w:afterAutospacing="0" w:line="209" w:lineRule="auto"/>
              <w:ind w:left="114" w:right="0"/>
              <w:rPr>
                <w:rFonts w:hint="default"/>
              </w:rPr>
            </w:pPr>
            <w:r>
              <w:rPr>
                <w:rFonts w:hint="default"/>
                <w:spacing w:val="-1"/>
              </w:rPr>
              <w:t>双氧水缓冲罐</w:t>
            </w:r>
          </w:p>
        </w:tc>
        <w:tc>
          <w:tcPr>
            <w:tcW w:w="2683" w:type="dxa"/>
            <w:vAlign w:val="top"/>
          </w:tcPr>
          <w:p w14:paraId="313C4CB7">
            <w:pPr>
              <w:pStyle w:val="22"/>
              <w:keepNext w:val="0"/>
              <w:keepLines w:val="0"/>
              <w:suppressLineNumbers w:val="0"/>
              <w:spacing w:before="214" w:beforeAutospacing="0" w:after="0" w:afterAutospacing="0" w:line="214" w:lineRule="auto"/>
              <w:ind w:left="526" w:right="0"/>
              <w:rPr>
                <w:rFonts w:hint="default"/>
              </w:rPr>
            </w:pPr>
            <w:r>
              <w:rPr>
                <w:rFonts w:hint="default"/>
                <w:spacing w:val="-1"/>
              </w:rPr>
              <w:t>DN1600x1000(2m</w:t>
            </w:r>
            <w:r>
              <w:rPr>
                <w:rFonts w:hint="default"/>
                <w:spacing w:val="-1"/>
                <w:position w:val="10"/>
                <w:sz w:val="11"/>
                <w:szCs w:val="11"/>
              </w:rPr>
              <w:t>3</w:t>
            </w:r>
            <w:r>
              <w:rPr>
                <w:rFonts w:hint="default"/>
                <w:spacing w:val="-1"/>
              </w:rPr>
              <w:t>)</w:t>
            </w:r>
          </w:p>
        </w:tc>
        <w:tc>
          <w:tcPr>
            <w:tcW w:w="1782" w:type="dxa"/>
            <w:vAlign w:val="top"/>
          </w:tcPr>
          <w:p w14:paraId="109DEABC">
            <w:pPr>
              <w:pStyle w:val="22"/>
              <w:keepNext w:val="0"/>
              <w:keepLines w:val="0"/>
              <w:suppressLineNumbers w:val="0"/>
              <w:spacing w:before="220" w:beforeAutospacing="0" w:after="0" w:afterAutospacing="0" w:line="209" w:lineRule="auto"/>
              <w:ind w:left="325" w:right="0"/>
              <w:rPr>
                <w:rFonts w:hint="default"/>
              </w:rPr>
            </w:pPr>
            <w:r>
              <w:rPr>
                <w:rFonts w:hint="default"/>
                <w:spacing w:val="-2"/>
              </w:rPr>
              <w:t>常压、100℃</w:t>
            </w:r>
          </w:p>
        </w:tc>
        <w:tc>
          <w:tcPr>
            <w:tcW w:w="1800" w:type="dxa"/>
            <w:vAlign w:val="top"/>
          </w:tcPr>
          <w:p w14:paraId="3B4A8EBC">
            <w:pPr>
              <w:pStyle w:val="22"/>
              <w:keepNext w:val="0"/>
              <w:keepLines w:val="0"/>
              <w:suppressLineNumbers w:val="0"/>
              <w:spacing w:before="220" w:beforeAutospacing="0" w:after="0" w:afterAutospacing="0" w:line="209" w:lineRule="auto"/>
              <w:ind w:left="386" w:right="0"/>
              <w:rPr>
                <w:rFonts w:hint="default"/>
              </w:rPr>
            </w:pPr>
            <w:r>
              <w:rPr>
                <w:rFonts w:hint="default"/>
                <w:spacing w:val="-2"/>
              </w:rPr>
              <w:t>常压、常温</w:t>
            </w:r>
          </w:p>
        </w:tc>
        <w:tc>
          <w:tcPr>
            <w:tcW w:w="1583" w:type="dxa"/>
            <w:vAlign w:val="top"/>
          </w:tcPr>
          <w:p w14:paraId="315110D3">
            <w:pPr>
              <w:pStyle w:val="22"/>
              <w:keepNext w:val="0"/>
              <w:keepLines w:val="0"/>
              <w:suppressLineNumbers w:val="0"/>
              <w:spacing w:before="220" w:beforeAutospacing="0" w:after="0" w:afterAutospacing="0" w:line="209" w:lineRule="auto"/>
              <w:ind w:left="351" w:right="0"/>
              <w:rPr>
                <w:rFonts w:hint="default"/>
              </w:rPr>
            </w:pPr>
            <w:r>
              <w:rPr>
                <w:rFonts w:hint="default"/>
                <w:spacing w:val="-2"/>
              </w:rPr>
              <w:t>钢衬</w:t>
            </w:r>
            <w:r>
              <w:rPr>
                <w:rFonts w:hint="default"/>
                <w:spacing w:val="-46"/>
              </w:rPr>
              <w:t xml:space="preserve"> </w:t>
            </w:r>
            <w:r>
              <w:rPr>
                <w:rFonts w:hint="default"/>
                <w:spacing w:val="-2"/>
              </w:rPr>
              <w:t>PTFE</w:t>
            </w:r>
          </w:p>
        </w:tc>
        <w:tc>
          <w:tcPr>
            <w:tcW w:w="1716" w:type="dxa"/>
            <w:vAlign w:val="top"/>
          </w:tcPr>
          <w:p w14:paraId="4E233B4B">
            <w:pPr>
              <w:pStyle w:val="22"/>
              <w:keepNext w:val="0"/>
              <w:keepLines w:val="0"/>
              <w:suppressLineNumbers w:val="0"/>
              <w:spacing w:before="220" w:beforeAutospacing="0" w:after="0" w:afterAutospacing="0" w:line="209" w:lineRule="auto"/>
              <w:ind w:left="550" w:right="0"/>
              <w:rPr>
                <w:rFonts w:hint="default"/>
              </w:rPr>
            </w:pPr>
            <w:r>
              <w:rPr>
                <w:rFonts w:hint="default"/>
                <w:spacing w:val="-2"/>
              </w:rPr>
              <w:t>双氧水</w:t>
            </w:r>
          </w:p>
        </w:tc>
        <w:tc>
          <w:tcPr>
            <w:tcW w:w="1200" w:type="dxa"/>
            <w:vAlign w:val="top"/>
          </w:tcPr>
          <w:p w14:paraId="7C1F78C4">
            <w:pPr>
              <w:pStyle w:val="22"/>
              <w:keepNext w:val="0"/>
              <w:keepLines w:val="0"/>
              <w:suppressLineNumbers w:val="0"/>
              <w:spacing w:before="254" w:beforeAutospacing="0" w:after="0" w:afterAutospacing="0" w:line="179" w:lineRule="auto"/>
              <w:ind w:left="569" w:right="0"/>
              <w:rPr>
                <w:rFonts w:hint="default"/>
              </w:rPr>
            </w:pPr>
            <w:r>
              <w:rPr>
                <w:rFonts w:hint="default"/>
              </w:rPr>
              <w:t>1</w:t>
            </w:r>
          </w:p>
        </w:tc>
      </w:tr>
      <w:tr w14:paraId="06E27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549A9CAD">
            <w:pPr>
              <w:pStyle w:val="22"/>
              <w:keepNext w:val="0"/>
              <w:keepLines w:val="0"/>
              <w:suppressLineNumbers w:val="0"/>
              <w:spacing w:before="255" w:beforeAutospacing="0" w:after="0" w:afterAutospacing="0" w:line="177" w:lineRule="auto"/>
              <w:ind w:left="118" w:right="0"/>
              <w:rPr>
                <w:rFonts w:hint="default"/>
              </w:rPr>
            </w:pPr>
            <w:r>
              <w:rPr>
                <w:rFonts w:hint="default"/>
                <w:spacing w:val="-3"/>
              </w:rPr>
              <w:t>2.</w:t>
            </w:r>
          </w:p>
        </w:tc>
        <w:tc>
          <w:tcPr>
            <w:tcW w:w="1334" w:type="dxa"/>
            <w:vAlign w:val="top"/>
          </w:tcPr>
          <w:p w14:paraId="4707AE1B">
            <w:pPr>
              <w:pStyle w:val="22"/>
              <w:keepNext w:val="0"/>
              <w:keepLines w:val="0"/>
              <w:suppressLineNumbers w:val="0"/>
              <w:spacing w:before="254" w:beforeAutospacing="0" w:after="0" w:afterAutospacing="0" w:line="178" w:lineRule="auto"/>
              <w:ind w:left="247" w:right="0"/>
              <w:rPr>
                <w:rFonts w:hint="default"/>
              </w:rPr>
            </w:pPr>
            <w:r>
              <w:rPr>
                <w:rFonts w:hint="default"/>
              </w:rPr>
              <w:t>V-110104</w:t>
            </w:r>
          </w:p>
        </w:tc>
        <w:tc>
          <w:tcPr>
            <w:tcW w:w="1950" w:type="dxa"/>
            <w:vAlign w:val="top"/>
          </w:tcPr>
          <w:p w14:paraId="4F4FC4E9">
            <w:pPr>
              <w:pStyle w:val="22"/>
              <w:keepNext w:val="0"/>
              <w:keepLines w:val="0"/>
              <w:suppressLineNumbers w:val="0"/>
              <w:spacing w:before="219" w:beforeAutospacing="0" w:after="0" w:afterAutospacing="0" w:line="209" w:lineRule="auto"/>
              <w:ind w:left="113" w:right="0"/>
              <w:rPr>
                <w:rFonts w:hint="default"/>
              </w:rPr>
            </w:pPr>
            <w:r>
              <w:rPr>
                <w:rFonts w:hint="default"/>
                <w:spacing w:val="-1"/>
              </w:rPr>
              <w:t>低规精制罐</w:t>
            </w:r>
          </w:p>
        </w:tc>
        <w:tc>
          <w:tcPr>
            <w:tcW w:w="2683" w:type="dxa"/>
            <w:vAlign w:val="top"/>
          </w:tcPr>
          <w:p w14:paraId="2407C7D6">
            <w:pPr>
              <w:pStyle w:val="22"/>
              <w:keepNext w:val="0"/>
              <w:keepLines w:val="0"/>
              <w:suppressLineNumbers w:val="0"/>
              <w:spacing w:before="214" w:beforeAutospacing="0" w:after="0" w:afterAutospacing="0" w:line="213" w:lineRule="auto"/>
              <w:ind w:left="370" w:right="0"/>
              <w:rPr>
                <w:rFonts w:hint="default"/>
              </w:rPr>
            </w:pPr>
            <w:r>
              <w:rPr>
                <w:rFonts w:hint="default"/>
                <w:spacing w:val="-1"/>
              </w:rPr>
              <w:t>DN4000x5000（80m</w:t>
            </w:r>
            <w:r>
              <w:rPr>
                <w:rFonts w:hint="default"/>
                <w:spacing w:val="-1"/>
                <w:position w:val="10"/>
                <w:sz w:val="11"/>
                <w:szCs w:val="11"/>
              </w:rPr>
              <w:t>3</w:t>
            </w:r>
            <w:r>
              <w:rPr>
                <w:rFonts w:hint="default"/>
                <w:spacing w:val="-1"/>
              </w:rPr>
              <w:t>）</w:t>
            </w:r>
          </w:p>
        </w:tc>
        <w:tc>
          <w:tcPr>
            <w:tcW w:w="1782" w:type="dxa"/>
            <w:vAlign w:val="top"/>
          </w:tcPr>
          <w:p w14:paraId="75A08F45">
            <w:pPr>
              <w:pStyle w:val="22"/>
              <w:keepNext w:val="0"/>
              <w:keepLines w:val="0"/>
              <w:suppressLineNumbers w:val="0"/>
              <w:spacing w:before="219" w:beforeAutospacing="0" w:after="0" w:afterAutospacing="0" w:line="209" w:lineRule="auto"/>
              <w:ind w:left="325" w:right="0"/>
              <w:rPr>
                <w:rFonts w:hint="default"/>
              </w:rPr>
            </w:pPr>
            <w:r>
              <w:rPr>
                <w:rFonts w:hint="default"/>
                <w:spacing w:val="-2"/>
              </w:rPr>
              <w:t>常压、100℃</w:t>
            </w:r>
          </w:p>
        </w:tc>
        <w:tc>
          <w:tcPr>
            <w:tcW w:w="1800" w:type="dxa"/>
            <w:vAlign w:val="top"/>
          </w:tcPr>
          <w:p w14:paraId="5F45C646">
            <w:pPr>
              <w:pStyle w:val="22"/>
              <w:keepNext w:val="0"/>
              <w:keepLines w:val="0"/>
              <w:suppressLineNumbers w:val="0"/>
              <w:spacing w:before="219" w:beforeAutospacing="0" w:after="0" w:afterAutospacing="0" w:line="209" w:lineRule="auto"/>
              <w:ind w:left="386" w:right="0"/>
              <w:rPr>
                <w:rFonts w:hint="default"/>
              </w:rPr>
            </w:pPr>
            <w:r>
              <w:rPr>
                <w:rFonts w:hint="default"/>
                <w:spacing w:val="-2"/>
              </w:rPr>
              <w:t>常压、常温</w:t>
            </w:r>
          </w:p>
        </w:tc>
        <w:tc>
          <w:tcPr>
            <w:tcW w:w="1583" w:type="dxa"/>
            <w:vAlign w:val="top"/>
          </w:tcPr>
          <w:p w14:paraId="25A6B414">
            <w:pPr>
              <w:pStyle w:val="22"/>
              <w:keepNext w:val="0"/>
              <w:keepLines w:val="0"/>
              <w:suppressLineNumbers w:val="0"/>
              <w:spacing w:before="219" w:beforeAutospacing="0" w:after="0" w:afterAutospacing="0" w:line="209" w:lineRule="auto"/>
              <w:ind w:left="351" w:right="0"/>
              <w:rPr>
                <w:rFonts w:hint="default"/>
              </w:rPr>
            </w:pPr>
            <w:r>
              <w:rPr>
                <w:rFonts w:hint="default"/>
                <w:spacing w:val="-2"/>
              </w:rPr>
              <w:t>钢衬</w:t>
            </w:r>
            <w:r>
              <w:rPr>
                <w:rFonts w:hint="default"/>
                <w:spacing w:val="-46"/>
              </w:rPr>
              <w:t xml:space="preserve"> </w:t>
            </w:r>
            <w:r>
              <w:rPr>
                <w:rFonts w:hint="default"/>
                <w:spacing w:val="-2"/>
              </w:rPr>
              <w:t>PTFE</w:t>
            </w:r>
          </w:p>
        </w:tc>
        <w:tc>
          <w:tcPr>
            <w:tcW w:w="1716" w:type="dxa"/>
            <w:vAlign w:val="top"/>
          </w:tcPr>
          <w:p w14:paraId="2C3E0FC8">
            <w:pPr>
              <w:pStyle w:val="22"/>
              <w:keepNext w:val="0"/>
              <w:keepLines w:val="0"/>
              <w:suppressLineNumbers w:val="0"/>
              <w:spacing w:before="219" w:beforeAutospacing="0" w:after="0" w:afterAutospacing="0" w:line="209" w:lineRule="auto"/>
              <w:ind w:left="550" w:right="0"/>
              <w:rPr>
                <w:rFonts w:hint="default"/>
              </w:rPr>
            </w:pPr>
            <w:r>
              <w:rPr>
                <w:rFonts w:hint="default"/>
                <w:spacing w:val="-2"/>
              </w:rPr>
              <w:t>双氧水</w:t>
            </w:r>
          </w:p>
        </w:tc>
        <w:tc>
          <w:tcPr>
            <w:tcW w:w="1200" w:type="dxa"/>
            <w:vAlign w:val="top"/>
          </w:tcPr>
          <w:p w14:paraId="0DEB3C70">
            <w:pPr>
              <w:pStyle w:val="22"/>
              <w:keepNext w:val="0"/>
              <w:keepLines w:val="0"/>
              <w:suppressLineNumbers w:val="0"/>
              <w:spacing w:before="254" w:beforeAutospacing="0" w:after="0" w:afterAutospacing="0" w:line="178" w:lineRule="auto"/>
              <w:ind w:left="569" w:right="0"/>
              <w:rPr>
                <w:rFonts w:hint="default"/>
              </w:rPr>
            </w:pPr>
            <w:r>
              <w:rPr>
                <w:rFonts w:hint="default"/>
              </w:rPr>
              <w:t>1</w:t>
            </w:r>
          </w:p>
        </w:tc>
      </w:tr>
      <w:tr w14:paraId="7D5D7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109A4F97">
            <w:pPr>
              <w:pStyle w:val="22"/>
              <w:keepNext w:val="0"/>
              <w:keepLines w:val="0"/>
              <w:suppressLineNumbers w:val="0"/>
              <w:spacing w:before="256" w:beforeAutospacing="0" w:after="0" w:afterAutospacing="0" w:line="177" w:lineRule="auto"/>
              <w:ind w:left="120" w:right="0"/>
              <w:rPr>
                <w:rFonts w:hint="default"/>
              </w:rPr>
            </w:pPr>
            <w:r>
              <w:rPr>
                <w:rFonts w:hint="default"/>
                <w:spacing w:val="-3"/>
              </w:rPr>
              <w:t>3.</w:t>
            </w:r>
          </w:p>
        </w:tc>
        <w:tc>
          <w:tcPr>
            <w:tcW w:w="1334" w:type="dxa"/>
            <w:vAlign w:val="top"/>
          </w:tcPr>
          <w:p w14:paraId="7C14F245">
            <w:pPr>
              <w:pStyle w:val="22"/>
              <w:keepNext w:val="0"/>
              <w:keepLines w:val="0"/>
              <w:suppressLineNumbers w:val="0"/>
              <w:spacing w:before="255" w:beforeAutospacing="0" w:after="0" w:afterAutospacing="0" w:line="178" w:lineRule="auto"/>
              <w:ind w:left="247" w:right="0"/>
              <w:rPr>
                <w:rFonts w:hint="default"/>
              </w:rPr>
            </w:pPr>
            <w:r>
              <w:rPr>
                <w:rFonts w:hint="default"/>
              </w:rPr>
              <w:t>V-110104</w:t>
            </w:r>
          </w:p>
        </w:tc>
        <w:tc>
          <w:tcPr>
            <w:tcW w:w="1950" w:type="dxa"/>
            <w:vAlign w:val="top"/>
          </w:tcPr>
          <w:p w14:paraId="6B47A8E1">
            <w:pPr>
              <w:pStyle w:val="22"/>
              <w:keepNext w:val="0"/>
              <w:keepLines w:val="0"/>
              <w:suppressLineNumbers w:val="0"/>
              <w:spacing w:before="228" w:beforeAutospacing="0" w:after="0" w:afterAutospacing="0" w:line="223" w:lineRule="auto"/>
              <w:ind w:left="119" w:right="0"/>
              <w:rPr>
                <w:rFonts w:hint="default"/>
                <w:sz w:val="19"/>
                <w:szCs w:val="19"/>
              </w:rPr>
            </w:pPr>
            <w:r>
              <w:rPr>
                <w:rFonts w:hint="default"/>
                <w:spacing w:val="7"/>
                <w:sz w:val="19"/>
                <w:szCs w:val="19"/>
              </w:rPr>
              <w:t>高规精制罐</w:t>
            </w:r>
          </w:p>
        </w:tc>
        <w:tc>
          <w:tcPr>
            <w:tcW w:w="2683" w:type="dxa"/>
            <w:vAlign w:val="top"/>
          </w:tcPr>
          <w:p w14:paraId="2172CF0B">
            <w:pPr>
              <w:pStyle w:val="22"/>
              <w:keepNext w:val="0"/>
              <w:keepLines w:val="0"/>
              <w:suppressLineNumbers w:val="0"/>
              <w:spacing w:before="228" w:beforeAutospacing="0" w:after="0" w:afterAutospacing="0" w:line="223" w:lineRule="auto"/>
              <w:ind w:left="415" w:right="0"/>
              <w:rPr>
                <w:rFonts w:hint="default"/>
                <w:sz w:val="19"/>
                <w:szCs w:val="19"/>
              </w:rPr>
            </w:pPr>
            <w:r>
              <w:rPr>
                <w:rFonts w:hint="default"/>
                <w:sz w:val="19"/>
                <w:szCs w:val="19"/>
              </w:rPr>
              <w:t>DN</w:t>
            </w:r>
            <w:r>
              <w:rPr>
                <w:rFonts w:hint="default"/>
                <w:spacing w:val="5"/>
                <w:sz w:val="19"/>
                <w:szCs w:val="19"/>
              </w:rPr>
              <w:t>4000x5000（80m</w:t>
            </w:r>
            <w:r>
              <w:rPr>
                <w:rFonts w:hint="default"/>
                <w:spacing w:val="5"/>
                <w:position w:val="9"/>
                <w:sz w:val="10"/>
                <w:szCs w:val="10"/>
              </w:rPr>
              <w:t>3</w:t>
            </w:r>
            <w:r>
              <w:rPr>
                <w:rFonts w:hint="default"/>
                <w:spacing w:val="5"/>
                <w:sz w:val="19"/>
                <w:szCs w:val="19"/>
              </w:rPr>
              <w:t>）</w:t>
            </w:r>
          </w:p>
        </w:tc>
        <w:tc>
          <w:tcPr>
            <w:tcW w:w="1782" w:type="dxa"/>
            <w:vAlign w:val="top"/>
          </w:tcPr>
          <w:p w14:paraId="3B02E479">
            <w:pPr>
              <w:pStyle w:val="22"/>
              <w:keepNext w:val="0"/>
              <w:keepLines w:val="0"/>
              <w:suppressLineNumbers w:val="0"/>
              <w:spacing w:before="221" w:beforeAutospacing="0" w:after="0" w:afterAutospacing="0" w:line="208" w:lineRule="auto"/>
              <w:ind w:left="325" w:right="0"/>
              <w:rPr>
                <w:rFonts w:hint="default"/>
              </w:rPr>
            </w:pPr>
            <w:r>
              <w:rPr>
                <w:rFonts w:hint="default"/>
                <w:spacing w:val="-2"/>
              </w:rPr>
              <w:t>常压、100℃</w:t>
            </w:r>
          </w:p>
        </w:tc>
        <w:tc>
          <w:tcPr>
            <w:tcW w:w="1800" w:type="dxa"/>
            <w:vAlign w:val="top"/>
          </w:tcPr>
          <w:p w14:paraId="00651508">
            <w:pPr>
              <w:pStyle w:val="22"/>
              <w:keepNext w:val="0"/>
              <w:keepLines w:val="0"/>
              <w:suppressLineNumbers w:val="0"/>
              <w:spacing w:before="221" w:beforeAutospacing="0" w:after="0" w:afterAutospacing="0" w:line="208" w:lineRule="auto"/>
              <w:ind w:left="386" w:right="0"/>
              <w:rPr>
                <w:rFonts w:hint="default"/>
              </w:rPr>
            </w:pPr>
            <w:r>
              <w:rPr>
                <w:rFonts w:hint="default"/>
                <w:spacing w:val="-2"/>
              </w:rPr>
              <w:t>常压、常温</w:t>
            </w:r>
          </w:p>
        </w:tc>
        <w:tc>
          <w:tcPr>
            <w:tcW w:w="1583" w:type="dxa"/>
            <w:vAlign w:val="top"/>
          </w:tcPr>
          <w:p w14:paraId="509A1AB5">
            <w:pPr>
              <w:pStyle w:val="22"/>
              <w:keepNext w:val="0"/>
              <w:keepLines w:val="0"/>
              <w:suppressLineNumbers w:val="0"/>
              <w:spacing w:before="221" w:beforeAutospacing="0" w:after="0" w:afterAutospacing="0" w:line="208" w:lineRule="auto"/>
              <w:ind w:left="351" w:right="0"/>
              <w:rPr>
                <w:rFonts w:hint="default"/>
              </w:rPr>
            </w:pPr>
            <w:r>
              <w:rPr>
                <w:rFonts w:hint="default"/>
                <w:spacing w:val="-2"/>
              </w:rPr>
              <w:t>钢衬</w:t>
            </w:r>
            <w:r>
              <w:rPr>
                <w:rFonts w:hint="default"/>
                <w:spacing w:val="-46"/>
              </w:rPr>
              <w:t xml:space="preserve"> </w:t>
            </w:r>
            <w:r>
              <w:rPr>
                <w:rFonts w:hint="default"/>
                <w:spacing w:val="-2"/>
              </w:rPr>
              <w:t>PTFE</w:t>
            </w:r>
          </w:p>
        </w:tc>
        <w:tc>
          <w:tcPr>
            <w:tcW w:w="1716" w:type="dxa"/>
            <w:vAlign w:val="top"/>
          </w:tcPr>
          <w:p w14:paraId="7704AE1C">
            <w:pPr>
              <w:pStyle w:val="22"/>
              <w:keepNext w:val="0"/>
              <w:keepLines w:val="0"/>
              <w:suppressLineNumbers w:val="0"/>
              <w:spacing w:before="221" w:beforeAutospacing="0" w:after="0" w:afterAutospacing="0" w:line="208" w:lineRule="auto"/>
              <w:ind w:left="550" w:right="0"/>
              <w:rPr>
                <w:rFonts w:hint="default"/>
              </w:rPr>
            </w:pPr>
            <w:r>
              <w:rPr>
                <w:rFonts w:hint="default"/>
                <w:spacing w:val="-2"/>
              </w:rPr>
              <w:t>双氧水</w:t>
            </w:r>
          </w:p>
        </w:tc>
        <w:tc>
          <w:tcPr>
            <w:tcW w:w="1200" w:type="dxa"/>
            <w:vAlign w:val="top"/>
          </w:tcPr>
          <w:p w14:paraId="6CE8B3EA">
            <w:pPr>
              <w:pStyle w:val="22"/>
              <w:keepNext w:val="0"/>
              <w:keepLines w:val="0"/>
              <w:suppressLineNumbers w:val="0"/>
              <w:spacing w:before="255" w:beforeAutospacing="0" w:after="0" w:afterAutospacing="0" w:line="178" w:lineRule="auto"/>
              <w:ind w:left="569" w:right="0"/>
              <w:rPr>
                <w:rFonts w:hint="default"/>
              </w:rPr>
            </w:pPr>
            <w:r>
              <w:rPr>
                <w:rFonts w:hint="default"/>
              </w:rPr>
              <w:t>1</w:t>
            </w:r>
          </w:p>
        </w:tc>
      </w:tr>
      <w:tr w14:paraId="53BFC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78299592">
            <w:pPr>
              <w:pStyle w:val="22"/>
              <w:keepNext w:val="0"/>
              <w:keepLines w:val="0"/>
              <w:suppressLineNumbers w:val="0"/>
              <w:spacing w:before="256" w:beforeAutospacing="0" w:after="0" w:afterAutospacing="0" w:line="176" w:lineRule="auto"/>
              <w:ind w:left="115" w:right="0"/>
              <w:rPr>
                <w:rFonts w:hint="default"/>
              </w:rPr>
            </w:pPr>
            <w:r>
              <w:rPr>
                <w:rFonts w:hint="default"/>
                <w:spacing w:val="-2"/>
              </w:rPr>
              <w:t>4.</w:t>
            </w:r>
          </w:p>
        </w:tc>
        <w:tc>
          <w:tcPr>
            <w:tcW w:w="1334" w:type="dxa"/>
            <w:vAlign w:val="top"/>
          </w:tcPr>
          <w:p w14:paraId="2049C89A">
            <w:pPr>
              <w:pStyle w:val="22"/>
              <w:keepNext w:val="0"/>
              <w:keepLines w:val="0"/>
              <w:suppressLineNumbers w:val="0"/>
              <w:spacing w:before="255" w:beforeAutospacing="0" w:after="0" w:afterAutospacing="0" w:line="177" w:lineRule="auto"/>
              <w:ind w:left="247" w:right="0"/>
              <w:rPr>
                <w:rFonts w:hint="default"/>
              </w:rPr>
            </w:pPr>
            <w:r>
              <w:rPr>
                <w:rFonts w:hint="default"/>
              </w:rPr>
              <w:t>V-110105</w:t>
            </w:r>
          </w:p>
        </w:tc>
        <w:tc>
          <w:tcPr>
            <w:tcW w:w="1950" w:type="dxa"/>
            <w:vAlign w:val="top"/>
          </w:tcPr>
          <w:p w14:paraId="23287651">
            <w:pPr>
              <w:pStyle w:val="22"/>
              <w:keepNext w:val="0"/>
              <w:keepLines w:val="0"/>
              <w:suppressLineNumbers w:val="0"/>
              <w:spacing w:before="220" w:beforeAutospacing="0" w:after="0" w:afterAutospacing="0" w:line="208" w:lineRule="auto"/>
              <w:ind w:left="114" w:right="0"/>
              <w:rPr>
                <w:rFonts w:hint="default"/>
              </w:rPr>
            </w:pPr>
            <w:r>
              <w:rPr>
                <w:rFonts w:hint="default"/>
                <w:spacing w:val="-1"/>
              </w:rPr>
              <w:t>双氧水精制罐</w:t>
            </w:r>
          </w:p>
        </w:tc>
        <w:tc>
          <w:tcPr>
            <w:tcW w:w="2683" w:type="dxa"/>
            <w:vAlign w:val="top"/>
          </w:tcPr>
          <w:p w14:paraId="0CFE948A">
            <w:pPr>
              <w:pStyle w:val="22"/>
              <w:keepNext w:val="0"/>
              <w:keepLines w:val="0"/>
              <w:suppressLineNumbers w:val="0"/>
              <w:spacing w:before="228" w:beforeAutospacing="0" w:after="0" w:afterAutospacing="0" w:line="222" w:lineRule="auto"/>
              <w:ind w:left="415" w:right="0"/>
              <w:rPr>
                <w:rFonts w:hint="default"/>
                <w:sz w:val="19"/>
                <w:szCs w:val="19"/>
              </w:rPr>
            </w:pPr>
            <w:r>
              <w:rPr>
                <w:rFonts w:hint="default"/>
                <w:sz w:val="19"/>
                <w:szCs w:val="19"/>
              </w:rPr>
              <w:t>DN</w:t>
            </w:r>
            <w:r>
              <w:rPr>
                <w:rFonts w:hint="default"/>
                <w:spacing w:val="5"/>
                <w:sz w:val="19"/>
                <w:szCs w:val="19"/>
              </w:rPr>
              <w:t>4000x5000（80m</w:t>
            </w:r>
            <w:r>
              <w:rPr>
                <w:rFonts w:hint="default"/>
                <w:spacing w:val="5"/>
                <w:position w:val="9"/>
                <w:sz w:val="10"/>
                <w:szCs w:val="10"/>
              </w:rPr>
              <w:t>3</w:t>
            </w:r>
            <w:r>
              <w:rPr>
                <w:rFonts w:hint="default"/>
                <w:spacing w:val="5"/>
                <w:sz w:val="19"/>
                <w:szCs w:val="19"/>
              </w:rPr>
              <w:t>）</w:t>
            </w:r>
          </w:p>
        </w:tc>
        <w:tc>
          <w:tcPr>
            <w:tcW w:w="1782" w:type="dxa"/>
            <w:vAlign w:val="top"/>
          </w:tcPr>
          <w:p w14:paraId="7B6EC933">
            <w:pPr>
              <w:pStyle w:val="22"/>
              <w:keepNext w:val="0"/>
              <w:keepLines w:val="0"/>
              <w:suppressLineNumbers w:val="0"/>
              <w:spacing w:before="220" w:beforeAutospacing="0" w:after="0" w:afterAutospacing="0" w:line="208" w:lineRule="auto"/>
              <w:ind w:left="325" w:right="0"/>
              <w:rPr>
                <w:rFonts w:hint="default"/>
              </w:rPr>
            </w:pPr>
            <w:r>
              <w:rPr>
                <w:rFonts w:hint="default"/>
                <w:spacing w:val="-2"/>
              </w:rPr>
              <w:t>常压、100℃</w:t>
            </w:r>
          </w:p>
        </w:tc>
        <w:tc>
          <w:tcPr>
            <w:tcW w:w="1800" w:type="dxa"/>
            <w:vAlign w:val="top"/>
          </w:tcPr>
          <w:p w14:paraId="00841497">
            <w:pPr>
              <w:pStyle w:val="22"/>
              <w:keepNext w:val="0"/>
              <w:keepLines w:val="0"/>
              <w:suppressLineNumbers w:val="0"/>
              <w:spacing w:before="220" w:beforeAutospacing="0" w:after="0" w:afterAutospacing="0" w:line="208" w:lineRule="auto"/>
              <w:ind w:left="386" w:right="0"/>
              <w:rPr>
                <w:rFonts w:hint="default"/>
              </w:rPr>
            </w:pPr>
            <w:r>
              <w:rPr>
                <w:rFonts w:hint="default"/>
                <w:spacing w:val="-2"/>
              </w:rPr>
              <w:t>常压、常温</w:t>
            </w:r>
          </w:p>
        </w:tc>
        <w:tc>
          <w:tcPr>
            <w:tcW w:w="1583" w:type="dxa"/>
            <w:vAlign w:val="top"/>
          </w:tcPr>
          <w:p w14:paraId="7C738272">
            <w:pPr>
              <w:pStyle w:val="22"/>
              <w:keepNext w:val="0"/>
              <w:keepLines w:val="0"/>
              <w:suppressLineNumbers w:val="0"/>
              <w:spacing w:before="220" w:beforeAutospacing="0" w:after="0" w:afterAutospacing="0" w:line="208" w:lineRule="auto"/>
              <w:ind w:left="351" w:right="0"/>
              <w:rPr>
                <w:rFonts w:hint="default"/>
              </w:rPr>
            </w:pPr>
            <w:r>
              <w:rPr>
                <w:rFonts w:hint="default"/>
                <w:spacing w:val="-2"/>
              </w:rPr>
              <w:t>钢衬</w:t>
            </w:r>
            <w:r>
              <w:rPr>
                <w:rFonts w:hint="default"/>
                <w:spacing w:val="-46"/>
              </w:rPr>
              <w:t xml:space="preserve"> </w:t>
            </w:r>
            <w:r>
              <w:rPr>
                <w:rFonts w:hint="default"/>
                <w:spacing w:val="-2"/>
              </w:rPr>
              <w:t>PTFE</w:t>
            </w:r>
          </w:p>
        </w:tc>
        <w:tc>
          <w:tcPr>
            <w:tcW w:w="1716" w:type="dxa"/>
            <w:vAlign w:val="top"/>
          </w:tcPr>
          <w:p w14:paraId="4DFCEBB7">
            <w:pPr>
              <w:pStyle w:val="22"/>
              <w:keepNext w:val="0"/>
              <w:keepLines w:val="0"/>
              <w:suppressLineNumbers w:val="0"/>
              <w:spacing w:before="220" w:beforeAutospacing="0" w:after="0" w:afterAutospacing="0" w:line="208" w:lineRule="auto"/>
              <w:ind w:left="550" w:right="0"/>
              <w:rPr>
                <w:rFonts w:hint="default"/>
              </w:rPr>
            </w:pPr>
            <w:r>
              <w:rPr>
                <w:rFonts w:hint="default"/>
                <w:spacing w:val="-2"/>
              </w:rPr>
              <w:t>双氧水</w:t>
            </w:r>
          </w:p>
        </w:tc>
        <w:tc>
          <w:tcPr>
            <w:tcW w:w="1200" w:type="dxa"/>
            <w:vAlign w:val="top"/>
          </w:tcPr>
          <w:p w14:paraId="0969B37A">
            <w:pPr>
              <w:pStyle w:val="22"/>
              <w:keepNext w:val="0"/>
              <w:keepLines w:val="0"/>
              <w:suppressLineNumbers w:val="0"/>
              <w:spacing w:before="255" w:beforeAutospacing="0" w:after="0" w:afterAutospacing="0" w:line="177" w:lineRule="auto"/>
              <w:ind w:left="569" w:right="0"/>
              <w:rPr>
                <w:rFonts w:hint="default"/>
              </w:rPr>
            </w:pPr>
            <w:r>
              <w:rPr>
                <w:rFonts w:hint="default"/>
              </w:rPr>
              <w:t>1</w:t>
            </w:r>
          </w:p>
        </w:tc>
      </w:tr>
      <w:tr w14:paraId="065FE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61" w:type="dxa"/>
            <w:vAlign w:val="top"/>
          </w:tcPr>
          <w:p w14:paraId="51AA550B">
            <w:pPr>
              <w:pStyle w:val="22"/>
              <w:keepNext w:val="0"/>
              <w:keepLines w:val="0"/>
              <w:suppressLineNumbers w:val="0"/>
              <w:spacing w:before="258" w:beforeAutospacing="0" w:after="0" w:afterAutospacing="0" w:line="173" w:lineRule="auto"/>
              <w:ind w:left="120" w:right="0"/>
              <w:rPr>
                <w:rFonts w:hint="default"/>
              </w:rPr>
            </w:pPr>
            <w:r>
              <w:rPr>
                <w:rFonts w:hint="default"/>
                <w:spacing w:val="-3"/>
              </w:rPr>
              <w:t>5.</w:t>
            </w:r>
          </w:p>
        </w:tc>
        <w:tc>
          <w:tcPr>
            <w:tcW w:w="1334" w:type="dxa"/>
            <w:vAlign w:val="top"/>
          </w:tcPr>
          <w:p w14:paraId="35B2277F">
            <w:pPr>
              <w:pStyle w:val="22"/>
              <w:keepNext w:val="0"/>
              <w:keepLines w:val="0"/>
              <w:suppressLineNumbers w:val="0"/>
              <w:spacing w:before="255" w:beforeAutospacing="0" w:after="0" w:afterAutospacing="0" w:line="175" w:lineRule="auto"/>
              <w:ind w:left="300" w:right="0"/>
              <w:rPr>
                <w:rFonts w:hint="default"/>
              </w:rPr>
            </w:pPr>
            <w:r>
              <w:rPr>
                <w:rFonts w:hint="default"/>
              </w:rPr>
              <w:t>V110201</w:t>
            </w:r>
          </w:p>
        </w:tc>
        <w:tc>
          <w:tcPr>
            <w:tcW w:w="1950" w:type="dxa"/>
            <w:vAlign w:val="top"/>
          </w:tcPr>
          <w:p w14:paraId="0EF2F07D">
            <w:pPr>
              <w:pStyle w:val="22"/>
              <w:keepNext w:val="0"/>
              <w:keepLines w:val="0"/>
              <w:suppressLineNumbers w:val="0"/>
              <w:spacing w:before="221" w:beforeAutospacing="0" w:after="0" w:afterAutospacing="0" w:line="205" w:lineRule="auto"/>
              <w:ind w:left="113" w:right="0"/>
              <w:rPr>
                <w:rFonts w:hint="default"/>
              </w:rPr>
            </w:pPr>
            <w:r>
              <w:rPr>
                <w:rFonts w:hint="default"/>
                <w:spacing w:val="-1"/>
              </w:rPr>
              <w:t>蚀刻液混配槽</w:t>
            </w:r>
          </w:p>
        </w:tc>
        <w:tc>
          <w:tcPr>
            <w:tcW w:w="2683" w:type="dxa"/>
            <w:vAlign w:val="top"/>
          </w:tcPr>
          <w:p w14:paraId="5EFA9776">
            <w:pPr>
              <w:pStyle w:val="22"/>
              <w:keepNext w:val="0"/>
              <w:keepLines w:val="0"/>
              <w:suppressLineNumbers w:val="0"/>
              <w:spacing w:before="227" w:beforeAutospacing="0" w:after="0" w:afterAutospacing="0" w:line="221" w:lineRule="auto"/>
              <w:ind w:left="341" w:right="0"/>
              <w:rPr>
                <w:rFonts w:hint="default"/>
                <w:sz w:val="19"/>
                <w:szCs w:val="19"/>
              </w:rPr>
            </w:pPr>
            <w:r>
              <w:rPr>
                <w:rFonts w:hint="default"/>
                <w:sz w:val="19"/>
                <w:szCs w:val="19"/>
              </w:rPr>
              <w:t>DN</w:t>
            </w:r>
            <w:r>
              <w:rPr>
                <w:rFonts w:hint="default"/>
                <w:spacing w:val="5"/>
                <w:sz w:val="19"/>
                <w:szCs w:val="19"/>
              </w:rPr>
              <w:t>1800x5000（9.2m3）</w:t>
            </w:r>
          </w:p>
        </w:tc>
        <w:tc>
          <w:tcPr>
            <w:tcW w:w="1782" w:type="dxa"/>
            <w:vAlign w:val="top"/>
          </w:tcPr>
          <w:p w14:paraId="66CD4F41">
            <w:pPr>
              <w:pStyle w:val="22"/>
              <w:keepNext w:val="0"/>
              <w:keepLines w:val="0"/>
              <w:suppressLineNumbers w:val="0"/>
              <w:spacing w:before="221" w:beforeAutospacing="0" w:after="0" w:afterAutospacing="0" w:line="205" w:lineRule="auto"/>
              <w:ind w:left="325" w:right="0"/>
              <w:rPr>
                <w:rFonts w:hint="default"/>
              </w:rPr>
            </w:pPr>
            <w:r>
              <w:rPr>
                <w:rFonts w:hint="default"/>
                <w:spacing w:val="-2"/>
              </w:rPr>
              <w:t>常压、100℃</w:t>
            </w:r>
          </w:p>
        </w:tc>
        <w:tc>
          <w:tcPr>
            <w:tcW w:w="1800" w:type="dxa"/>
            <w:vAlign w:val="top"/>
          </w:tcPr>
          <w:p w14:paraId="58ED550A">
            <w:pPr>
              <w:pStyle w:val="22"/>
              <w:keepNext w:val="0"/>
              <w:keepLines w:val="0"/>
              <w:suppressLineNumbers w:val="0"/>
              <w:spacing w:before="221" w:beforeAutospacing="0" w:after="0" w:afterAutospacing="0" w:line="205" w:lineRule="auto"/>
              <w:ind w:left="386" w:right="0"/>
              <w:rPr>
                <w:rFonts w:hint="default"/>
              </w:rPr>
            </w:pPr>
            <w:r>
              <w:rPr>
                <w:rFonts w:hint="default"/>
                <w:spacing w:val="-2"/>
              </w:rPr>
              <w:t>常压、常温</w:t>
            </w:r>
          </w:p>
        </w:tc>
        <w:tc>
          <w:tcPr>
            <w:tcW w:w="1583" w:type="dxa"/>
            <w:vAlign w:val="top"/>
          </w:tcPr>
          <w:p w14:paraId="3691C35A">
            <w:pPr>
              <w:pStyle w:val="22"/>
              <w:keepNext w:val="0"/>
              <w:keepLines w:val="0"/>
              <w:suppressLineNumbers w:val="0"/>
              <w:spacing w:before="257" w:beforeAutospacing="0" w:after="0" w:afterAutospacing="0" w:line="174" w:lineRule="auto"/>
              <w:ind w:left="645" w:right="0"/>
              <w:rPr>
                <w:rFonts w:hint="default"/>
              </w:rPr>
            </w:pPr>
            <w:r>
              <w:rPr>
                <w:rFonts w:hint="default"/>
                <w:spacing w:val="-4"/>
              </w:rPr>
              <w:t>304</w:t>
            </w:r>
          </w:p>
        </w:tc>
        <w:tc>
          <w:tcPr>
            <w:tcW w:w="1716" w:type="dxa"/>
            <w:vAlign w:val="top"/>
          </w:tcPr>
          <w:p w14:paraId="726C4A96">
            <w:pPr>
              <w:pStyle w:val="22"/>
              <w:keepNext w:val="0"/>
              <w:keepLines w:val="0"/>
              <w:suppressLineNumbers w:val="0"/>
              <w:spacing w:before="221" w:beforeAutospacing="0" w:after="0" w:afterAutospacing="0" w:line="205" w:lineRule="auto"/>
              <w:ind w:left="549" w:right="0"/>
              <w:rPr>
                <w:rFonts w:hint="default"/>
              </w:rPr>
            </w:pPr>
            <w:r>
              <w:rPr>
                <w:rFonts w:hint="default"/>
                <w:spacing w:val="-1"/>
              </w:rPr>
              <w:t>蚀刻液</w:t>
            </w:r>
          </w:p>
        </w:tc>
        <w:tc>
          <w:tcPr>
            <w:tcW w:w="1200" w:type="dxa"/>
            <w:vAlign w:val="top"/>
          </w:tcPr>
          <w:p w14:paraId="3D9D5062">
            <w:pPr>
              <w:pStyle w:val="22"/>
              <w:keepNext w:val="0"/>
              <w:keepLines w:val="0"/>
              <w:suppressLineNumbers w:val="0"/>
              <w:spacing w:before="255" w:beforeAutospacing="0" w:after="0" w:afterAutospacing="0" w:line="175" w:lineRule="auto"/>
              <w:ind w:left="569" w:right="0"/>
              <w:rPr>
                <w:rFonts w:hint="default"/>
              </w:rPr>
            </w:pPr>
            <w:r>
              <w:rPr>
                <w:rFonts w:hint="default"/>
              </w:rPr>
              <w:t>1</w:t>
            </w:r>
          </w:p>
        </w:tc>
      </w:tr>
      <w:tr w14:paraId="0E026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461" w:type="dxa"/>
            <w:vAlign w:val="top"/>
          </w:tcPr>
          <w:p w14:paraId="235E9F5E">
            <w:pPr>
              <w:keepNext w:val="0"/>
              <w:keepLines w:val="0"/>
              <w:suppressLineNumbers w:val="0"/>
              <w:spacing w:before="0" w:beforeAutospacing="0" w:after="0" w:afterAutospacing="0" w:line="323" w:lineRule="auto"/>
              <w:ind w:left="0" w:right="0"/>
              <w:rPr>
                <w:rFonts w:hint="default" w:ascii="Arial"/>
                <w:sz w:val="21"/>
              </w:rPr>
            </w:pPr>
          </w:p>
          <w:p w14:paraId="5D957874">
            <w:pPr>
              <w:pStyle w:val="22"/>
              <w:keepNext w:val="0"/>
              <w:keepLines w:val="0"/>
              <w:suppressLineNumbers w:val="0"/>
              <w:spacing w:before="69" w:beforeAutospacing="0" w:after="0" w:afterAutospacing="0" w:line="182" w:lineRule="auto"/>
              <w:ind w:left="117" w:right="0"/>
              <w:rPr>
                <w:rFonts w:hint="default"/>
              </w:rPr>
            </w:pPr>
            <w:r>
              <w:rPr>
                <w:rFonts w:hint="default"/>
                <w:spacing w:val="-3"/>
              </w:rPr>
              <w:t>6.</w:t>
            </w:r>
          </w:p>
        </w:tc>
        <w:tc>
          <w:tcPr>
            <w:tcW w:w="1334" w:type="dxa"/>
            <w:vAlign w:val="top"/>
          </w:tcPr>
          <w:p w14:paraId="0F565746">
            <w:pPr>
              <w:keepNext w:val="0"/>
              <w:keepLines w:val="0"/>
              <w:suppressLineNumbers w:val="0"/>
              <w:spacing w:before="0" w:beforeAutospacing="0" w:after="0" w:afterAutospacing="0" w:line="322" w:lineRule="auto"/>
              <w:ind w:left="0" w:right="0"/>
              <w:rPr>
                <w:rFonts w:hint="default" w:ascii="Arial"/>
                <w:sz w:val="21"/>
              </w:rPr>
            </w:pPr>
          </w:p>
          <w:p w14:paraId="4F482CAF">
            <w:pPr>
              <w:pStyle w:val="22"/>
              <w:keepNext w:val="0"/>
              <w:keepLines w:val="0"/>
              <w:suppressLineNumbers w:val="0"/>
              <w:spacing w:before="69" w:beforeAutospacing="0" w:after="0" w:afterAutospacing="0" w:line="183" w:lineRule="auto"/>
              <w:ind w:left="302" w:right="0"/>
              <w:rPr>
                <w:rFonts w:hint="default"/>
              </w:rPr>
            </w:pPr>
            <w:r>
              <w:rPr>
                <w:rFonts w:hint="default"/>
                <w:spacing w:val="-1"/>
              </w:rPr>
              <w:t>E110201</w:t>
            </w:r>
          </w:p>
        </w:tc>
        <w:tc>
          <w:tcPr>
            <w:tcW w:w="1950" w:type="dxa"/>
            <w:vAlign w:val="top"/>
          </w:tcPr>
          <w:p w14:paraId="18F72A36">
            <w:pPr>
              <w:keepNext w:val="0"/>
              <w:keepLines w:val="0"/>
              <w:suppressLineNumbers w:val="0"/>
              <w:spacing w:before="0" w:beforeAutospacing="0" w:after="0" w:afterAutospacing="0" w:line="288" w:lineRule="auto"/>
              <w:ind w:left="0" w:right="0"/>
              <w:rPr>
                <w:rFonts w:hint="default" w:ascii="Arial"/>
                <w:sz w:val="21"/>
              </w:rPr>
            </w:pPr>
          </w:p>
          <w:p w14:paraId="0A9D53E9">
            <w:pPr>
              <w:pStyle w:val="22"/>
              <w:keepNext w:val="0"/>
              <w:keepLines w:val="0"/>
              <w:suppressLineNumbers w:val="0"/>
              <w:spacing w:before="68" w:beforeAutospacing="0" w:after="0" w:afterAutospacing="0" w:line="221" w:lineRule="auto"/>
              <w:ind w:left="113" w:right="0"/>
              <w:rPr>
                <w:rFonts w:hint="default"/>
              </w:rPr>
            </w:pPr>
            <w:r>
              <w:rPr>
                <w:rFonts w:hint="default"/>
                <w:spacing w:val="-1"/>
              </w:rPr>
              <w:t>蚀刻液换热器</w:t>
            </w:r>
          </w:p>
        </w:tc>
        <w:tc>
          <w:tcPr>
            <w:tcW w:w="2683" w:type="dxa"/>
            <w:vAlign w:val="top"/>
          </w:tcPr>
          <w:p w14:paraId="0C303267">
            <w:pPr>
              <w:pStyle w:val="22"/>
              <w:keepNext w:val="0"/>
              <w:keepLines w:val="0"/>
              <w:suppressLineNumbers w:val="0"/>
              <w:spacing w:before="237" w:beforeAutospacing="0" w:after="0" w:afterAutospacing="0"/>
              <w:ind w:left="1046" w:right="141" w:hanging="897"/>
              <w:rPr>
                <w:rFonts w:hint="default"/>
                <w:sz w:val="10"/>
                <w:szCs w:val="10"/>
              </w:rPr>
            </w:pPr>
            <w:r>
              <w:rPr>
                <w:rFonts w:hint="default"/>
                <w:spacing w:val="8"/>
                <w:sz w:val="19"/>
                <w:szCs w:val="19"/>
              </w:rPr>
              <w:t>半焊式板式换热器，换热面</w:t>
            </w:r>
            <w:r>
              <w:rPr>
                <w:rFonts w:hint="default"/>
                <w:spacing w:val="10"/>
                <w:sz w:val="19"/>
                <w:szCs w:val="19"/>
              </w:rPr>
              <w:t xml:space="preserve"> </w:t>
            </w:r>
            <w:r>
              <w:rPr>
                <w:rFonts w:hint="default"/>
                <w:spacing w:val="1"/>
                <w:sz w:val="19"/>
                <w:szCs w:val="19"/>
              </w:rPr>
              <w:t>积</w:t>
            </w:r>
            <w:r>
              <w:rPr>
                <w:rFonts w:hint="default"/>
                <w:spacing w:val="-32"/>
                <w:sz w:val="19"/>
                <w:szCs w:val="19"/>
              </w:rPr>
              <w:t xml:space="preserve"> </w:t>
            </w:r>
            <w:r>
              <w:rPr>
                <w:rFonts w:hint="default"/>
                <w:spacing w:val="1"/>
                <w:sz w:val="19"/>
                <w:szCs w:val="19"/>
              </w:rPr>
              <w:t>20m</w:t>
            </w:r>
            <w:r>
              <w:rPr>
                <w:rFonts w:hint="default"/>
                <w:spacing w:val="1"/>
                <w:position w:val="9"/>
                <w:sz w:val="10"/>
                <w:szCs w:val="10"/>
              </w:rPr>
              <w:t>2</w:t>
            </w:r>
          </w:p>
        </w:tc>
        <w:tc>
          <w:tcPr>
            <w:tcW w:w="1782" w:type="dxa"/>
            <w:vAlign w:val="top"/>
          </w:tcPr>
          <w:p w14:paraId="21E155FA">
            <w:pPr>
              <w:pStyle w:val="22"/>
              <w:keepNext w:val="0"/>
              <w:keepLines w:val="0"/>
              <w:suppressLineNumbers w:val="0"/>
              <w:spacing w:before="221" w:beforeAutospacing="0" w:after="0" w:afterAutospacing="0" w:line="218" w:lineRule="auto"/>
              <w:ind w:left="118" w:right="0"/>
              <w:rPr>
                <w:rFonts w:hint="default"/>
              </w:rPr>
            </w:pPr>
            <w:r>
              <w:rPr>
                <w:rFonts w:hint="default"/>
                <w:spacing w:val="-2"/>
              </w:rPr>
              <w:t>管程：0.4, 60℃</w:t>
            </w:r>
          </w:p>
          <w:p w14:paraId="07935370">
            <w:pPr>
              <w:pStyle w:val="22"/>
              <w:keepNext w:val="0"/>
              <w:keepLines w:val="0"/>
              <w:suppressLineNumbers w:val="0"/>
              <w:spacing w:before="25" w:beforeAutospacing="0" w:after="0" w:afterAutospacing="0" w:line="207" w:lineRule="auto"/>
              <w:ind w:left="119" w:right="0"/>
              <w:rPr>
                <w:rFonts w:hint="default"/>
              </w:rPr>
            </w:pPr>
            <w:r>
              <w:rPr>
                <w:rFonts w:hint="default"/>
                <w:spacing w:val="-2"/>
              </w:rPr>
              <w:t>壳程：0.4, 60℃</w:t>
            </w:r>
          </w:p>
        </w:tc>
        <w:tc>
          <w:tcPr>
            <w:tcW w:w="1800" w:type="dxa"/>
            <w:vAlign w:val="top"/>
          </w:tcPr>
          <w:p w14:paraId="5F8AC1DE">
            <w:pPr>
              <w:pStyle w:val="22"/>
              <w:keepNext w:val="0"/>
              <w:keepLines w:val="0"/>
              <w:suppressLineNumbers w:val="0"/>
              <w:spacing w:before="221" w:beforeAutospacing="0" w:after="0" w:afterAutospacing="0" w:line="218" w:lineRule="auto"/>
              <w:ind w:left="124" w:right="0"/>
              <w:rPr>
                <w:rFonts w:hint="default"/>
              </w:rPr>
            </w:pPr>
            <w:r>
              <w:rPr>
                <w:rFonts w:hint="default"/>
                <w:spacing w:val="-1"/>
              </w:rPr>
              <w:t>管程：0.2, 40℃</w:t>
            </w:r>
          </w:p>
          <w:p w14:paraId="2D0236F4">
            <w:pPr>
              <w:pStyle w:val="22"/>
              <w:keepNext w:val="0"/>
              <w:keepLines w:val="0"/>
              <w:suppressLineNumbers w:val="0"/>
              <w:spacing w:before="25" w:beforeAutospacing="0" w:after="0" w:afterAutospacing="0" w:line="207" w:lineRule="auto"/>
              <w:ind w:left="175" w:right="0"/>
              <w:rPr>
                <w:rFonts w:hint="default"/>
              </w:rPr>
            </w:pPr>
            <w:r>
              <w:rPr>
                <w:rFonts w:hint="default"/>
                <w:spacing w:val="-1"/>
              </w:rPr>
              <w:t>壳程：0.4, 5℃</w:t>
            </w:r>
          </w:p>
        </w:tc>
        <w:tc>
          <w:tcPr>
            <w:tcW w:w="1583" w:type="dxa"/>
            <w:vAlign w:val="top"/>
          </w:tcPr>
          <w:p w14:paraId="46531A49">
            <w:pPr>
              <w:keepNext w:val="0"/>
              <w:keepLines w:val="0"/>
              <w:suppressLineNumbers w:val="0"/>
              <w:spacing w:before="0" w:beforeAutospacing="0" w:after="0" w:afterAutospacing="0" w:line="289" w:lineRule="auto"/>
              <w:ind w:left="0" w:right="0"/>
              <w:rPr>
                <w:rFonts w:hint="default" w:ascii="Arial"/>
                <w:sz w:val="21"/>
              </w:rPr>
            </w:pPr>
          </w:p>
          <w:p w14:paraId="0F58006A">
            <w:pPr>
              <w:pStyle w:val="22"/>
              <w:keepNext w:val="0"/>
              <w:keepLines w:val="0"/>
              <w:suppressLineNumbers w:val="0"/>
              <w:spacing w:before="68" w:beforeAutospacing="0" w:after="0" w:afterAutospacing="0" w:line="221" w:lineRule="auto"/>
              <w:ind w:left="693" w:right="0"/>
              <w:rPr>
                <w:rFonts w:hint="default"/>
              </w:rPr>
            </w:pPr>
            <w:r>
              <w:rPr>
                <w:rFonts w:hint="default"/>
              </w:rPr>
              <w:t>钛</w:t>
            </w:r>
          </w:p>
        </w:tc>
        <w:tc>
          <w:tcPr>
            <w:tcW w:w="1716" w:type="dxa"/>
            <w:vAlign w:val="top"/>
          </w:tcPr>
          <w:p w14:paraId="60DF32B9">
            <w:pPr>
              <w:keepNext w:val="0"/>
              <w:keepLines w:val="0"/>
              <w:suppressLineNumbers w:val="0"/>
              <w:spacing w:before="0" w:beforeAutospacing="0" w:after="0" w:afterAutospacing="0" w:line="288" w:lineRule="auto"/>
              <w:ind w:left="0" w:right="0"/>
              <w:rPr>
                <w:rFonts w:hint="default" w:ascii="Arial"/>
                <w:sz w:val="21"/>
              </w:rPr>
            </w:pPr>
          </w:p>
          <w:p w14:paraId="1C646418">
            <w:pPr>
              <w:pStyle w:val="22"/>
              <w:keepNext w:val="0"/>
              <w:keepLines w:val="0"/>
              <w:suppressLineNumbers w:val="0"/>
              <w:spacing w:before="68" w:beforeAutospacing="0" w:after="0" w:afterAutospacing="0" w:line="221" w:lineRule="auto"/>
              <w:ind w:left="182" w:right="0"/>
              <w:rPr>
                <w:rFonts w:hint="default"/>
              </w:rPr>
            </w:pPr>
            <w:r>
              <w:rPr>
                <w:rFonts w:hint="default"/>
                <w:spacing w:val="-1"/>
              </w:rPr>
              <w:t>蚀刻液/冷冻水</w:t>
            </w:r>
          </w:p>
        </w:tc>
        <w:tc>
          <w:tcPr>
            <w:tcW w:w="1200" w:type="dxa"/>
            <w:vAlign w:val="top"/>
          </w:tcPr>
          <w:p w14:paraId="110C2748">
            <w:pPr>
              <w:keepNext w:val="0"/>
              <w:keepLines w:val="0"/>
              <w:suppressLineNumbers w:val="0"/>
              <w:spacing w:before="0" w:beforeAutospacing="0" w:after="0" w:afterAutospacing="0" w:line="322" w:lineRule="auto"/>
              <w:ind w:left="0" w:right="0"/>
              <w:rPr>
                <w:rFonts w:hint="default" w:ascii="Arial"/>
                <w:sz w:val="21"/>
              </w:rPr>
            </w:pPr>
          </w:p>
          <w:p w14:paraId="300F7271">
            <w:pPr>
              <w:pStyle w:val="22"/>
              <w:keepNext w:val="0"/>
              <w:keepLines w:val="0"/>
              <w:suppressLineNumbers w:val="0"/>
              <w:spacing w:before="68" w:beforeAutospacing="0" w:after="0" w:afterAutospacing="0" w:line="183" w:lineRule="auto"/>
              <w:ind w:left="569" w:right="0"/>
              <w:rPr>
                <w:rFonts w:hint="default"/>
              </w:rPr>
            </w:pPr>
            <w:r>
              <w:rPr>
                <w:rFonts w:hint="default"/>
              </w:rPr>
              <w:t>1</w:t>
            </w:r>
          </w:p>
        </w:tc>
      </w:tr>
      <w:tr w14:paraId="73F7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65A20451">
            <w:pPr>
              <w:keepNext w:val="0"/>
              <w:keepLines w:val="0"/>
              <w:suppressLineNumbers w:val="0"/>
              <w:spacing w:before="0" w:beforeAutospacing="0" w:after="0" w:afterAutospacing="0" w:line="326" w:lineRule="auto"/>
              <w:ind w:left="0" w:right="0"/>
              <w:rPr>
                <w:rFonts w:hint="default" w:ascii="Arial"/>
                <w:sz w:val="21"/>
              </w:rPr>
            </w:pPr>
          </w:p>
          <w:p w14:paraId="77A8EB35">
            <w:pPr>
              <w:pStyle w:val="22"/>
              <w:keepNext w:val="0"/>
              <w:keepLines w:val="0"/>
              <w:suppressLineNumbers w:val="0"/>
              <w:spacing w:before="68" w:beforeAutospacing="0" w:after="0" w:afterAutospacing="0" w:line="181" w:lineRule="auto"/>
              <w:ind w:left="121" w:right="0"/>
              <w:rPr>
                <w:rFonts w:hint="default"/>
              </w:rPr>
            </w:pPr>
            <w:r>
              <w:rPr>
                <w:rFonts w:hint="default"/>
                <w:spacing w:val="-4"/>
              </w:rPr>
              <w:t>7.</w:t>
            </w:r>
          </w:p>
        </w:tc>
        <w:tc>
          <w:tcPr>
            <w:tcW w:w="1334" w:type="dxa"/>
            <w:vAlign w:val="top"/>
          </w:tcPr>
          <w:p w14:paraId="1347A5DD">
            <w:pPr>
              <w:keepNext w:val="0"/>
              <w:keepLines w:val="0"/>
              <w:suppressLineNumbers w:val="0"/>
              <w:spacing w:before="0" w:beforeAutospacing="0" w:after="0" w:afterAutospacing="0" w:line="323" w:lineRule="auto"/>
              <w:ind w:left="0" w:right="0"/>
              <w:rPr>
                <w:rFonts w:hint="default" w:ascii="Arial"/>
                <w:sz w:val="21"/>
              </w:rPr>
            </w:pPr>
          </w:p>
          <w:p w14:paraId="032F5760">
            <w:pPr>
              <w:pStyle w:val="22"/>
              <w:keepNext w:val="0"/>
              <w:keepLines w:val="0"/>
              <w:suppressLineNumbers w:val="0"/>
              <w:spacing w:before="69" w:beforeAutospacing="0" w:after="0" w:afterAutospacing="0" w:line="183" w:lineRule="auto"/>
              <w:ind w:left="250" w:right="0"/>
              <w:rPr>
                <w:rFonts w:hint="default"/>
              </w:rPr>
            </w:pPr>
            <w:r>
              <w:rPr>
                <w:rFonts w:hint="default"/>
                <w:spacing w:val="-1"/>
              </w:rPr>
              <w:t>E120101A</w:t>
            </w:r>
          </w:p>
        </w:tc>
        <w:tc>
          <w:tcPr>
            <w:tcW w:w="1950" w:type="dxa"/>
            <w:vAlign w:val="top"/>
          </w:tcPr>
          <w:p w14:paraId="682B783A">
            <w:pPr>
              <w:keepNext w:val="0"/>
              <w:keepLines w:val="0"/>
              <w:suppressLineNumbers w:val="0"/>
              <w:spacing w:before="0" w:beforeAutospacing="0" w:after="0" w:afterAutospacing="0" w:line="290" w:lineRule="auto"/>
              <w:ind w:left="0" w:right="0"/>
              <w:rPr>
                <w:rFonts w:hint="default" w:ascii="Arial"/>
                <w:sz w:val="21"/>
              </w:rPr>
            </w:pPr>
          </w:p>
          <w:p w14:paraId="61597FDE">
            <w:pPr>
              <w:pStyle w:val="22"/>
              <w:keepNext w:val="0"/>
              <w:keepLines w:val="0"/>
              <w:suppressLineNumbers w:val="0"/>
              <w:spacing w:before="68" w:beforeAutospacing="0" w:after="0" w:afterAutospacing="0" w:line="221" w:lineRule="auto"/>
              <w:ind w:left="115" w:right="0"/>
              <w:rPr>
                <w:rFonts w:hint="default"/>
              </w:rPr>
            </w:pPr>
            <w:r>
              <w:rPr>
                <w:rFonts w:hint="default"/>
                <w:spacing w:val="-2"/>
              </w:rPr>
              <w:t>液氨汽化器</w:t>
            </w:r>
          </w:p>
        </w:tc>
        <w:tc>
          <w:tcPr>
            <w:tcW w:w="2683" w:type="dxa"/>
            <w:vAlign w:val="top"/>
          </w:tcPr>
          <w:p w14:paraId="122DAF69">
            <w:pPr>
              <w:keepNext w:val="0"/>
              <w:keepLines w:val="0"/>
              <w:suppressLineNumbers w:val="0"/>
              <w:spacing w:before="0" w:beforeAutospacing="0" w:after="0" w:afterAutospacing="0" w:line="301" w:lineRule="auto"/>
              <w:ind w:left="0" w:right="0"/>
              <w:rPr>
                <w:rFonts w:hint="default" w:ascii="Arial"/>
                <w:sz w:val="21"/>
              </w:rPr>
            </w:pPr>
          </w:p>
          <w:p w14:paraId="0BA14082">
            <w:pPr>
              <w:pStyle w:val="22"/>
              <w:keepNext w:val="0"/>
              <w:keepLines w:val="0"/>
              <w:suppressLineNumbers w:val="0"/>
              <w:spacing w:before="62" w:beforeAutospacing="0" w:after="0" w:afterAutospacing="0" w:line="251" w:lineRule="exact"/>
              <w:ind w:left="485" w:right="0"/>
              <w:rPr>
                <w:rFonts w:hint="default"/>
                <w:sz w:val="19"/>
                <w:szCs w:val="19"/>
              </w:rPr>
            </w:pPr>
            <w:r>
              <w:rPr>
                <w:rFonts w:hint="default"/>
                <w:position w:val="1"/>
                <w:sz w:val="19"/>
                <w:szCs w:val="19"/>
              </w:rPr>
              <w:t>DN</w:t>
            </w:r>
            <w:r>
              <w:rPr>
                <w:rFonts w:hint="default"/>
                <w:spacing w:val="6"/>
                <w:position w:val="1"/>
                <w:sz w:val="19"/>
                <w:szCs w:val="19"/>
              </w:rPr>
              <w:t>1600</w:t>
            </w:r>
            <w:r>
              <w:rPr>
                <w:rFonts w:hint="default" w:ascii="Times New Roman" w:hAnsi="Times New Roman" w:eastAsia="Times New Roman" w:cs="Times New Roman"/>
                <w:spacing w:val="6"/>
                <w:position w:val="1"/>
                <w:sz w:val="19"/>
                <w:szCs w:val="19"/>
              </w:rPr>
              <w:t>×</w:t>
            </w:r>
            <w:r>
              <w:rPr>
                <w:rFonts w:hint="default"/>
                <w:spacing w:val="6"/>
                <w:position w:val="1"/>
                <w:sz w:val="19"/>
                <w:szCs w:val="19"/>
              </w:rPr>
              <w:t>3000(卧式)</w:t>
            </w:r>
          </w:p>
        </w:tc>
        <w:tc>
          <w:tcPr>
            <w:tcW w:w="1782" w:type="dxa"/>
            <w:vAlign w:val="top"/>
          </w:tcPr>
          <w:p w14:paraId="3EF094DC">
            <w:pPr>
              <w:pStyle w:val="22"/>
              <w:keepNext w:val="0"/>
              <w:keepLines w:val="0"/>
              <w:suppressLineNumbers w:val="0"/>
              <w:spacing w:before="222" w:beforeAutospacing="0" w:after="0" w:afterAutospacing="0" w:line="218" w:lineRule="auto"/>
              <w:ind w:left="118" w:right="0"/>
              <w:rPr>
                <w:rFonts w:hint="default"/>
              </w:rPr>
            </w:pPr>
            <w:r>
              <w:rPr>
                <w:rFonts w:hint="default"/>
                <w:spacing w:val="-9"/>
              </w:rPr>
              <w:t>管程：0.4,</w:t>
            </w:r>
            <w:r>
              <w:rPr>
                <w:rFonts w:hint="default"/>
                <w:spacing w:val="-26"/>
              </w:rPr>
              <w:t xml:space="preserve"> </w:t>
            </w:r>
            <w:r>
              <w:rPr>
                <w:rFonts w:hint="default"/>
                <w:spacing w:val="-9"/>
              </w:rPr>
              <w:t>100℃</w:t>
            </w:r>
          </w:p>
          <w:p w14:paraId="2ABCD8CF">
            <w:pPr>
              <w:pStyle w:val="22"/>
              <w:keepNext w:val="0"/>
              <w:keepLines w:val="0"/>
              <w:suppressLineNumbers w:val="0"/>
              <w:spacing w:before="24" w:beforeAutospacing="0" w:after="0" w:afterAutospacing="0" w:line="206" w:lineRule="auto"/>
              <w:ind w:left="119" w:right="0"/>
              <w:rPr>
                <w:rFonts w:hint="default"/>
              </w:rPr>
            </w:pPr>
            <w:r>
              <w:rPr>
                <w:rFonts w:hint="default"/>
                <w:spacing w:val="-2"/>
              </w:rPr>
              <w:t>壳程：0.5, 60℃</w:t>
            </w:r>
          </w:p>
        </w:tc>
        <w:tc>
          <w:tcPr>
            <w:tcW w:w="1800" w:type="dxa"/>
            <w:vAlign w:val="top"/>
          </w:tcPr>
          <w:p w14:paraId="4D7F450B">
            <w:pPr>
              <w:pStyle w:val="22"/>
              <w:keepNext w:val="0"/>
              <w:keepLines w:val="0"/>
              <w:suppressLineNumbers w:val="0"/>
              <w:spacing w:before="222" w:beforeAutospacing="0" w:after="0" w:afterAutospacing="0" w:line="218" w:lineRule="auto"/>
              <w:ind w:left="120" w:right="0"/>
              <w:rPr>
                <w:rFonts w:hint="default"/>
              </w:rPr>
            </w:pPr>
            <w:r>
              <w:rPr>
                <w:rFonts w:hint="default"/>
                <w:spacing w:val="-1"/>
              </w:rPr>
              <w:t>管程：0.2, 60℃</w:t>
            </w:r>
          </w:p>
          <w:p w14:paraId="308B1004">
            <w:pPr>
              <w:pStyle w:val="22"/>
              <w:keepNext w:val="0"/>
              <w:keepLines w:val="0"/>
              <w:suppressLineNumbers w:val="0"/>
              <w:spacing w:before="24" w:beforeAutospacing="0" w:after="0" w:afterAutospacing="0" w:line="206" w:lineRule="auto"/>
              <w:ind w:left="120" w:right="0"/>
              <w:rPr>
                <w:rFonts w:hint="default"/>
              </w:rPr>
            </w:pPr>
            <w:r>
              <w:rPr>
                <w:rFonts w:hint="default"/>
                <w:spacing w:val="-1"/>
              </w:rPr>
              <w:t>壳程：0.4, 60℃</w:t>
            </w:r>
          </w:p>
        </w:tc>
        <w:tc>
          <w:tcPr>
            <w:tcW w:w="1583" w:type="dxa"/>
            <w:vAlign w:val="top"/>
          </w:tcPr>
          <w:p w14:paraId="3C1FBCCB">
            <w:pPr>
              <w:keepNext w:val="0"/>
              <w:keepLines w:val="0"/>
              <w:suppressLineNumbers w:val="0"/>
              <w:spacing w:before="0" w:beforeAutospacing="0" w:after="0" w:afterAutospacing="0" w:line="324" w:lineRule="auto"/>
              <w:ind w:left="0" w:right="0"/>
              <w:rPr>
                <w:rFonts w:hint="default" w:ascii="Arial"/>
                <w:sz w:val="21"/>
              </w:rPr>
            </w:pPr>
          </w:p>
          <w:p w14:paraId="35B55BCB">
            <w:pPr>
              <w:pStyle w:val="22"/>
              <w:keepNext w:val="0"/>
              <w:keepLines w:val="0"/>
              <w:suppressLineNumbers w:val="0"/>
              <w:spacing w:before="69" w:beforeAutospacing="0" w:after="0" w:afterAutospacing="0" w:line="182" w:lineRule="auto"/>
              <w:ind w:left="645" w:right="0"/>
              <w:rPr>
                <w:rFonts w:hint="default"/>
              </w:rPr>
            </w:pPr>
            <w:r>
              <w:rPr>
                <w:rFonts w:hint="default"/>
                <w:spacing w:val="-4"/>
              </w:rPr>
              <w:t>304</w:t>
            </w:r>
          </w:p>
        </w:tc>
        <w:tc>
          <w:tcPr>
            <w:tcW w:w="1716" w:type="dxa"/>
            <w:vAlign w:val="top"/>
          </w:tcPr>
          <w:p w14:paraId="5A3BD73C">
            <w:pPr>
              <w:keepNext w:val="0"/>
              <w:keepLines w:val="0"/>
              <w:suppressLineNumbers w:val="0"/>
              <w:spacing w:before="0" w:beforeAutospacing="0" w:after="0" w:afterAutospacing="0" w:line="289" w:lineRule="auto"/>
              <w:ind w:left="0" w:right="0"/>
              <w:rPr>
                <w:rFonts w:hint="default" w:ascii="Arial"/>
                <w:sz w:val="21"/>
              </w:rPr>
            </w:pPr>
          </w:p>
          <w:p w14:paraId="4BC0768C">
            <w:pPr>
              <w:pStyle w:val="22"/>
              <w:keepNext w:val="0"/>
              <w:keepLines w:val="0"/>
              <w:suppressLineNumbers w:val="0"/>
              <w:spacing w:before="68" w:beforeAutospacing="0" w:after="0" w:afterAutospacing="0" w:line="221" w:lineRule="auto"/>
              <w:ind w:left="498" w:right="0"/>
              <w:rPr>
                <w:rFonts w:hint="default"/>
              </w:rPr>
            </w:pPr>
            <w:r>
              <w:rPr>
                <w:rFonts w:hint="default"/>
                <w:spacing w:val="-2"/>
              </w:rPr>
              <w:t>氨/热水</w:t>
            </w:r>
          </w:p>
        </w:tc>
        <w:tc>
          <w:tcPr>
            <w:tcW w:w="1200" w:type="dxa"/>
            <w:vAlign w:val="top"/>
          </w:tcPr>
          <w:p w14:paraId="20F4CD5A">
            <w:pPr>
              <w:keepNext w:val="0"/>
              <w:keepLines w:val="0"/>
              <w:suppressLineNumbers w:val="0"/>
              <w:spacing w:before="0" w:beforeAutospacing="0" w:after="0" w:afterAutospacing="0" w:line="323" w:lineRule="auto"/>
              <w:ind w:left="0" w:right="0"/>
              <w:rPr>
                <w:rFonts w:hint="default" w:ascii="Arial"/>
                <w:sz w:val="21"/>
              </w:rPr>
            </w:pPr>
          </w:p>
          <w:p w14:paraId="7585BEF5">
            <w:pPr>
              <w:pStyle w:val="22"/>
              <w:keepNext w:val="0"/>
              <w:keepLines w:val="0"/>
              <w:suppressLineNumbers w:val="0"/>
              <w:spacing w:before="68" w:beforeAutospacing="0" w:after="0" w:afterAutospacing="0" w:line="183" w:lineRule="auto"/>
              <w:ind w:left="569" w:right="0"/>
              <w:rPr>
                <w:rFonts w:hint="default"/>
              </w:rPr>
            </w:pPr>
            <w:r>
              <w:rPr>
                <w:rFonts w:hint="default"/>
              </w:rPr>
              <w:t>1</w:t>
            </w:r>
          </w:p>
        </w:tc>
      </w:tr>
      <w:tr w14:paraId="4D97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10FB7553">
            <w:pPr>
              <w:pStyle w:val="22"/>
              <w:keepNext w:val="0"/>
              <w:keepLines w:val="0"/>
              <w:suppressLineNumbers w:val="0"/>
              <w:spacing w:before="257" w:beforeAutospacing="0" w:after="0" w:afterAutospacing="0" w:line="175" w:lineRule="auto"/>
              <w:ind w:left="116" w:right="0"/>
              <w:rPr>
                <w:rFonts w:hint="default"/>
              </w:rPr>
            </w:pPr>
            <w:r>
              <w:rPr>
                <w:rFonts w:hint="default"/>
                <w:spacing w:val="-2"/>
              </w:rPr>
              <w:t>8.</w:t>
            </w:r>
          </w:p>
        </w:tc>
        <w:tc>
          <w:tcPr>
            <w:tcW w:w="1334" w:type="dxa"/>
            <w:vAlign w:val="top"/>
          </w:tcPr>
          <w:p w14:paraId="184B7934">
            <w:pPr>
              <w:pStyle w:val="22"/>
              <w:keepNext w:val="0"/>
              <w:keepLines w:val="0"/>
              <w:suppressLineNumbers w:val="0"/>
              <w:spacing w:before="256" w:beforeAutospacing="0" w:after="0" w:afterAutospacing="0" w:line="176" w:lineRule="auto"/>
              <w:ind w:left="144" w:right="0"/>
              <w:rPr>
                <w:rFonts w:hint="default"/>
              </w:rPr>
            </w:pPr>
            <w:r>
              <w:rPr>
                <w:rFonts w:hint="default"/>
                <w:spacing w:val="-1"/>
              </w:rPr>
              <w:t>T120101A-C</w:t>
            </w:r>
          </w:p>
        </w:tc>
        <w:tc>
          <w:tcPr>
            <w:tcW w:w="1950" w:type="dxa"/>
            <w:vAlign w:val="top"/>
          </w:tcPr>
          <w:p w14:paraId="7AB98B5C">
            <w:pPr>
              <w:pStyle w:val="22"/>
              <w:keepNext w:val="0"/>
              <w:keepLines w:val="0"/>
              <w:suppressLineNumbers w:val="0"/>
              <w:spacing w:before="222" w:beforeAutospacing="0" w:after="0" w:afterAutospacing="0" w:line="206" w:lineRule="auto"/>
              <w:ind w:left="115" w:right="0"/>
              <w:rPr>
                <w:rFonts w:hint="default"/>
              </w:rPr>
            </w:pPr>
            <w:r>
              <w:rPr>
                <w:rFonts w:hint="default"/>
                <w:spacing w:val="-1"/>
              </w:rPr>
              <w:t>气氨一级净化塔</w:t>
            </w:r>
          </w:p>
        </w:tc>
        <w:tc>
          <w:tcPr>
            <w:tcW w:w="2683" w:type="dxa"/>
            <w:vAlign w:val="top"/>
          </w:tcPr>
          <w:p w14:paraId="61EB26BE">
            <w:pPr>
              <w:pStyle w:val="22"/>
              <w:keepNext w:val="0"/>
              <w:keepLines w:val="0"/>
              <w:suppressLineNumbers w:val="0"/>
              <w:spacing w:before="230" w:beforeAutospacing="0" w:after="0" w:afterAutospacing="0" w:line="220" w:lineRule="auto"/>
              <w:ind w:left="792" w:right="0"/>
              <w:rPr>
                <w:rFonts w:hint="default"/>
                <w:sz w:val="19"/>
                <w:szCs w:val="19"/>
              </w:rPr>
            </w:pPr>
            <w:r>
              <w:rPr>
                <w:rFonts w:hint="default"/>
                <w:sz w:val="19"/>
                <w:szCs w:val="19"/>
              </w:rPr>
              <w:t>DN</w:t>
            </w:r>
            <w:r>
              <w:rPr>
                <w:rFonts w:hint="default"/>
                <w:spacing w:val="6"/>
                <w:sz w:val="19"/>
                <w:szCs w:val="19"/>
              </w:rPr>
              <w:t>500×6000</w:t>
            </w:r>
          </w:p>
        </w:tc>
        <w:tc>
          <w:tcPr>
            <w:tcW w:w="1782" w:type="dxa"/>
            <w:vAlign w:val="top"/>
          </w:tcPr>
          <w:p w14:paraId="17598D5C">
            <w:pPr>
              <w:pStyle w:val="22"/>
              <w:keepNext w:val="0"/>
              <w:keepLines w:val="0"/>
              <w:suppressLineNumbers w:val="0"/>
              <w:spacing w:before="222" w:beforeAutospacing="0" w:after="0" w:afterAutospacing="0" w:line="206" w:lineRule="auto"/>
              <w:ind w:left="477" w:right="0"/>
              <w:rPr>
                <w:rFonts w:hint="default"/>
              </w:rPr>
            </w:pPr>
            <w:r>
              <w:rPr>
                <w:rFonts w:hint="default"/>
                <w:spacing w:val="-1"/>
              </w:rPr>
              <w:t>0.3,80℃</w:t>
            </w:r>
          </w:p>
        </w:tc>
        <w:tc>
          <w:tcPr>
            <w:tcW w:w="1800" w:type="dxa"/>
            <w:vAlign w:val="top"/>
          </w:tcPr>
          <w:p w14:paraId="39F4E607">
            <w:pPr>
              <w:pStyle w:val="22"/>
              <w:keepNext w:val="0"/>
              <w:keepLines w:val="0"/>
              <w:suppressLineNumbers w:val="0"/>
              <w:spacing w:before="222" w:beforeAutospacing="0" w:after="0" w:afterAutospacing="0" w:line="206" w:lineRule="auto"/>
              <w:ind w:left="436" w:right="0"/>
              <w:rPr>
                <w:rFonts w:hint="default"/>
              </w:rPr>
            </w:pPr>
            <w:r>
              <w:rPr>
                <w:rFonts w:hint="default"/>
                <w:spacing w:val="-1"/>
              </w:rPr>
              <w:t>0.15,50℃</w:t>
            </w:r>
          </w:p>
        </w:tc>
        <w:tc>
          <w:tcPr>
            <w:tcW w:w="1583" w:type="dxa"/>
            <w:vAlign w:val="top"/>
          </w:tcPr>
          <w:p w14:paraId="6BD9D18C">
            <w:pPr>
              <w:pStyle w:val="22"/>
              <w:keepNext w:val="0"/>
              <w:keepLines w:val="0"/>
              <w:suppressLineNumbers w:val="0"/>
              <w:spacing w:before="257" w:beforeAutospacing="0" w:after="0" w:afterAutospacing="0" w:line="175" w:lineRule="auto"/>
              <w:ind w:left="645" w:right="0"/>
              <w:rPr>
                <w:rFonts w:hint="default"/>
              </w:rPr>
            </w:pPr>
            <w:r>
              <w:rPr>
                <w:rFonts w:hint="default"/>
                <w:spacing w:val="-4"/>
              </w:rPr>
              <w:t>304</w:t>
            </w:r>
          </w:p>
        </w:tc>
        <w:tc>
          <w:tcPr>
            <w:tcW w:w="1716" w:type="dxa"/>
            <w:vAlign w:val="top"/>
          </w:tcPr>
          <w:p w14:paraId="6FD60430">
            <w:pPr>
              <w:pStyle w:val="22"/>
              <w:keepNext w:val="0"/>
              <w:keepLines w:val="0"/>
              <w:suppressLineNumbers w:val="0"/>
              <w:spacing w:before="222" w:beforeAutospacing="0" w:after="0" w:afterAutospacing="0" w:line="206" w:lineRule="auto"/>
              <w:ind w:left="657" w:right="0"/>
              <w:rPr>
                <w:rFonts w:hint="default"/>
              </w:rPr>
            </w:pPr>
            <w:r>
              <w:rPr>
                <w:rFonts w:hint="default"/>
                <w:spacing w:val="-2"/>
              </w:rPr>
              <w:t>气氨</w:t>
            </w:r>
          </w:p>
        </w:tc>
        <w:tc>
          <w:tcPr>
            <w:tcW w:w="1200" w:type="dxa"/>
            <w:vAlign w:val="top"/>
          </w:tcPr>
          <w:p w14:paraId="3E449A31">
            <w:pPr>
              <w:pStyle w:val="22"/>
              <w:keepNext w:val="0"/>
              <w:keepLines w:val="0"/>
              <w:suppressLineNumbers w:val="0"/>
              <w:spacing w:before="257" w:beforeAutospacing="0" w:after="0" w:afterAutospacing="0" w:line="175" w:lineRule="auto"/>
              <w:ind w:left="558" w:right="0"/>
              <w:rPr>
                <w:rFonts w:hint="default"/>
              </w:rPr>
            </w:pPr>
            <w:r>
              <w:rPr>
                <w:rFonts w:hint="default"/>
              </w:rPr>
              <w:t>3</w:t>
            </w:r>
          </w:p>
        </w:tc>
      </w:tr>
      <w:tr w14:paraId="4CFB4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461" w:type="dxa"/>
            <w:vAlign w:val="top"/>
          </w:tcPr>
          <w:p w14:paraId="06D62E63">
            <w:pPr>
              <w:keepNext w:val="0"/>
              <w:keepLines w:val="0"/>
              <w:suppressLineNumbers w:val="0"/>
              <w:spacing w:before="0" w:beforeAutospacing="0" w:after="0" w:afterAutospacing="0" w:line="325" w:lineRule="auto"/>
              <w:ind w:left="0" w:right="0"/>
              <w:rPr>
                <w:rFonts w:hint="default" w:ascii="Arial"/>
                <w:sz w:val="21"/>
              </w:rPr>
            </w:pPr>
          </w:p>
          <w:p w14:paraId="519A2310">
            <w:pPr>
              <w:pStyle w:val="22"/>
              <w:keepNext w:val="0"/>
              <w:keepLines w:val="0"/>
              <w:suppressLineNumbers w:val="0"/>
              <w:spacing w:before="68" w:beforeAutospacing="0" w:after="0" w:afterAutospacing="0" w:line="182" w:lineRule="auto"/>
              <w:ind w:left="116" w:right="0"/>
              <w:rPr>
                <w:rFonts w:hint="default"/>
              </w:rPr>
            </w:pPr>
            <w:r>
              <w:rPr>
                <w:rFonts w:hint="default"/>
                <w:spacing w:val="-2"/>
              </w:rPr>
              <w:t>9.</w:t>
            </w:r>
          </w:p>
        </w:tc>
        <w:tc>
          <w:tcPr>
            <w:tcW w:w="1334" w:type="dxa"/>
            <w:vAlign w:val="top"/>
          </w:tcPr>
          <w:p w14:paraId="5594BB2C">
            <w:pPr>
              <w:keepNext w:val="0"/>
              <w:keepLines w:val="0"/>
              <w:suppressLineNumbers w:val="0"/>
              <w:spacing w:before="0" w:beforeAutospacing="0" w:after="0" w:afterAutospacing="0" w:line="324" w:lineRule="auto"/>
              <w:ind w:left="0" w:right="0"/>
              <w:rPr>
                <w:rFonts w:hint="default" w:ascii="Arial"/>
                <w:sz w:val="21"/>
              </w:rPr>
            </w:pPr>
          </w:p>
          <w:p w14:paraId="0D968659">
            <w:pPr>
              <w:pStyle w:val="22"/>
              <w:keepNext w:val="0"/>
              <w:keepLines w:val="0"/>
              <w:suppressLineNumbers w:val="0"/>
              <w:spacing w:before="68" w:beforeAutospacing="0" w:after="0" w:afterAutospacing="0" w:line="183" w:lineRule="auto"/>
              <w:ind w:left="250" w:right="0"/>
              <w:rPr>
                <w:rFonts w:hint="default"/>
              </w:rPr>
            </w:pPr>
            <w:r>
              <w:rPr>
                <w:rFonts w:hint="default"/>
                <w:spacing w:val="-1"/>
              </w:rPr>
              <w:t>E120102A</w:t>
            </w:r>
          </w:p>
        </w:tc>
        <w:tc>
          <w:tcPr>
            <w:tcW w:w="1950" w:type="dxa"/>
            <w:vAlign w:val="top"/>
          </w:tcPr>
          <w:p w14:paraId="4587AFFF">
            <w:pPr>
              <w:keepNext w:val="0"/>
              <w:keepLines w:val="0"/>
              <w:suppressLineNumbers w:val="0"/>
              <w:spacing w:before="0" w:beforeAutospacing="0" w:after="0" w:afterAutospacing="0" w:line="290" w:lineRule="auto"/>
              <w:ind w:left="0" w:right="0"/>
              <w:rPr>
                <w:rFonts w:hint="default" w:ascii="Arial"/>
                <w:sz w:val="21"/>
              </w:rPr>
            </w:pPr>
          </w:p>
          <w:p w14:paraId="606DB443">
            <w:pPr>
              <w:pStyle w:val="22"/>
              <w:keepNext w:val="0"/>
              <w:keepLines w:val="0"/>
              <w:suppressLineNumbers w:val="0"/>
              <w:spacing w:before="69" w:beforeAutospacing="0" w:after="0" w:afterAutospacing="0" w:line="221" w:lineRule="auto"/>
              <w:ind w:left="115" w:right="0"/>
              <w:rPr>
                <w:rFonts w:hint="default"/>
              </w:rPr>
            </w:pPr>
            <w:r>
              <w:rPr>
                <w:rFonts w:hint="default"/>
                <w:spacing w:val="-1"/>
              </w:rPr>
              <w:t>气氨一级冷却器</w:t>
            </w:r>
          </w:p>
        </w:tc>
        <w:tc>
          <w:tcPr>
            <w:tcW w:w="2683" w:type="dxa"/>
            <w:vAlign w:val="top"/>
          </w:tcPr>
          <w:p w14:paraId="54C3CAD8">
            <w:pPr>
              <w:keepNext w:val="0"/>
              <w:keepLines w:val="0"/>
              <w:suppressLineNumbers w:val="0"/>
              <w:spacing w:before="0" w:beforeAutospacing="0" w:after="0" w:afterAutospacing="0" w:line="335" w:lineRule="auto"/>
              <w:ind w:left="0" w:right="0"/>
              <w:rPr>
                <w:rFonts w:hint="default" w:ascii="Arial"/>
                <w:sz w:val="21"/>
              </w:rPr>
            </w:pPr>
          </w:p>
          <w:p w14:paraId="4C43CAD8">
            <w:pPr>
              <w:pStyle w:val="22"/>
              <w:keepNext w:val="0"/>
              <w:keepLines w:val="0"/>
              <w:suppressLineNumbers w:val="0"/>
              <w:spacing w:before="62" w:beforeAutospacing="0" w:after="0" w:afterAutospacing="0" w:line="231" w:lineRule="auto"/>
              <w:ind w:left="835" w:right="0"/>
              <w:rPr>
                <w:rFonts w:hint="default"/>
                <w:sz w:val="19"/>
                <w:szCs w:val="19"/>
              </w:rPr>
            </w:pPr>
            <w:r>
              <w:rPr>
                <w:rFonts w:hint="default"/>
                <w:sz w:val="19"/>
                <w:szCs w:val="19"/>
              </w:rPr>
              <w:t>DN</w:t>
            </w:r>
            <w:r>
              <w:rPr>
                <w:rFonts w:hint="default"/>
                <w:spacing w:val="6"/>
                <w:sz w:val="19"/>
                <w:szCs w:val="19"/>
              </w:rPr>
              <w:t>300</w:t>
            </w:r>
            <w:r>
              <w:rPr>
                <w:rFonts w:hint="default" w:ascii="Times New Roman" w:hAnsi="Times New Roman" w:eastAsia="Times New Roman" w:cs="Times New Roman"/>
                <w:spacing w:val="6"/>
                <w:sz w:val="19"/>
                <w:szCs w:val="19"/>
              </w:rPr>
              <w:t>×</w:t>
            </w:r>
            <w:r>
              <w:rPr>
                <w:rFonts w:hint="default"/>
                <w:spacing w:val="6"/>
                <w:sz w:val="19"/>
                <w:szCs w:val="19"/>
              </w:rPr>
              <w:t>3500</w:t>
            </w:r>
          </w:p>
        </w:tc>
        <w:tc>
          <w:tcPr>
            <w:tcW w:w="1782" w:type="dxa"/>
            <w:vAlign w:val="top"/>
          </w:tcPr>
          <w:p w14:paraId="6AC0BB0C">
            <w:pPr>
              <w:pStyle w:val="22"/>
              <w:keepNext w:val="0"/>
              <w:keepLines w:val="0"/>
              <w:suppressLineNumbers w:val="0"/>
              <w:spacing w:before="223" w:beforeAutospacing="0" w:after="0" w:afterAutospacing="0" w:line="218" w:lineRule="auto"/>
              <w:ind w:left="118" w:right="0"/>
              <w:rPr>
                <w:rFonts w:hint="default"/>
              </w:rPr>
            </w:pPr>
            <w:r>
              <w:rPr>
                <w:rFonts w:hint="default"/>
                <w:spacing w:val="-9"/>
              </w:rPr>
              <w:t>管程：0.4,</w:t>
            </w:r>
            <w:r>
              <w:rPr>
                <w:rFonts w:hint="default"/>
                <w:spacing w:val="-26"/>
              </w:rPr>
              <w:t xml:space="preserve"> </w:t>
            </w:r>
            <w:r>
              <w:rPr>
                <w:rFonts w:hint="default"/>
                <w:spacing w:val="-9"/>
              </w:rPr>
              <w:t>100℃</w:t>
            </w:r>
          </w:p>
          <w:p w14:paraId="6DCDB920">
            <w:pPr>
              <w:pStyle w:val="22"/>
              <w:keepNext w:val="0"/>
              <w:keepLines w:val="0"/>
              <w:suppressLineNumbers w:val="0"/>
              <w:spacing w:before="26" w:beforeAutospacing="0" w:after="0" w:afterAutospacing="0" w:line="207" w:lineRule="auto"/>
              <w:ind w:left="119" w:right="0"/>
              <w:rPr>
                <w:rFonts w:hint="default"/>
              </w:rPr>
            </w:pPr>
            <w:r>
              <w:rPr>
                <w:rFonts w:hint="default"/>
                <w:spacing w:val="-2"/>
              </w:rPr>
              <w:t>壳程：0.5, 60℃</w:t>
            </w:r>
          </w:p>
        </w:tc>
        <w:tc>
          <w:tcPr>
            <w:tcW w:w="1800" w:type="dxa"/>
            <w:vAlign w:val="top"/>
          </w:tcPr>
          <w:p w14:paraId="41DD4E18">
            <w:pPr>
              <w:pStyle w:val="22"/>
              <w:keepNext w:val="0"/>
              <w:keepLines w:val="0"/>
              <w:suppressLineNumbers w:val="0"/>
              <w:spacing w:before="223" w:beforeAutospacing="0" w:after="0" w:afterAutospacing="0" w:line="218" w:lineRule="auto"/>
              <w:ind w:left="120" w:right="0"/>
              <w:rPr>
                <w:rFonts w:hint="default"/>
              </w:rPr>
            </w:pPr>
            <w:r>
              <w:rPr>
                <w:rFonts w:hint="default"/>
                <w:spacing w:val="-1"/>
              </w:rPr>
              <w:t>管程：0.2, 60℃</w:t>
            </w:r>
          </w:p>
          <w:p w14:paraId="02244F7E">
            <w:pPr>
              <w:pStyle w:val="22"/>
              <w:keepNext w:val="0"/>
              <w:keepLines w:val="0"/>
              <w:suppressLineNumbers w:val="0"/>
              <w:spacing w:before="26" w:beforeAutospacing="0" w:after="0" w:afterAutospacing="0" w:line="207" w:lineRule="auto"/>
              <w:ind w:left="120" w:right="0"/>
              <w:rPr>
                <w:rFonts w:hint="default"/>
              </w:rPr>
            </w:pPr>
            <w:r>
              <w:rPr>
                <w:rFonts w:hint="default"/>
                <w:spacing w:val="-1"/>
              </w:rPr>
              <w:t>壳程：0.4, 5℃</w:t>
            </w:r>
          </w:p>
        </w:tc>
        <w:tc>
          <w:tcPr>
            <w:tcW w:w="1583" w:type="dxa"/>
            <w:vAlign w:val="top"/>
          </w:tcPr>
          <w:p w14:paraId="378510BB">
            <w:pPr>
              <w:keepNext w:val="0"/>
              <w:keepLines w:val="0"/>
              <w:suppressLineNumbers w:val="0"/>
              <w:spacing w:before="0" w:beforeAutospacing="0" w:after="0" w:afterAutospacing="0" w:line="325" w:lineRule="auto"/>
              <w:ind w:left="0" w:right="0"/>
              <w:rPr>
                <w:rFonts w:hint="default" w:ascii="Arial"/>
                <w:sz w:val="21"/>
              </w:rPr>
            </w:pPr>
          </w:p>
          <w:p w14:paraId="1F335749">
            <w:pPr>
              <w:pStyle w:val="22"/>
              <w:keepNext w:val="0"/>
              <w:keepLines w:val="0"/>
              <w:suppressLineNumbers w:val="0"/>
              <w:spacing w:before="68" w:beforeAutospacing="0" w:after="0" w:afterAutospacing="0" w:line="182" w:lineRule="auto"/>
              <w:ind w:left="645" w:right="0"/>
              <w:rPr>
                <w:rFonts w:hint="default"/>
              </w:rPr>
            </w:pPr>
            <w:r>
              <w:rPr>
                <w:rFonts w:hint="default"/>
                <w:spacing w:val="-4"/>
              </w:rPr>
              <w:t>304</w:t>
            </w:r>
          </w:p>
        </w:tc>
        <w:tc>
          <w:tcPr>
            <w:tcW w:w="1716" w:type="dxa"/>
            <w:vAlign w:val="top"/>
          </w:tcPr>
          <w:p w14:paraId="0E74F1B3">
            <w:pPr>
              <w:keepNext w:val="0"/>
              <w:keepLines w:val="0"/>
              <w:suppressLineNumbers w:val="0"/>
              <w:spacing w:before="0" w:beforeAutospacing="0" w:after="0" w:afterAutospacing="0" w:line="289" w:lineRule="auto"/>
              <w:ind w:left="0" w:right="0"/>
              <w:rPr>
                <w:rFonts w:hint="default" w:ascii="Arial"/>
                <w:sz w:val="21"/>
              </w:rPr>
            </w:pPr>
          </w:p>
          <w:p w14:paraId="30C1B2E3">
            <w:pPr>
              <w:pStyle w:val="22"/>
              <w:keepNext w:val="0"/>
              <w:keepLines w:val="0"/>
              <w:suppressLineNumbers w:val="0"/>
              <w:spacing w:before="69" w:beforeAutospacing="0" w:after="0" w:afterAutospacing="0" w:line="221" w:lineRule="auto"/>
              <w:ind w:left="289" w:right="0"/>
              <w:rPr>
                <w:rFonts w:hint="default"/>
              </w:rPr>
            </w:pPr>
            <w:r>
              <w:rPr>
                <w:rFonts w:hint="default"/>
                <w:spacing w:val="-1"/>
              </w:rPr>
              <w:t>氨水/冷冻水</w:t>
            </w:r>
          </w:p>
        </w:tc>
        <w:tc>
          <w:tcPr>
            <w:tcW w:w="1200" w:type="dxa"/>
            <w:vAlign w:val="top"/>
          </w:tcPr>
          <w:p w14:paraId="6749715B">
            <w:pPr>
              <w:keepNext w:val="0"/>
              <w:keepLines w:val="0"/>
              <w:suppressLineNumbers w:val="0"/>
              <w:spacing w:before="0" w:beforeAutospacing="0" w:after="0" w:afterAutospacing="0" w:line="325" w:lineRule="auto"/>
              <w:ind w:left="0" w:right="0"/>
              <w:rPr>
                <w:rFonts w:hint="default" w:ascii="Arial"/>
                <w:sz w:val="21"/>
              </w:rPr>
            </w:pPr>
          </w:p>
          <w:p w14:paraId="22997D91">
            <w:pPr>
              <w:pStyle w:val="22"/>
              <w:keepNext w:val="0"/>
              <w:keepLines w:val="0"/>
              <w:suppressLineNumbers w:val="0"/>
              <w:spacing w:before="68" w:beforeAutospacing="0" w:after="0" w:afterAutospacing="0" w:line="182" w:lineRule="auto"/>
              <w:ind w:left="558" w:right="0"/>
              <w:rPr>
                <w:rFonts w:hint="default"/>
              </w:rPr>
            </w:pPr>
            <w:r>
              <w:rPr>
                <w:rFonts w:hint="default"/>
              </w:rPr>
              <w:t>3</w:t>
            </w:r>
          </w:p>
        </w:tc>
      </w:tr>
    </w:tbl>
    <w:p w14:paraId="72631D4D">
      <w:pPr>
        <w:pStyle w:val="6"/>
      </w:pPr>
    </w:p>
    <w:p w14:paraId="3839ADB7">
      <w:pPr>
        <w:sectPr>
          <w:headerReference r:id="rId19" w:type="default"/>
          <w:footerReference r:id="rId20" w:type="default"/>
          <w:pgSz w:w="16839" w:h="11907"/>
          <w:pgMar w:top="1120" w:right="1303" w:bottom="946" w:left="1020" w:header="809" w:footer="685" w:gutter="0"/>
          <w:cols w:space="720" w:num="1"/>
        </w:sectPr>
      </w:pPr>
    </w:p>
    <w:p w14:paraId="0F2509DE">
      <w:pPr>
        <w:spacing w:before="227"/>
      </w:pP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334"/>
        <w:gridCol w:w="1950"/>
        <w:gridCol w:w="2683"/>
        <w:gridCol w:w="1782"/>
        <w:gridCol w:w="1800"/>
        <w:gridCol w:w="1583"/>
        <w:gridCol w:w="1716"/>
        <w:gridCol w:w="1200"/>
      </w:tblGrid>
      <w:tr w14:paraId="20605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461" w:type="dxa"/>
            <w:textDirection w:val="tbRlV"/>
            <w:vAlign w:val="top"/>
          </w:tcPr>
          <w:p w14:paraId="0DF22699">
            <w:pPr>
              <w:pStyle w:val="22"/>
              <w:keepNext w:val="0"/>
              <w:keepLines w:val="0"/>
              <w:suppressLineNumbers w:val="0"/>
              <w:spacing w:before="122" w:beforeAutospacing="0" w:after="0" w:afterAutospacing="0" w:line="211" w:lineRule="auto"/>
              <w:ind w:left="0" w:right="36"/>
              <w:jc w:val="right"/>
              <w:rPr>
                <w:rFonts w:hint="default"/>
              </w:rPr>
            </w:pPr>
            <w:r>
              <w:rPr>
                <w:rFonts w:hint="default"/>
                <w:spacing w:val="31"/>
              </w:rPr>
              <w:t>序号</w:t>
            </w:r>
          </w:p>
        </w:tc>
        <w:tc>
          <w:tcPr>
            <w:tcW w:w="1334" w:type="dxa"/>
            <w:vAlign w:val="top"/>
          </w:tcPr>
          <w:p w14:paraId="4648D885">
            <w:pPr>
              <w:keepNext w:val="0"/>
              <w:keepLines w:val="0"/>
              <w:suppressLineNumbers w:val="0"/>
              <w:spacing w:before="0" w:beforeAutospacing="0" w:after="0" w:afterAutospacing="0" w:line="290" w:lineRule="auto"/>
              <w:ind w:left="0" w:right="0"/>
              <w:rPr>
                <w:rFonts w:hint="default" w:ascii="Arial"/>
                <w:sz w:val="21"/>
              </w:rPr>
            </w:pPr>
          </w:p>
          <w:p w14:paraId="34FE4C89">
            <w:pPr>
              <w:pStyle w:val="22"/>
              <w:keepNext w:val="0"/>
              <w:keepLines w:val="0"/>
              <w:suppressLineNumbers w:val="0"/>
              <w:spacing w:before="69" w:beforeAutospacing="0" w:after="0" w:afterAutospacing="0" w:line="222" w:lineRule="auto"/>
              <w:ind w:left="113" w:right="0"/>
              <w:rPr>
                <w:rFonts w:hint="default"/>
              </w:rPr>
            </w:pPr>
            <w:r>
              <w:rPr>
                <w:rFonts w:hint="default"/>
                <w:spacing w:val="-2"/>
              </w:rPr>
              <w:t>位号</w:t>
            </w:r>
          </w:p>
        </w:tc>
        <w:tc>
          <w:tcPr>
            <w:tcW w:w="1950" w:type="dxa"/>
            <w:vAlign w:val="top"/>
          </w:tcPr>
          <w:p w14:paraId="3E7D5F98">
            <w:pPr>
              <w:keepNext w:val="0"/>
              <w:keepLines w:val="0"/>
              <w:suppressLineNumbers w:val="0"/>
              <w:spacing w:before="0" w:beforeAutospacing="0" w:after="0" w:afterAutospacing="0" w:line="290" w:lineRule="auto"/>
              <w:ind w:left="0" w:right="0"/>
              <w:rPr>
                <w:rFonts w:hint="default" w:ascii="Arial"/>
                <w:sz w:val="21"/>
              </w:rPr>
            </w:pPr>
          </w:p>
          <w:p w14:paraId="5016FDCB">
            <w:pPr>
              <w:pStyle w:val="22"/>
              <w:keepNext w:val="0"/>
              <w:keepLines w:val="0"/>
              <w:suppressLineNumbers w:val="0"/>
              <w:spacing w:before="69" w:beforeAutospacing="0" w:after="0" w:afterAutospacing="0" w:line="222" w:lineRule="auto"/>
              <w:ind w:left="117" w:right="0"/>
              <w:rPr>
                <w:rFonts w:hint="default"/>
              </w:rPr>
            </w:pPr>
            <w:r>
              <w:rPr>
                <w:rFonts w:hint="default"/>
                <w:spacing w:val="-3"/>
              </w:rPr>
              <w:t>设备名称</w:t>
            </w:r>
          </w:p>
        </w:tc>
        <w:tc>
          <w:tcPr>
            <w:tcW w:w="2683" w:type="dxa"/>
            <w:vAlign w:val="top"/>
          </w:tcPr>
          <w:p w14:paraId="4B7CFFDD">
            <w:pPr>
              <w:keepNext w:val="0"/>
              <w:keepLines w:val="0"/>
              <w:suppressLineNumbers w:val="0"/>
              <w:spacing w:before="0" w:beforeAutospacing="0" w:after="0" w:afterAutospacing="0" w:line="290" w:lineRule="auto"/>
              <w:ind w:left="0" w:right="0"/>
              <w:rPr>
                <w:rFonts w:hint="default" w:ascii="Arial"/>
                <w:sz w:val="21"/>
              </w:rPr>
            </w:pPr>
          </w:p>
          <w:p w14:paraId="435AB8E5">
            <w:pPr>
              <w:pStyle w:val="22"/>
              <w:keepNext w:val="0"/>
              <w:keepLines w:val="0"/>
              <w:suppressLineNumbers w:val="0"/>
              <w:spacing w:before="68" w:beforeAutospacing="0" w:after="0" w:afterAutospacing="0" w:line="221" w:lineRule="auto"/>
              <w:ind w:left="928" w:right="0"/>
              <w:rPr>
                <w:rFonts w:hint="default"/>
              </w:rPr>
            </w:pPr>
            <w:r>
              <w:rPr>
                <w:rFonts w:hint="default"/>
                <w:spacing w:val="-2"/>
              </w:rPr>
              <w:t>规格型号</w:t>
            </w:r>
          </w:p>
        </w:tc>
        <w:tc>
          <w:tcPr>
            <w:tcW w:w="1782" w:type="dxa"/>
            <w:vAlign w:val="top"/>
          </w:tcPr>
          <w:p w14:paraId="02CBBEF3">
            <w:pPr>
              <w:pStyle w:val="22"/>
              <w:keepNext w:val="0"/>
              <w:keepLines w:val="0"/>
              <w:suppressLineNumbers w:val="0"/>
              <w:spacing w:before="223" w:beforeAutospacing="0" w:after="0" w:afterAutospacing="0" w:line="224" w:lineRule="auto"/>
              <w:ind w:left="164" w:right="214" w:hanging="47"/>
              <w:rPr>
                <w:rFonts w:hint="default"/>
              </w:rPr>
            </w:pPr>
            <w:r>
              <w:rPr>
                <w:rFonts w:hint="default"/>
                <w:spacing w:val="-3"/>
              </w:rPr>
              <w:t>设计压力（MPɑ)</w:t>
            </w:r>
            <w:r>
              <w:rPr>
                <w:rFonts w:hint="default"/>
                <w:spacing w:val="1"/>
              </w:rPr>
              <w:t xml:space="preserve"> </w:t>
            </w:r>
            <w:r>
              <w:rPr>
                <w:rFonts w:hint="default"/>
                <w:spacing w:val="11"/>
              </w:rPr>
              <w:t>设计温度(℃)</w:t>
            </w:r>
          </w:p>
        </w:tc>
        <w:tc>
          <w:tcPr>
            <w:tcW w:w="1800" w:type="dxa"/>
            <w:vAlign w:val="top"/>
          </w:tcPr>
          <w:p w14:paraId="69C29065">
            <w:pPr>
              <w:pStyle w:val="22"/>
              <w:keepNext w:val="0"/>
              <w:keepLines w:val="0"/>
              <w:suppressLineNumbers w:val="0"/>
              <w:spacing w:before="223" w:beforeAutospacing="0" w:after="0" w:afterAutospacing="0" w:line="224" w:lineRule="auto"/>
              <w:ind w:left="172" w:right="26" w:hanging="55"/>
              <w:rPr>
                <w:rFonts w:hint="default"/>
              </w:rPr>
            </w:pPr>
            <w:r>
              <w:rPr>
                <w:rFonts w:hint="default"/>
                <w:spacing w:val="-11"/>
              </w:rPr>
              <w:t>工作压力（MPɑ)</w:t>
            </w:r>
            <w:r>
              <w:rPr>
                <w:rFonts w:hint="default"/>
                <w:spacing w:val="-26"/>
              </w:rPr>
              <w:t xml:space="preserve"> </w:t>
            </w:r>
            <w:r>
              <w:rPr>
                <w:rFonts w:hint="default"/>
                <w:spacing w:val="-11"/>
              </w:rPr>
              <w:t>、</w:t>
            </w:r>
            <w:r>
              <w:rPr>
                <w:rFonts w:hint="default"/>
              </w:rPr>
              <w:t xml:space="preserve"> </w:t>
            </w:r>
            <w:r>
              <w:rPr>
                <w:rFonts w:hint="default"/>
                <w:spacing w:val="11"/>
              </w:rPr>
              <w:t>工作温度(℃)</w:t>
            </w:r>
          </w:p>
        </w:tc>
        <w:tc>
          <w:tcPr>
            <w:tcW w:w="1583" w:type="dxa"/>
            <w:vAlign w:val="top"/>
          </w:tcPr>
          <w:p w14:paraId="25D0C524">
            <w:pPr>
              <w:keepNext w:val="0"/>
              <w:keepLines w:val="0"/>
              <w:suppressLineNumbers w:val="0"/>
              <w:spacing w:before="0" w:beforeAutospacing="0" w:after="0" w:afterAutospacing="0" w:line="290" w:lineRule="auto"/>
              <w:ind w:left="0" w:right="0"/>
              <w:rPr>
                <w:rFonts w:hint="default" w:ascii="Arial"/>
                <w:sz w:val="21"/>
              </w:rPr>
            </w:pPr>
          </w:p>
          <w:p w14:paraId="10ABE535">
            <w:pPr>
              <w:pStyle w:val="22"/>
              <w:keepNext w:val="0"/>
              <w:keepLines w:val="0"/>
              <w:suppressLineNumbers w:val="0"/>
              <w:spacing w:before="68" w:beforeAutospacing="0" w:after="0" w:afterAutospacing="0" w:line="220" w:lineRule="auto"/>
              <w:ind w:left="588" w:right="0"/>
              <w:rPr>
                <w:rFonts w:hint="default"/>
              </w:rPr>
            </w:pPr>
            <w:r>
              <w:rPr>
                <w:rFonts w:hint="default"/>
                <w:spacing w:val="-2"/>
              </w:rPr>
              <w:t>材质</w:t>
            </w:r>
          </w:p>
        </w:tc>
        <w:tc>
          <w:tcPr>
            <w:tcW w:w="1716" w:type="dxa"/>
            <w:vAlign w:val="top"/>
          </w:tcPr>
          <w:p w14:paraId="5DFD0F21">
            <w:pPr>
              <w:keepNext w:val="0"/>
              <w:keepLines w:val="0"/>
              <w:suppressLineNumbers w:val="0"/>
              <w:spacing w:before="0" w:beforeAutospacing="0" w:after="0" w:afterAutospacing="0" w:line="290" w:lineRule="auto"/>
              <w:ind w:left="0" w:right="0"/>
              <w:rPr>
                <w:rFonts w:hint="default" w:ascii="Arial"/>
                <w:sz w:val="21"/>
              </w:rPr>
            </w:pPr>
          </w:p>
          <w:p w14:paraId="599073D4">
            <w:pPr>
              <w:pStyle w:val="22"/>
              <w:keepNext w:val="0"/>
              <w:keepLines w:val="0"/>
              <w:suppressLineNumbers w:val="0"/>
              <w:spacing w:before="68" w:beforeAutospacing="0" w:after="0" w:afterAutospacing="0" w:line="220" w:lineRule="auto"/>
              <w:ind w:left="657" w:right="0"/>
              <w:rPr>
                <w:rFonts w:hint="default"/>
              </w:rPr>
            </w:pPr>
            <w:r>
              <w:rPr>
                <w:rFonts w:hint="default"/>
                <w:spacing w:val="-2"/>
              </w:rPr>
              <w:t>介质</w:t>
            </w:r>
          </w:p>
        </w:tc>
        <w:tc>
          <w:tcPr>
            <w:tcW w:w="1200" w:type="dxa"/>
            <w:vAlign w:val="top"/>
          </w:tcPr>
          <w:p w14:paraId="5295280A">
            <w:pPr>
              <w:keepNext w:val="0"/>
              <w:keepLines w:val="0"/>
              <w:suppressLineNumbers w:val="0"/>
              <w:spacing w:before="0" w:beforeAutospacing="0" w:after="0" w:afterAutospacing="0" w:line="290" w:lineRule="auto"/>
              <w:ind w:left="0" w:right="0"/>
              <w:rPr>
                <w:rFonts w:hint="default" w:ascii="Arial"/>
                <w:sz w:val="21"/>
              </w:rPr>
            </w:pPr>
          </w:p>
          <w:p w14:paraId="172DFFFD">
            <w:pPr>
              <w:pStyle w:val="22"/>
              <w:keepNext w:val="0"/>
              <w:keepLines w:val="0"/>
              <w:suppressLineNumbers w:val="0"/>
              <w:spacing w:before="68" w:beforeAutospacing="0" w:after="0" w:afterAutospacing="0" w:line="221" w:lineRule="auto"/>
              <w:ind w:left="397" w:right="0"/>
              <w:rPr>
                <w:rFonts w:hint="default"/>
              </w:rPr>
            </w:pPr>
            <w:r>
              <w:rPr>
                <w:rFonts w:hint="default"/>
                <w:spacing w:val="-2"/>
              </w:rPr>
              <w:t>数量</w:t>
            </w:r>
          </w:p>
        </w:tc>
      </w:tr>
      <w:tr w14:paraId="01C97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3E2AD9FE">
            <w:pPr>
              <w:pStyle w:val="22"/>
              <w:keepNext w:val="0"/>
              <w:keepLines w:val="0"/>
              <w:suppressLineNumbers w:val="0"/>
              <w:spacing w:before="254" w:beforeAutospacing="0" w:after="0" w:afterAutospacing="0" w:line="178" w:lineRule="auto"/>
              <w:ind w:left="131" w:right="0"/>
              <w:rPr>
                <w:rFonts w:hint="default"/>
              </w:rPr>
            </w:pPr>
            <w:r>
              <w:rPr>
                <w:rFonts w:hint="default"/>
                <w:spacing w:val="-5"/>
              </w:rPr>
              <w:t>10.</w:t>
            </w:r>
          </w:p>
        </w:tc>
        <w:tc>
          <w:tcPr>
            <w:tcW w:w="1334" w:type="dxa"/>
            <w:vAlign w:val="top"/>
          </w:tcPr>
          <w:p w14:paraId="362027DF">
            <w:pPr>
              <w:pStyle w:val="22"/>
              <w:keepNext w:val="0"/>
              <w:keepLines w:val="0"/>
              <w:suppressLineNumbers w:val="0"/>
              <w:spacing w:before="253" w:beforeAutospacing="0" w:after="0" w:afterAutospacing="0" w:line="179" w:lineRule="auto"/>
              <w:ind w:left="144" w:right="0"/>
              <w:rPr>
                <w:rFonts w:hint="default"/>
              </w:rPr>
            </w:pPr>
            <w:r>
              <w:rPr>
                <w:rFonts w:hint="default"/>
                <w:spacing w:val="-1"/>
              </w:rPr>
              <w:t>T120102A-C</w:t>
            </w:r>
          </w:p>
        </w:tc>
        <w:tc>
          <w:tcPr>
            <w:tcW w:w="1950" w:type="dxa"/>
            <w:vAlign w:val="top"/>
          </w:tcPr>
          <w:p w14:paraId="2591F179">
            <w:pPr>
              <w:pStyle w:val="22"/>
              <w:keepNext w:val="0"/>
              <w:keepLines w:val="0"/>
              <w:suppressLineNumbers w:val="0"/>
              <w:spacing w:before="220" w:beforeAutospacing="0" w:after="0" w:afterAutospacing="0" w:line="208" w:lineRule="auto"/>
              <w:ind w:left="115" w:right="0"/>
              <w:rPr>
                <w:rFonts w:hint="default"/>
              </w:rPr>
            </w:pPr>
            <w:r>
              <w:rPr>
                <w:rFonts w:hint="default"/>
                <w:spacing w:val="-1"/>
              </w:rPr>
              <w:t>气氨二级净化塔</w:t>
            </w:r>
          </w:p>
        </w:tc>
        <w:tc>
          <w:tcPr>
            <w:tcW w:w="2683" w:type="dxa"/>
            <w:vAlign w:val="top"/>
          </w:tcPr>
          <w:p w14:paraId="0D06502D">
            <w:pPr>
              <w:pStyle w:val="22"/>
              <w:keepNext w:val="0"/>
              <w:keepLines w:val="0"/>
              <w:suppressLineNumbers w:val="0"/>
              <w:spacing w:before="227" w:beforeAutospacing="0" w:after="0" w:afterAutospacing="0" w:line="223" w:lineRule="auto"/>
              <w:ind w:left="792" w:right="0"/>
              <w:rPr>
                <w:rFonts w:hint="default"/>
                <w:sz w:val="19"/>
                <w:szCs w:val="19"/>
              </w:rPr>
            </w:pPr>
            <w:r>
              <w:rPr>
                <w:rFonts w:hint="default"/>
                <w:sz w:val="19"/>
                <w:szCs w:val="19"/>
              </w:rPr>
              <w:t>DN</w:t>
            </w:r>
            <w:r>
              <w:rPr>
                <w:rFonts w:hint="default"/>
                <w:spacing w:val="6"/>
                <w:sz w:val="19"/>
                <w:szCs w:val="19"/>
              </w:rPr>
              <w:t>500×6000</w:t>
            </w:r>
          </w:p>
        </w:tc>
        <w:tc>
          <w:tcPr>
            <w:tcW w:w="1782" w:type="dxa"/>
            <w:vAlign w:val="top"/>
          </w:tcPr>
          <w:p w14:paraId="3BE8254F">
            <w:pPr>
              <w:pStyle w:val="22"/>
              <w:keepNext w:val="0"/>
              <w:keepLines w:val="0"/>
              <w:suppressLineNumbers w:val="0"/>
              <w:spacing w:before="220" w:beforeAutospacing="0" w:after="0" w:afterAutospacing="0" w:line="208" w:lineRule="auto"/>
              <w:ind w:left="477" w:right="0"/>
              <w:rPr>
                <w:rFonts w:hint="default"/>
              </w:rPr>
            </w:pPr>
            <w:r>
              <w:rPr>
                <w:rFonts w:hint="default"/>
                <w:spacing w:val="-1"/>
              </w:rPr>
              <w:t>0.3,80℃</w:t>
            </w:r>
          </w:p>
        </w:tc>
        <w:tc>
          <w:tcPr>
            <w:tcW w:w="1800" w:type="dxa"/>
            <w:vAlign w:val="top"/>
          </w:tcPr>
          <w:p w14:paraId="5546E0FB">
            <w:pPr>
              <w:pStyle w:val="22"/>
              <w:keepNext w:val="0"/>
              <w:keepLines w:val="0"/>
              <w:suppressLineNumbers w:val="0"/>
              <w:spacing w:before="220" w:beforeAutospacing="0" w:after="0" w:afterAutospacing="0" w:line="208" w:lineRule="auto"/>
              <w:ind w:left="436" w:right="0"/>
              <w:rPr>
                <w:rFonts w:hint="default"/>
              </w:rPr>
            </w:pPr>
            <w:r>
              <w:rPr>
                <w:rFonts w:hint="default"/>
                <w:spacing w:val="-1"/>
              </w:rPr>
              <w:t>0.15,50℃</w:t>
            </w:r>
          </w:p>
        </w:tc>
        <w:tc>
          <w:tcPr>
            <w:tcW w:w="1583" w:type="dxa"/>
            <w:vAlign w:val="top"/>
          </w:tcPr>
          <w:p w14:paraId="743ADBCF">
            <w:pPr>
              <w:pStyle w:val="22"/>
              <w:keepNext w:val="0"/>
              <w:keepLines w:val="0"/>
              <w:suppressLineNumbers w:val="0"/>
              <w:spacing w:before="255" w:beforeAutospacing="0" w:after="0" w:afterAutospacing="0" w:line="177" w:lineRule="auto"/>
              <w:ind w:left="645" w:right="0"/>
              <w:rPr>
                <w:rFonts w:hint="default"/>
              </w:rPr>
            </w:pPr>
            <w:r>
              <w:rPr>
                <w:rFonts w:hint="default"/>
                <w:spacing w:val="-4"/>
              </w:rPr>
              <w:t>304</w:t>
            </w:r>
          </w:p>
        </w:tc>
        <w:tc>
          <w:tcPr>
            <w:tcW w:w="1716" w:type="dxa"/>
            <w:vAlign w:val="top"/>
          </w:tcPr>
          <w:p w14:paraId="143F415F">
            <w:pPr>
              <w:pStyle w:val="22"/>
              <w:keepNext w:val="0"/>
              <w:keepLines w:val="0"/>
              <w:suppressLineNumbers w:val="0"/>
              <w:spacing w:before="220" w:beforeAutospacing="0" w:after="0" w:afterAutospacing="0" w:line="208" w:lineRule="auto"/>
              <w:ind w:left="657" w:right="0"/>
              <w:rPr>
                <w:rFonts w:hint="default"/>
              </w:rPr>
            </w:pPr>
            <w:r>
              <w:rPr>
                <w:rFonts w:hint="default"/>
                <w:spacing w:val="-2"/>
              </w:rPr>
              <w:t>气氨</w:t>
            </w:r>
          </w:p>
        </w:tc>
        <w:tc>
          <w:tcPr>
            <w:tcW w:w="1200" w:type="dxa"/>
            <w:vAlign w:val="top"/>
          </w:tcPr>
          <w:p w14:paraId="477594BE">
            <w:pPr>
              <w:pStyle w:val="22"/>
              <w:keepNext w:val="0"/>
              <w:keepLines w:val="0"/>
              <w:suppressLineNumbers w:val="0"/>
              <w:spacing w:before="255" w:beforeAutospacing="0" w:after="0" w:afterAutospacing="0" w:line="177" w:lineRule="auto"/>
              <w:ind w:left="558" w:right="0"/>
              <w:rPr>
                <w:rFonts w:hint="default"/>
              </w:rPr>
            </w:pPr>
            <w:r>
              <w:rPr>
                <w:rFonts w:hint="default"/>
              </w:rPr>
              <w:t>3</w:t>
            </w:r>
          </w:p>
        </w:tc>
      </w:tr>
      <w:tr w14:paraId="4CEDB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11B52B7F">
            <w:pPr>
              <w:pStyle w:val="22"/>
              <w:keepNext w:val="0"/>
              <w:keepLines w:val="0"/>
              <w:suppressLineNumbers w:val="0"/>
              <w:spacing w:before="255" w:beforeAutospacing="0" w:after="0" w:afterAutospacing="0" w:line="178" w:lineRule="auto"/>
              <w:ind w:left="131" w:right="0"/>
              <w:rPr>
                <w:rFonts w:hint="default"/>
              </w:rPr>
            </w:pPr>
            <w:r>
              <w:rPr>
                <w:rFonts w:hint="default"/>
                <w:spacing w:val="-5"/>
              </w:rPr>
              <w:t>11.</w:t>
            </w:r>
          </w:p>
        </w:tc>
        <w:tc>
          <w:tcPr>
            <w:tcW w:w="1334" w:type="dxa"/>
            <w:vAlign w:val="top"/>
          </w:tcPr>
          <w:p w14:paraId="06F5D8D1">
            <w:pPr>
              <w:pStyle w:val="22"/>
              <w:keepNext w:val="0"/>
              <w:keepLines w:val="0"/>
              <w:suppressLineNumbers w:val="0"/>
              <w:spacing w:before="254" w:beforeAutospacing="0" w:after="0" w:afterAutospacing="0" w:line="179" w:lineRule="auto"/>
              <w:ind w:left="144" w:right="0"/>
              <w:rPr>
                <w:rFonts w:hint="default"/>
              </w:rPr>
            </w:pPr>
            <w:r>
              <w:rPr>
                <w:rFonts w:hint="default"/>
                <w:spacing w:val="-1"/>
              </w:rPr>
              <w:t>T120103A-C</w:t>
            </w:r>
          </w:p>
        </w:tc>
        <w:tc>
          <w:tcPr>
            <w:tcW w:w="1950" w:type="dxa"/>
            <w:vAlign w:val="top"/>
          </w:tcPr>
          <w:p w14:paraId="02751BD3">
            <w:pPr>
              <w:pStyle w:val="22"/>
              <w:keepNext w:val="0"/>
              <w:keepLines w:val="0"/>
              <w:suppressLineNumbers w:val="0"/>
              <w:spacing w:before="220" w:beforeAutospacing="0" w:after="0" w:afterAutospacing="0" w:line="209" w:lineRule="auto"/>
              <w:ind w:left="115" w:right="0"/>
              <w:rPr>
                <w:rFonts w:hint="default"/>
              </w:rPr>
            </w:pPr>
            <w:r>
              <w:rPr>
                <w:rFonts w:hint="default"/>
                <w:spacing w:val="-2"/>
              </w:rPr>
              <w:t>气氨吸收塔</w:t>
            </w:r>
          </w:p>
        </w:tc>
        <w:tc>
          <w:tcPr>
            <w:tcW w:w="2683" w:type="dxa"/>
            <w:vAlign w:val="top"/>
          </w:tcPr>
          <w:p w14:paraId="1FF936BC">
            <w:pPr>
              <w:pStyle w:val="22"/>
              <w:keepNext w:val="0"/>
              <w:keepLines w:val="0"/>
              <w:suppressLineNumbers w:val="0"/>
              <w:spacing w:before="228" w:beforeAutospacing="0" w:after="0" w:afterAutospacing="0" w:line="223" w:lineRule="auto"/>
              <w:ind w:left="391" w:right="0"/>
              <w:rPr>
                <w:rFonts w:hint="default"/>
                <w:sz w:val="19"/>
                <w:szCs w:val="19"/>
              </w:rPr>
            </w:pPr>
            <w:r>
              <w:rPr>
                <w:rFonts w:hint="default"/>
                <w:sz w:val="19"/>
                <w:szCs w:val="19"/>
              </w:rPr>
              <w:t>DN</w:t>
            </w:r>
            <w:r>
              <w:rPr>
                <w:rFonts w:hint="default"/>
                <w:spacing w:val="6"/>
                <w:sz w:val="19"/>
                <w:szCs w:val="19"/>
              </w:rPr>
              <w:t>1000/</w:t>
            </w:r>
            <w:r>
              <w:rPr>
                <w:rFonts w:hint="default"/>
                <w:sz w:val="19"/>
                <w:szCs w:val="19"/>
              </w:rPr>
              <w:t>DN</w:t>
            </w:r>
            <w:r>
              <w:rPr>
                <w:rFonts w:hint="default"/>
                <w:spacing w:val="6"/>
                <w:sz w:val="19"/>
                <w:szCs w:val="19"/>
              </w:rPr>
              <w:t>400×12500</w:t>
            </w:r>
          </w:p>
        </w:tc>
        <w:tc>
          <w:tcPr>
            <w:tcW w:w="1782" w:type="dxa"/>
            <w:vAlign w:val="top"/>
          </w:tcPr>
          <w:p w14:paraId="7B7A63B6">
            <w:pPr>
              <w:pStyle w:val="22"/>
              <w:keepNext w:val="0"/>
              <w:keepLines w:val="0"/>
              <w:suppressLineNumbers w:val="0"/>
              <w:spacing w:before="220" w:beforeAutospacing="0" w:after="0" w:afterAutospacing="0" w:line="209" w:lineRule="auto"/>
              <w:ind w:left="477" w:right="0"/>
              <w:rPr>
                <w:rFonts w:hint="default"/>
              </w:rPr>
            </w:pPr>
            <w:r>
              <w:rPr>
                <w:rFonts w:hint="default"/>
                <w:spacing w:val="-1"/>
              </w:rPr>
              <w:t>0.3,80℃</w:t>
            </w:r>
          </w:p>
        </w:tc>
        <w:tc>
          <w:tcPr>
            <w:tcW w:w="1800" w:type="dxa"/>
            <w:vAlign w:val="top"/>
          </w:tcPr>
          <w:p w14:paraId="7729018A">
            <w:pPr>
              <w:pStyle w:val="22"/>
              <w:keepNext w:val="0"/>
              <w:keepLines w:val="0"/>
              <w:suppressLineNumbers w:val="0"/>
              <w:spacing w:before="220" w:beforeAutospacing="0" w:after="0" w:afterAutospacing="0" w:line="209" w:lineRule="auto"/>
              <w:ind w:left="436" w:right="0"/>
              <w:rPr>
                <w:rFonts w:hint="default"/>
              </w:rPr>
            </w:pPr>
            <w:r>
              <w:rPr>
                <w:rFonts w:hint="default"/>
                <w:spacing w:val="-1"/>
              </w:rPr>
              <w:t>0.15,50℃</w:t>
            </w:r>
          </w:p>
        </w:tc>
        <w:tc>
          <w:tcPr>
            <w:tcW w:w="1583" w:type="dxa"/>
            <w:vAlign w:val="top"/>
          </w:tcPr>
          <w:p w14:paraId="1B91305C">
            <w:pPr>
              <w:pStyle w:val="22"/>
              <w:keepNext w:val="0"/>
              <w:keepLines w:val="0"/>
              <w:suppressLineNumbers w:val="0"/>
              <w:spacing w:before="256" w:beforeAutospacing="0" w:after="0" w:afterAutospacing="0" w:line="177" w:lineRule="auto"/>
              <w:ind w:left="645" w:right="0"/>
              <w:rPr>
                <w:rFonts w:hint="default"/>
              </w:rPr>
            </w:pPr>
            <w:r>
              <w:rPr>
                <w:rFonts w:hint="default"/>
                <w:spacing w:val="-4"/>
              </w:rPr>
              <w:t>304</w:t>
            </w:r>
          </w:p>
        </w:tc>
        <w:tc>
          <w:tcPr>
            <w:tcW w:w="1716" w:type="dxa"/>
            <w:vAlign w:val="top"/>
          </w:tcPr>
          <w:p w14:paraId="2B82B273">
            <w:pPr>
              <w:pStyle w:val="22"/>
              <w:keepNext w:val="0"/>
              <w:keepLines w:val="0"/>
              <w:suppressLineNumbers w:val="0"/>
              <w:spacing w:before="220" w:beforeAutospacing="0" w:after="0" w:afterAutospacing="0" w:line="209" w:lineRule="auto"/>
              <w:ind w:left="657" w:right="0"/>
              <w:rPr>
                <w:rFonts w:hint="default"/>
              </w:rPr>
            </w:pPr>
            <w:r>
              <w:rPr>
                <w:rFonts w:hint="default"/>
                <w:spacing w:val="-2"/>
              </w:rPr>
              <w:t>气氨</w:t>
            </w:r>
          </w:p>
        </w:tc>
        <w:tc>
          <w:tcPr>
            <w:tcW w:w="1200" w:type="dxa"/>
            <w:vAlign w:val="top"/>
          </w:tcPr>
          <w:p w14:paraId="09A1AB76">
            <w:pPr>
              <w:pStyle w:val="22"/>
              <w:keepNext w:val="0"/>
              <w:keepLines w:val="0"/>
              <w:suppressLineNumbers w:val="0"/>
              <w:spacing w:before="256" w:beforeAutospacing="0" w:after="0" w:afterAutospacing="0" w:line="177" w:lineRule="auto"/>
              <w:ind w:left="558" w:right="0"/>
              <w:rPr>
                <w:rFonts w:hint="default"/>
              </w:rPr>
            </w:pPr>
            <w:r>
              <w:rPr>
                <w:rFonts w:hint="default"/>
              </w:rPr>
              <w:t>3</w:t>
            </w:r>
          </w:p>
        </w:tc>
      </w:tr>
      <w:tr w14:paraId="6C0E2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28B5A5E0">
            <w:pPr>
              <w:keepNext w:val="0"/>
              <w:keepLines w:val="0"/>
              <w:suppressLineNumbers w:val="0"/>
              <w:spacing w:before="0" w:beforeAutospacing="0" w:after="0" w:afterAutospacing="0" w:line="319" w:lineRule="auto"/>
              <w:ind w:left="0" w:right="0"/>
              <w:rPr>
                <w:rFonts w:hint="default" w:ascii="Arial"/>
                <w:sz w:val="21"/>
              </w:rPr>
            </w:pPr>
          </w:p>
          <w:p w14:paraId="1AA443FE">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12.</w:t>
            </w:r>
          </w:p>
        </w:tc>
        <w:tc>
          <w:tcPr>
            <w:tcW w:w="1334" w:type="dxa"/>
            <w:vAlign w:val="top"/>
          </w:tcPr>
          <w:p w14:paraId="6C3785CA">
            <w:pPr>
              <w:keepNext w:val="0"/>
              <w:keepLines w:val="0"/>
              <w:suppressLineNumbers w:val="0"/>
              <w:spacing w:before="0" w:beforeAutospacing="0" w:after="0" w:afterAutospacing="0" w:line="319" w:lineRule="auto"/>
              <w:ind w:left="0" w:right="0"/>
              <w:rPr>
                <w:rFonts w:hint="default" w:ascii="Arial"/>
                <w:sz w:val="21"/>
              </w:rPr>
            </w:pPr>
          </w:p>
          <w:p w14:paraId="5B8BB037">
            <w:pPr>
              <w:pStyle w:val="22"/>
              <w:keepNext w:val="0"/>
              <w:keepLines w:val="0"/>
              <w:suppressLineNumbers w:val="0"/>
              <w:spacing w:before="68" w:beforeAutospacing="0" w:after="0" w:afterAutospacing="0" w:line="183" w:lineRule="auto"/>
              <w:ind w:left="144" w:right="0"/>
              <w:rPr>
                <w:rFonts w:hint="default"/>
              </w:rPr>
            </w:pPr>
            <w:r>
              <w:rPr>
                <w:rFonts w:hint="default"/>
                <w:spacing w:val="-1"/>
              </w:rPr>
              <w:t>E120103A-C</w:t>
            </w:r>
          </w:p>
        </w:tc>
        <w:tc>
          <w:tcPr>
            <w:tcW w:w="1950" w:type="dxa"/>
            <w:vAlign w:val="top"/>
          </w:tcPr>
          <w:p w14:paraId="358174B0">
            <w:pPr>
              <w:keepNext w:val="0"/>
              <w:keepLines w:val="0"/>
              <w:suppressLineNumbers w:val="0"/>
              <w:spacing w:before="0" w:beforeAutospacing="0" w:after="0" w:afterAutospacing="0" w:line="285" w:lineRule="auto"/>
              <w:ind w:left="0" w:right="0"/>
              <w:rPr>
                <w:rFonts w:hint="default" w:ascii="Arial"/>
                <w:sz w:val="21"/>
              </w:rPr>
            </w:pPr>
          </w:p>
          <w:p w14:paraId="137054A2">
            <w:pPr>
              <w:pStyle w:val="22"/>
              <w:keepNext w:val="0"/>
              <w:keepLines w:val="0"/>
              <w:suppressLineNumbers w:val="0"/>
              <w:spacing w:before="68" w:beforeAutospacing="0" w:after="0" w:afterAutospacing="0" w:line="221" w:lineRule="auto"/>
              <w:ind w:left="122" w:right="0"/>
              <w:rPr>
                <w:rFonts w:hint="default"/>
              </w:rPr>
            </w:pPr>
            <w:r>
              <w:rPr>
                <w:rFonts w:hint="default"/>
                <w:spacing w:val="-3"/>
              </w:rPr>
              <w:t>吸收塔冷却器</w:t>
            </w:r>
          </w:p>
        </w:tc>
        <w:tc>
          <w:tcPr>
            <w:tcW w:w="2683" w:type="dxa"/>
            <w:vAlign w:val="top"/>
          </w:tcPr>
          <w:p w14:paraId="2C439C98">
            <w:pPr>
              <w:keepNext w:val="0"/>
              <w:keepLines w:val="0"/>
              <w:suppressLineNumbers w:val="0"/>
              <w:spacing w:before="0" w:beforeAutospacing="0" w:after="0" w:afterAutospacing="0" w:line="332" w:lineRule="auto"/>
              <w:ind w:left="0" w:right="0"/>
              <w:rPr>
                <w:rFonts w:hint="default" w:ascii="Arial"/>
                <w:sz w:val="21"/>
              </w:rPr>
            </w:pPr>
          </w:p>
          <w:p w14:paraId="70FBC355">
            <w:pPr>
              <w:pStyle w:val="22"/>
              <w:keepNext w:val="0"/>
              <w:keepLines w:val="0"/>
              <w:suppressLineNumbers w:val="0"/>
              <w:spacing w:before="62" w:beforeAutospacing="0" w:after="0" w:afterAutospacing="0" w:line="231" w:lineRule="auto"/>
              <w:ind w:left="835" w:right="0"/>
              <w:rPr>
                <w:rFonts w:hint="default"/>
                <w:sz w:val="19"/>
                <w:szCs w:val="19"/>
              </w:rPr>
            </w:pPr>
            <w:r>
              <w:rPr>
                <w:rFonts w:hint="default"/>
                <w:sz w:val="19"/>
                <w:szCs w:val="19"/>
              </w:rPr>
              <w:t>DN</w:t>
            </w:r>
            <w:r>
              <w:rPr>
                <w:rFonts w:hint="default"/>
                <w:spacing w:val="6"/>
                <w:sz w:val="19"/>
                <w:szCs w:val="19"/>
              </w:rPr>
              <w:t>300</w:t>
            </w:r>
            <w:r>
              <w:rPr>
                <w:rFonts w:hint="default" w:ascii="Times New Roman" w:hAnsi="Times New Roman" w:eastAsia="Times New Roman" w:cs="Times New Roman"/>
                <w:spacing w:val="6"/>
                <w:sz w:val="19"/>
                <w:szCs w:val="19"/>
              </w:rPr>
              <w:t>×</w:t>
            </w:r>
            <w:r>
              <w:rPr>
                <w:rFonts w:hint="default"/>
                <w:spacing w:val="6"/>
                <w:sz w:val="19"/>
                <w:szCs w:val="19"/>
              </w:rPr>
              <w:t>3500</w:t>
            </w:r>
          </w:p>
        </w:tc>
        <w:tc>
          <w:tcPr>
            <w:tcW w:w="1782" w:type="dxa"/>
            <w:vAlign w:val="top"/>
          </w:tcPr>
          <w:p w14:paraId="0222B0ED">
            <w:pPr>
              <w:pStyle w:val="22"/>
              <w:keepNext w:val="0"/>
              <w:keepLines w:val="0"/>
              <w:suppressLineNumbers w:val="0"/>
              <w:spacing w:before="220" w:beforeAutospacing="0" w:after="0" w:afterAutospacing="0" w:line="218" w:lineRule="auto"/>
              <w:ind w:left="118" w:right="0"/>
              <w:rPr>
                <w:rFonts w:hint="default"/>
              </w:rPr>
            </w:pPr>
            <w:r>
              <w:rPr>
                <w:rFonts w:hint="default"/>
                <w:spacing w:val="-9"/>
              </w:rPr>
              <w:t>管程：0.4,</w:t>
            </w:r>
            <w:r>
              <w:rPr>
                <w:rFonts w:hint="default"/>
                <w:spacing w:val="-26"/>
              </w:rPr>
              <w:t xml:space="preserve"> </w:t>
            </w:r>
            <w:r>
              <w:rPr>
                <w:rFonts w:hint="default"/>
                <w:spacing w:val="-9"/>
              </w:rPr>
              <w:t>100℃</w:t>
            </w:r>
          </w:p>
          <w:p w14:paraId="63FBCFE7">
            <w:pPr>
              <w:pStyle w:val="22"/>
              <w:keepNext w:val="0"/>
              <w:keepLines w:val="0"/>
              <w:suppressLineNumbers w:val="0"/>
              <w:spacing w:before="24" w:beforeAutospacing="0" w:after="0" w:afterAutospacing="0" w:line="208" w:lineRule="auto"/>
              <w:ind w:left="119" w:right="0"/>
              <w:rPr>
                <w:rFonts w:hint="default"/>
              </w:rPr>
            </w:pPr>
            <w:r>
              <w:rPr>
                <w:rFonts w:hint="default"/>
                <w:spacing w:val="-2"/>
              </w:rPr>
              <w:t>壳程：0.5, 60℃</w:t>
            </w:r>
          </w:p>
        </w:tc>
        <w:tc>
          <w:tcPr>
            <w:tcW w:w="1800" w:type="dxa"/>
            <w:vAlign w:val="top"/>
          </w:tcPr>
          <w:p w14:paraId="1B0EF689">
            <w:pPr>
              <w:pStyle w:val="22"/>
              <w:keepNext w:val="0"/>
              <w:keepLines w:val="0"/>
              <w:suppressLineNumbers w:val="0"/>
              <w:spacing w:before="220" w:beforeAutospacing="0" w:after="0" w:afterAutospacing="0" w:line="218" w:lineRule="auto"/>
              <w:ind w:left="120" w:right="0"/>
              <w:rPr>
                <w:rFonts w:hint="default"/>
              </w:rPr>
            </w:pPr>
            <w:r>
              <w:rPr>
                <w:rFonts w:hint="default"/>
                <w:spacing w:val="-1"/>
              </w:rPr>
              <w:t>管程：0.2, 60℃</w:t>
            </w:r>
          </w:p>
          <w:p w14:paraId="1F04C348">
            <w:pPr>
              <w:pStyle w:val="22"/>
              <w:keepNext w:val="0"/>
              <w:keepLines w:val="0"/>
              <w:suppressLineNumbers w:val="0"/>
              <w:spacing w:before="24" w:beforeAutospacing="0" w:after="0" w:afterAutospacing="0" w:line="208" w:lineRule="auto"/>
              <w:ind w:left="120" w:right="0"/>
              <w:rPr>
                <w:rFonts w:hint="default"/>
              </w:rPr>
            </w:pPr>
            <w:r>
              <w:rPr>
                <w:rFonts w:hint="default"/>
                <w:spacing w:val="-1"/>
              </w:rPr>
              <w:t>壳程：0.4, 5℃</w:t>
            </w:r>
          </w:p>
        </w:tc>
        <w:tc>
          <w:tcPr>
            <w:tcW w:w="1583" w:type="dxa"/>
            <w:vAlign w:val="top"/>
          </w:tcPr>
          <w:p w14:paraId="5E2D66CF">
            <w:pPr>
              <w:keepNext w:val="0"/>
              <w:keepLines w:val="0"/>
              <w:suppressLineNumbers w:val="0"/>
              <w:spacing w:before="0" w:beforeAutospacing="0" w:after="0" w:afterAutospacing="0" w:line="320" w:lineRule="auto"/>
              <w:ind w:left="0" w:right="0"/>
              <w:rPr>
                <w:rFonts w:hint="default" w:ascii="Arial"/>
                <w:sz w:val="21"/>
              </w:rPr>
            </w:pPr>
          </w:p>
          <w:p w14:paraId="52213ADC">
            <w:pPr>
              <w:pStyle w:val="22"/>
              <w:keepNext w:val="0"/>
              <w:keepLines w:val="0"/>
              <w:suppressLineNumbers w:val="0"/>
              <w:spacing w:before="68" w:beforeAutospacing="0" w:after="0" w:afterAutospacing="0" w:line="182" w:lineRule="auto"/>
              <w:ind w:left="645" w:right="0"/>
              <w:rPr>
                <w:rFonts w:hint="default"/>
              </w:rPr>
            </w:pPr>
            <w:r>
              <w:rPr>
                <w:rFonts w:hint="default"/>
                <w:spacing w:val="-4"/>
              </w:rPr>
              <w:t>304</w:t>
            </w:r>
          </w:p>
        </w:tc>
        <w:tc>
          <w:tcPr>
            <w:tcW w:w="1716" w:type="dxa"/>
            <w:vAlign w:val="top"/>
          </w:tcPr>
          <w:p w14:paraId="44D08790">
            <w:pPr>
              <w:keepNext w:val="0"/>
              <w:keepLines w:val="0"/>
              <w:suppressLineNumbers w:val="0"/>
              <w:spacing w:before="0" w:beforeAutospacing="0" w:after="0" w:afterAutospacing="0" w:line="285" w:lineRule="auto"/>
              <w:ind w:left="0" w:right="0"/>
              <w:rPr>
                <w:rFonts w:hint="default" w:ascii="Arial"/>
                <w:sz w:val="21"/>
              </w:rPr>
            </w:pPr>
          </w:p>
          <w:p w14:paraId="42A0EA58">
            <w:pPr>
              <w:pStyle w:val="22"/>
              <w:keepNext w:val="0"/>
              <w:keepLines w:val="0"/>
              <w:suppressLineNumbers w:val="0"/>
              <w:spacing w:before="68" w:beforeAutospacing="0" w:after="0" w:afterAutospacing="0" w:line="221" w:lineRule="auto"/>
              <w:ind w:left="289" w:right="0"/>
              <w:rPr>
                <w:rFonts w:hint="default"/>
              </w:rPr>
            </w:pPr>
            <w:r>
              <w:rPr>
                <w:rFonts w:hint="default"/>
                <w:spacing w:val="-1"/>
              </w:rPr>
              <w:t>氨水/冷冻水</w:t>
            </w:r>
          </w:p>
        </w:tc>
        <w:tc>
          <w:tcPr>
            <w:tcW w:w="1200" w:type="dxa"/>
            <w:vAlign w:val="top"/>
          </w:tcPr>
          <w:p w14:paraId="010C4228">
            <w:pPr>
              <w:keepNext w:val="0"/>
              <w:keepLines w:val="0"/>
              <w:suppressLineNumbers w:val="0"/>
              <w:spacing w:before="0" w:beforeAutospacing="0" w:after="0" w:afterAutospacing="0" w:line="320" w:lineRule="auto"/>
              <w:ind w:left="0" w:right="0"/>
              <w:rPr>
                <w:rFonts w:hint="default" w:ascii="Arial"/>
                <w:sz w:val="21"/>
              </w:rPr>
            </w:pPr>
          </w:p>
          <w:p w14:paraId="07B9D2B2">
            <w:pPr>
              <w:pStyle w:val="22"/>
              <w:keepNext w:val="0"/>
              <w:keepLines w:val="0"/>
              <w:suppressLineNumbers w:val="0"/>
              <w:spacing w:before="68" w:beforeAutospacing="0" w:after="0" w:afterAutospacing="0" w:line="182" w:lineRule="auto"/>
              <w:ind w:left="558" w:right="0"/>
              <w:rPr>
                <w:rFonts w:hint="default"/>
              </w:rPr>
            </w:pPr>
            <w:r>
              <w:rPr>
                <w:rFonts w:hint="default"/>
              </w:rPr>
              <w:t>3</w:t>
            </w:r>
          </w:p>
        </w:tc>
      </w:tr>
      <w:tr w14:paraId="08A05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65D597C1">
            <w:pPr>
              <w:pStyle w:val="22"/>
              <w:keepNext w:val="0"/>
              <w:keepLines w:val="0"/>
              <w:suppressLineNumbers w:val="0"/>
              <w:spacing w:before="255" w:beforeAutospacing="0" w:after="0" w:afterAutospacing="0" w:line="178" w:lineRule="auto"/>
              <w:ind w:left="131" w:right="0"/>
              <w:rPr>
                <w:rFonts w:hint="default"/>
              </w:rPr>
            </w:pPr>
            <w:r>
              <w:rPr>
                <w:rFonts w:hint="default"/>
                <w:spacing w:val="-5"/>
              </w:rPr>
              <w:t>13.</w:t>
            </w:r>
          </w:p>
        </w:tc>
        <w:tc>
          <w:tcPr>
            <w:tcW w:w="1334" w:type="dxa"/>
            <w:vAlign w:val="top"/>
          </w:tcPr>
          <w:p w14:paraId="13AAFE2E">
            <w:pPr>
              <w:pStyle w:val="22"/>
              <w:keepNext w:val="0"/>
              <w:keepLines w:val="0"/>
              <w:suppressLineNumbers w:val="0"/>
              <w:spacing w:before="255" w:beforeAutospacing="0" w:after="0" w:afterAutospacing="0" w:line="178" w:lineRule="auto"/>
              <w:ind w:left="302" w:right="0"/>
              <w:rPr>
                <w:rFonts w:hint="default"/>
              </w:rPr>
            </w:pPr>
            <w:r>
              <w:rPr>
                <w:rFonts w:hint="default"/>
                <w:spacing w:val="-1"/>
              </w:rPr>
              <w:t>T120104</w:t>
            </w:r>
          </w:p>
        </w:tc>
        <w:tc>
          <w:tcPr>
            <w:tcW w:w="1950" w:type="dxa"/>
            <w:vAlign w:val="top"/>
          </w:tcPr>
          <w:p w14:paraId="16139A9E">
            <w:pPr>
              <w:pStyle w:val="22"/>
              <w:keepNext w:val="0"/>
              <w:keepLines w:val="0"/>
              <w:suppressLineNumbers w:val="0"/>
              <w:spacing w:before="221" w:beforeAutospacing="0" w:after="0" w:afterAutospacing="0" w:line="208" w:lineRule="auto"/>
              <w:ind w:left="114" w:right="0"/>
              <w:rPr>
                <w:rFonts w:hint="default"/>
              </w:rPr>
            </w:pPr>
            <w:r>
              <w:rPr>
                <w:rFonts w:hint="default"/>
                <w:spacing w:val="-1"/>
              </w:rPr>
              <w:t>尾气吸收塔</w:t>
            </w:r>
          </w:p>
        </w:tc>
        <w:tc>
          <w:tcPr>
            <w:tcW w:w="2683" w:type="dxa"/>
            <w:vAlign w:val="top"/>
          </w:tcPr>
          <w:p w14:paraId="42414EC8">
            <w:pPr>
              <w:pStyle w:val="22"/>
              <w:keepNext w:val="0"/>
              <w:keepLines w:val="0"/>
              <w:suppressLineNumbers w:val="0"/>
              <w:spacing w:before="229" w:beforeAutospacing="0" w:after="0" w:afterAutospacing="0" w:line="222" w:lineRule="auto"/>
              <w:ind w:left="492" w:right="0"/>
              <w:rPr>
                <w:rFonts w:hint="default"/>
                <w:sz w:val="19"/>
                <w:szCs w:val="19"/>
              </w:rPr>
            </w:pPr>
            <w:r>
              <w:rPr>
                <w:rFonts w:hint="default"/>
                <w:sz w:val="19"/>
                <w:szCs w:val="19"/>
              </w:rPr>
              <w:t>DN</w:t>
            </w:r>
            <w:r>
              <w:rPr>
                <w:rFonts w:hint="default"/>
                <w:spacing w:val="6"/>
                <w:sz w:val="19"/>
                <w:szCs w:val="19"/>
              </w:rPr>
              <w:t>800/</w:t>
            </w:r>
            <w:r>
              <w:rPr>
                <w:rFonts w:hint="default"/>
                <w:sz w:val="19"/>
                <w:szCs w:val="19"/>
              </w:rPr>
              <w:t>DN</w:t>
            </w:r>
            <w:r>
              <w:rPr>
                <w:rFonts w:hint="default"/>
                <w:spacing w:val="6"/>
                <w:sz w:val="19"/>
                <w:szCs w:val="19"/>
              </w:rPr>
              <w:t>400×6500</w:t>
            </w:r>
          </w:p>
        </w:tc>
        <w:tc>
          <w:tcPr>
            <w:tcW w:w="1782" w:type="dxa"/>
            <w:vAlign w:val="top"/>
          </w:tcPr>
          <w:p w14:paraId="7CB32A18">
            <w:pPr>
              <w:pStyle w:val="22"/>
              <w:keepNext w:val="0"/>
              <w:keepLines w:val="0"/>
              <w:suppressLineNumbers w:val="0"/>
              <w:spacing w:before="221" w:beforeAutospacing="0" w:after="0" w:afterAutospacing="0" w:line="208" w:lineRule="auto"/>
              <w:ind w:left="477" w:right="0"/>
              <w:rPr>
                <w:rFonts w:hint="default"/>
              </w:rPr>
            </w:pPr>
            <w:r>
              <w:rPr>
                <w:rFonts w:hint="default"/>
                <w:spacing w:val="-1"/>
              </w:rPr>
              <w:t>0.3,80℃</w:t>
            </w:r>
          </w:p>
        </w:tc>
        <w:tc>
          <w:tcPr>
            <w:tcW w:w="1800" w:type="dxa"/>
            <w:vAlign w:val="top"/>
          </w:tcPr>
          <w:p w14:paraId="23C520B1">
            <w:pPr>
              <w:pStyle w:val="22"/>
              <w:keepNext w:val="0"/>
              <w:keepLines w:val="0"/>
              <w:suppressLineNumbers w:val="0"/>
              <w:spacing w:before="221" w:beforeAutospacing="0" w:after="0" w:afterAutospacing="0" w:line="208" w:lineRule="auto"/>
              <w:ind w:left="436" w:right="0"/>
              <w:rPr>
                <w:rFonts w:hint="default"/>
              </w:rPr>
            </w:pPr>
            <w:r>
              <w:rPr>
                <w:rFonts w:hint="default"/>
                <w:spacing w:val="-1"/>
              </w:rPr>
              <w:t>0.15,50℃</w:t>
            </w:r>
          </w:p>
        </w:tc>
        <w:tc>
          <w:tcPr>
            <w:tcW w:w="1583" w:type="dxa"/>
            <w:vAlign w:val="top"/>
          </w:tcPr>
          <w:p w14:paraId="6E6AEABA">
            <w:pPr>
              <w:pStyle w:val="22"/>
              <w:keepNext w:val="0"/>
              <w:keepLines w:val="0"/>
              <w:suppressLineNumbers w:val="0"/>
              <w:spacing w:before="256" w:beforeAutospacing="0" w:after="0" w:afterAutospacing="0" w:line="177" w:lineRule="auto"/>
              <w:ind w:left="645" w:right="0"/>
              <w:rPr>
                <w:rFonts w:hint="default"/>
              </w:rPr>
            </w:pPr>
            <w:r>
              <w:rPr>
                <w:rFonts w:hint="default"/>
                <w:spacing w:val="-4"/>
              </w:rPr>
              <w:t>304</w:t>
            </w:r>
          </w:p>
        </w:tc>
        <w:tc>
          <w:tcPr>
            <w:tcW w:w="1716" w:type="dxa"/>
            <w:vAlign w:val="top"/>
          </w:tcPr>
          <w:p w14:paraId="351C2023">
            <w:pPr>
              <w:pStyle w:val="22"/>
              <w:keepNext w:val="0"/>
              <w:keepLines w:val="0"/>
              <w:suppressLineNumbers w:val="0"/>
              <w:spacing w:before="221" w:beforeAutospacing="0" w:after="0" w:afterAutospacing="0" w:line="208" w:lineRule="auto"/>
              <w:ind w:left="657" w:right="0"/>
              <w:rPr>
                <w:rFonts w:hint="default"/>
              </w:rPr>
            </w:pPr>
            <w:r>
              <w:rPr>
                <w:rFonts w:hint="default"/>
                <w:spacing w:val="-2"/>
              </w:rPr>
              <w:t>气氨</w:t>
            </w:r>
          </w:p>
        </w:tc>
        <w:tc>
          <w:tcPr>
            <w:tcW w:w="1200" w:type="dxa"/>
            <w:vAlign w:val="top"/>
          </w:tcPr>
          <w:p w14:paraId="42539B71">
            <w:pPr>
              <w:pStyle w:val="22"/>
              <w:keepNext w:val="0"/>
              <w:keepLines w:val="0"/>
              <w:suppressLineNumbers w:val="0"/>
              <w:spacing w:before="256" w:beforeAutospacing="0" w:after="0" w:afterAutospacing="0" w:line="177" w:lineRule="auto"/>
              <w:ind w:left="558" w:right="0"/>
              <w:rPr>
                <w:rFonts w:hint="default"/>
              </w:rPr>
            </w:pPr>
            <w:r>
              <w:rPr>
                <w:rFonts w:hint="default"/>
              </w:rPr>
              <w:t>3</w:t>
            </w:r>
          </w:p>
        </w:tc>
      </w:tr>
      <w:tr w14:paraId="4F00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00DF48AD">
            <w:pPr>
              <w:keepNext w:val="0"/>
              <w:keepLines w:val="0"/>
              <w:suppressLineNumbers w:val="0"/>
              <w:spacing w:before="0" w:beforeAutospacing="0" w:after="0" w:afterAutospacing="0" w:line="321" w:lineRule="auto"/>
              <w:ind w:left="0" w:right="0"/>
              <w:rPr>
                <w:rFonts w:hint="default" w:ascii="Arial"/>
                <w:sz w:val="21"/>
              </w:rPr>
            </w:pPr>
          </w:p>
          <w:p w14:paraId="2D2BA248">
            <w:pPr>
              <w:pStyle w:val="22"/>
              <w:keepNext w:val="0"/>
              <w:keepLines w:val="0"/>
              <w:suppressLineNumbers w:val="0"/>
              <w:spacing w:before="69" w:beforeAutospacing="0" w:after="0" w:afterAutospacing="0" w:line="183" w:lineRule="auto"/>
              <w:ind w:left="131" w:right="0"/>
              <w:rPr>
                <w:rFonts w:hint="default"/>
              </w:rPr>
            </w:pPr>
            <w:r>
              <w:rPr>
                <w:rFonts w:hint="default"/>
                <w:spacing w:val="-5"/>
              </w:rPr>
              <w:t>14.</w:t>
            </w:r>
          </w:p>
        </w:tc>
        <w:tc>
          <w:tcPr>
            <w:tcW w:w="1334" w:type="dxa"/>
            <w:vAlign w:val="top"/>
          </w:tcPr>
          <w:p w14:paraId="2A8C0A1A">
            <w:pPr>
              <w:keepNext w:val="0"/>
              <w:keepLines w:val="0"/>
              <w:suppressLineNumbers w:val="0"/>
              <w:spacing w:before="0" w:beforeAutospacing="0" w:after="0" w:afterAutospacing="0" w:line="321" w:lineRule="auto"/>
              <w:ind w:left="0" w:right="0"/>
              <w:rPr>
                <w:rFonts w:hint="default" w:ascii="Arial"/>
                <w:sz w:val="21"/>
              </w:rPr>
            </w:pPr>
          </w:p>
          <w:p w14:paraId="51C35631">
            <w:pPr>
              <w:pStyle w:val="22"/>
              <w:keepNext w:val="0"/>
              <w:keepLines w:val="0"/>
              <w:suppressLineNumbers w:val="0"/>
              <w:spacing w:before="69" w:beforeAutospacing="0" w:after="0" w:afterAutospacing="0" w:line="183" w:lineRule="auto"/>
              <w:ind w:left="302" w:right="0"/>
              <w:rPr>
                <w:rFonts w:hint="default"/>
              </w:rPr>
            </w:pPr>
            <w:r>
              <w:rPr>
                <w:rFonts w:hint="default"/>
                <w:spacing w:val="-1"/>
              </w:rPr>
              <w:t>E120104</w:t>
            </w:r>
          </w:p>
        </w:tc>
        <w:tc>
          <w:tcPr>
            <w:tcW w:w="1950" w:type="dxa"/>
            <w:vAlign w:val="top"/>
          </w:tcPr>
          <w:p w14:paraId="2E844207">
            <w:pPr>
              <w:keepNext w:val="0"/>
              <w:keepLines w:val="0"/>
              <w:suppressLineNumbers w:val="0"/>
              <w:spacing w:before="0" w:beforeAutospacing="0" w:after="0" w:afterAutospacing="0" w:line="287" w:lineRule="auto"/>
              <w:ind w:left="0" w:right="0"/>
              <w:rPr>
                <w:rFonts w:hint="default" w:ascii="Arial"/>
                <w:sz w:val="21"/>
              </w:rPr>
            </w:pPr>
          </w:p>
          <w:p w14:paraId="08DCA22E">
            <w:pPr>
              <w:pStyle w:val="22"/>
              <w:keepNext w:val="0"/>
              <w:keepLines w:val="0"/>
              <w:suppressLineNumbers w:val="0"/>
              <w:spacing w:before="68" w:beforeAutospacing="0" w:after="0" w:afterAutospacing="0" w:line="221" w:lineRule="auto"/>
              <w:ind w:left="114" w:right="0"/>
              <w:rPr>
                <w:rFonts w:hint="default"/>
              </w:rPr>
            </w:pPr>
            <w:r>
              <w:rPr>
                <w:rFonts w:hint="default"/>
                <w:spacing w:val="-1"/>
              </w:rPr>
              <w:t>尾气吸收冷却器</w:t>
            </w:r>
          </w:p>
        </w:tc>
        <w:tc>
          <w:tcPr>
            <w:tcW w:w="2683" w:type="dxa"/>
            <w:vAlign w:val="top"/>
          </w:tcPr>
          <w:p w14:paraId="16EC42AE">
            <w:pPr>
              <w:keepNext w:val="0"/>
              <w:keepLines w:val="0"/>
              <w:suppressLineNumbers w:val="0"/>
              <w:spacing w:before="0" w:beforeAutospacing="0" w:after="0" w:afterAutospacing="0" w:line="332" w:lineRule="auto"/>
              <w:ind w:left="0" w:right="0"/>
              <w:rPr>
                <w:rFonts w:hint="default" w:ascii="Arial"/>
                <w:sz w:val="21"/>
              </w:rPr>
            </w:pPr>
          </w:p>
          <w:p w14:paraId="49164040">
            <w:pPr>
              <w:pStyle w:val="22"/>
              <w:keepNext w:val="0"/>
              <w:keepLines w:val="0"/>
              <w:suppressLineNumbers w:val="0"/>
              <w:spacing w:before="62" w:beforeAutospacing="0" w:after="0" w:afterAutospacing="0" w:line="231" w:lineRule="auto"/>
              <w:ind w:left="835" w:right="0"/>
              <w:rPr>
                <w:rFonts w:hint="default"/>
                <w:sz w:val="19"/>
                <w:szCs w:val="19"/>
              </w:rPr>
            </w:pPr>
            <w:r>
              <w:rPr>
                <w:rFonts w:hint="default"/>
                <w:sz w:val="19"/>
                <w:szCs w:val="19"/>
              </w:rPr>
              <w:t>DN</w:t>
            </w:r>
            <w:r>
              <w:rPr>
                <w:rFonts w:hint="default"/>
                <w:spacing w:val="6"/>
                <w:sz w:val="19"/>
                <w:szCs w:val="19"/>
              </w:rPr>
              <w:t>400</w:t>
            </w:r>
            <w:r>
              <w:rPr>
                <w:rFonts w:hint="default" w:ascii="Times New Roman" w:hAnsi="Times New Roman" w:eastAsia="Times New Roman" w:cs="Times New Roman"/>
                <w:spacing w:val="6"/>
                <w:sz w:val="19"/>
                <w:szCs w:val="19"/>
              </w:rPr>
              <w:t>×</w:t>
            </w:r>
            <w:r>
              <w:rPr>
                <w:rFonts w:hint="default"/>
                <w:spacing w:val="6"/>
                <w:sz w:val="19"/>
                <w:szCs w:val="19"/>
              </w:rPr>
              <w:t>3300</w:t>
            </w:r>
          </w:p>
        </w:tc>
        <w:tc>
          <w:tcPr>
            <w:tcW w:w="1782" w:type="dxa"/>
            <w:vAlign w:val="top"/>
          </w:tcPr>
          <w:p w14:paraId="44D6344F">
            <w:pPr>
              <w:pStyle w:val="22"/>
              <w:keepNext w:val="0"/>
              <w:keepLines w:val="0"/>
              <w:suppressLineNumbers w:val="0"/>
              <w:spacing w:before="220" w:beforeAutospacing="0" w:after="0" w:afterAutospacing="0" w:line="218" w:lineRule="auto"/>
              <w:ind w:left="118" w:right="0"/>
              <w:rPr>
                <w:rFonts w:hint="default"/>
              </w:rPr>
            </w:pPr>
            <w:r>
              <w:rPr>
                <w:rFonts w:hint="default"/>
                <w:spacing w:val="-9"/>
              </w:rPr>
              <w:t>管程：0.4,</w:t>
            </w:r>
            <w:r>
              <w:rPr>
                <w:rFonts w:hint="default"/>
                <w:spacing w:val="-26"/>
              </w:rPr>
              <w:t xml:space="preserve"> </w:t>
            </w:r>
            <w:r>
              <w:rPr>
                <w:rFonts w:hint="default"/>
                <w:spacing w:val="-9"/>
              </w:rPr>
              <w:t>100℃</w:t>
            </w:r>
          </w:p>
          <w:p w14:paraId="035C5FB7">
            <w:pPr>
              <w:pStyle w:val="22"/>
              <w:keepNext w:val="0"/>
              <w:keepLines w:val="0"/>
              <w:suppressLineNumbers w:val="0"/>
              <w:spacing w:before="23" w:beforeAutospacing="0" w:after="0" w:afterAutospacing="0" w:line="208" w:lineRule="auto"/>
              <w:ind w:left="119" w:right="0"/>
              <w:rPr>
                <w:rFonts w:hint="default"/>
              </w:rPr>
            </w:pPr>
            <w:r>
              <w:rPr>
                <w:rFonts w:hint="default"/>
                <w:spacing w:val="-2"/>
              </w:rPr>
              <w:t>壳程：0.5, 60℃</w:t>
            </w:r>
          </w:p>
        </w:tc>
        <w:tc>
          <w:tcPr>
            <w:tcW w:w="1800" w:type="dxa"/>
            <w:vAlign w:val="top"/>
          </w:tcPr>
          <w:p w14:paraId="35A3310E">
            <w:pPr>
              <w:pStyle w:val="22"/>
              <w:keepNext w:val="0"/>
              <w:keepLines w:val="0"/>
              <w:suppressLineNumbers w:val="0"/>
              <w:spacing w:before="220" w:beforeAutospacing="0" w:after="0" w:afterAutospacing="0" w:line="218" w:lineRule="auto"/>
              <w:ind w:left="120" w:right="0"/>
              <w:rPr>
                <w:rFonts w:hint="default"/>
              </w:rPr>
            </w:pPr>
            <w:r>
              <w:rPr>
                <w:rFonts w:hint="default"/>
                <w:spacing w:val="-1"/>
              </w:rPr>
              <w:t>管程：0.2, 60℃</w:t>
            </w:r>
          </w:p>
          <w:p w14:paraId="1ADC36C2">
            <w:pPr>
              <w:pStyle w:val="22"/>
              <w:keepNext w:val="0"/>
              <w:keepLines w:val="0"/>
              <w:suppressLineNumbers w:val="0"/>
              <w:spacing w:before="23" w:beforeAutospacing="0" w:after="0" w:afterAutospacing="0" w:line="208" w:lineRule="auto"/>
              <w:ind w:left="120" w:right="0"/>
              <w:rPr>
                <w:rFonts w:hint="default"/>
              </w:rPr>
            </w:pPr>
            <w:r>
              <w:rPr>
                <w:rFonts w:hint="default"/>
                <w:spacing w:val="-1"/>
              </w:rPr>
              <w:t>壳程：0.4, 5℃</w:t>
            </w:r>
          </w:p>
        </w:tc>
        <w:tc>
          <w:tcPr>
            <w:tcW w:w="1583" w:type="dxa"/>
            <w:vAlign w:val="top"/>
          </w:tcPr>
          <w:p w14:paraId="52395254">
            <w:pPr>
              <w:keepNext w:val="0"/>
              <w:keepLines w:val="0"/>
              <w:suppressLineNumbers w:val="0"/>
              <w:spacing w:before="0" w:beforeAutospacing="0" w:after="0" w:afterAutospacing="0" w:line="322" w:lineRule="auto"/>
              <w:ind w:left="0" w:right="0"/>
              <w:rPr>
                <w:rFonts w:hint="default" w:ascii="Arial"/>
                <w:sz w:val="21"/>
              </w:rPr>
            </w:pPr>
          </w:p>
          <w:p w14:paraId="17F0ABB1">
            <w:pPr>
              <w:pStyle w:val="22"/>
              <w:keepNext w:val="0"/>
              <w:keepLines w:val="0"/>
              <w:suppressLineNumbers w:val="0"/>
              <w:spacing w:before="69" w:beforeAutospacing="0" w:after="0" w:afterAutospacing="0" w:line="182" w:lineRule="auto"/>
              <w:ind w:left="645" w:right="0"/>
              <w:rPr>
                <w:rFonts w:hint="default"/>
              </w:rPr>
            </w:pPr>
            <w:r>
              <w:rPr>
                <w:rFonts w:hint="default"/>
                <w:spacing w:val="-4"/>
              </w:rPr>
              <w:t>304</w:t>
            </w:r>
          </w:p>
        </w:tc>
        <w:tc>
          <w:tcPr>
            <w:tcW w:w="1716" w:type="dxa"/>
            <w:vAlign w:val="top"/>
          </w:tcPr>
          <w:p w14:paraId="03FC73BE">
            <w:pPr>
              <w:keepNext w:val="0"/>
              <w:keepLines w:val="0"/>
              <w:suppressLineNumbers w:val="0"/>
              <w:spacing w:before="0" w:beforeAutospacing="0" w:after="0" w:afterAutospacing="0" w:line="287" w:lineRule="auto"/>
              <w:ind w:left="0" w:right="0"/>
              <w:rPr>
                <w:rFonts w:hint="default" w:ascii="Arial"/>
                <w:sz w:val="21"/>
              </w:rPr>
            </w:pPr>
          </w:p>
          <w:p w14:paraId="7AB22D35">
            <w:pPr>
              <w:pStyle w:val="22"/>
              <w:keepNext w:val="0"/>
              <w:keepLines w:val="0"/>
              <w:suppressLineNumbers w:val="0"/>
              <w:spacing w:before="68" w:beforeAutospacing="0" w:after="0" w:afterAutospacing="0" w:line="221" w:lineRule="auto"/>
              <w:ind w:left="289" w:right="0"/>
              <w:rPr>
                <w:rFonts w:hint="default"/>
              </w:rPr>
            </w:pPr>
            <w:r>
              <w:rPr>
                <w:rFonts w:hint="default"/>
                <w:spacing w:val="-1"/>
              </w:rPr>
              <w:t>氨水/冷冻水</w:t>
            </w:r>
          </w:p>
        </w:tc>
        <w:tc>
          <w:tcPr>
            <w:tcW w:w="1200" w:type="dxa"/>
            <w:vAlign w:val="top"/>
          </w:tcPr>
          <w:p w14:paraId="6C70D8EA">
            <w:pPr>
              <w:keepNext w:val="0"/>
              <w:keepLines w:val="0"/>
              <w:suppressLineNumbers w:val="0"/>
              <w:spacing w:before="0" w:beforeAutospacing="0" w:after="0" w:afterAutospacing="0" w:line="322" w:lineRule="auto"/>
              <w:ind w:left="0" w:right="0"/>
              <w:rPr>
                <w:rFonts w:hint="default" w:ascii="Arial"/>
                <w:sz w:val="21"/>
              </w:rPr>
            </w:pPr>
          </w:p>
          <w:p w14:paraId="6C2553F7">
            <w:pPr>
              <w:pStyle w:val="22"/>
              <w:keepNext w:val="0"/>
              <w:keepLines w:val="0"/>
              <w:suppressLineNumbers w:val="0"/>
              <w:spacing w:before="69" w:beforeAutospacing="0" w:after="0" w:afterAutospacing="0" w:line="182" w:lineRule="auto"/>
              <w:ind w:left="558" w:right="0"/>
              <w:rPr>
                <w:rFonts w:hint="default"/>
              </w:rPr>
            </w:pPr>
            <w:r>
              <w:rPr>
                <w:rFonts w:hint="default"/>
              </w:rPr>
              <w:t>3</w:t>
            </w:r>
          </w:p>
        </w:tc>
      </w:tr>
      <w:tr w14:paraId="7396B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629D6D8E">
            <w:pPr>
              <w:pStyle w:val="22"/>
              <w:keepNext w:val="0"/>
              <w:keepLines w:val="0"/>
              <w:suppressLineNumbers w:val="0"/>
              <w:spacing w:before="255" w:beforeAutospacing="0" w:after="0" w:afterAutospacing="0" w:line="178" w:lineRule="auto"/>
              <w:ind w:left="131" w:right="0"/>
              <w:rPr>
                <w:rFonts w:hint="default"/>
              </w:rPr>
            </w:pPr>
            <w:r>
              <w:rPr>
                <w:rFonts w:hint="default"/>
                <w:spacing w:val="-5"/>
              </w:rPr>
              <w:t>15.</w:t>
            </w:r>
          </w:p>
        </w:tc>
        <w:tc>
          <w:tcPr>
            <w:tcW w:w="1334" w:type="dxa"/>
            <w:vAlign w:val="top"/>
          </w:tcPr>
          <w:p w14:paraId="0E0CBA71">
            <w:pPr>
              <w:pStyle w:val="22"/>
              <w:keepNext w:val="0"/>
              <w:keepLines w:val="0"/>
              <w:suppressLineNumbers w:val="0"/>
              <w:spacing w:before="254" w:beforeAutospacing="0" w:after="0" w:afterAutospacing="0" w:line="179" w:lineRule="auto"/>
              <w:ind w:left="142" w:right="0"/>
              <w:rPr>
                <w:rFonts w:hint="default"/>
              </w:rPr>
            </w:pPr>
            <w:r>
              <w:rPr>
                <w:rFonts w:hint="default"/>
              </w:rPr>
              <w:t>V120102A-C</w:t>
            </w:r>
          </w:p>
        </w:tc>
        <w:tc>
          <w:tcPr>
            <w:tcW w:w="1950" w:type="dxa"/>
            <w:vAlign w:val="top"/>
          </w:tcPr>
          <w:p w14:paraId="6E4775A2">
            <w:pPr>
              <w:pStyle w:val="22"/>
              <w:keepNext w:val="0"/>
              <w:keepLines w:val="0"/>
              <w:suppressLineNumbers w:val="0"/>
              <w:spacing w:before="221" w:beforeAutospacing="0" w:after="0" w:afterAutospacing="0" w:line="208" w:lineRule="auto"/>
              <w:ind w:left="114" w:right="0"/>
              <w:rPr>
                <w:rFonts w:hint="default"/>
              </w:rPr>
            </w:pPr>
            <w:r>
              <w:rPr>
                <w:rFonts w:hint="default"/>
                <w:spacing w:val="-1"/>
              </w:rPr>
              <w:t>氨水精制罐</w:t>
            </w:r>
          </w:p>
        </w:tc>
        <w:tc>
          <w:tcPr>
            <w:tcW w:w="2683" w:type="dxa"/>
            <w:vAlign w:val="top"/>
          </w:tcPr>
          <w:p w14:paraId="490D28B8">
            <w:pPr>
              <w:pStyle w:val="22"/>
              <w:keepNext w:val="0"/>
              <w:keepLines w:val="0"/>
              <w:suppressLineNumbers w:val="0"/>
              <w:spacing w:before="228" w:beforeAutospacing="0" w:after="0" w:afterAutospacing="0" w:line="223"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7240C9AB">
            <w:pPr>
              <w:pStyle w:val="22"/>
              <w:keepNext w:val="0"/>
              <w:keepLines w:val="0"/>
              <w:suppressLineNumbers w:val="0"/>
              <w:spacing w:before="221" w:beforeAutospacing="0" w:after="0" w:afterAutospacing="0" w:line="208" w:lineRule="auto"/>
              <w:ind w:left="325" w:right="0"/>
              <w:rPr>
                <w:rFonts w:hint="default"/>
              </w:rPr>
            </w:pPr>
            <w:r>
              <w:rPr>
                <w:rFonts w:hint="default"/>
                <w:spacing w:val="-2"/>
              </w:rPr>
              <w:t>常压、100℃</w:t>
            </w:r>
          </w:p>
        </w:tc>
        <w:tc>
          <w:tcPr>
            <w:tcW w:w="1800" w:type="dxa"/>
            <w:vAlign w:val="top"/>
          </w:tcPr>
          <w:p w14:paraId="119FF74D">
            <w:pPr>
              <w:pStyle w:val="22"/>
              <w:keepNext w:val="0"/>
              <w:keepLines w:val="0"/>
              <w:suppressLineNumbers w:val="0"/>
              <w:spacing w:before="221" w:beforeAutospacing="0" w:after="0" w:afterAutospacing="0" w:line="208" w:lineRule="auto"/>
              <w:ind w:left="386" w:right="0"/>
              <w:rPr>
                <w:rFonts w:hint="default"/>
              </w:rPr>
            </w:pPr>
            <w:r>
              <w:rPr>
                <w:rFonts w:hint="default"/>
                <w:spacing w:val="-2"/>
              </w:rPr>
              <w:t>常压、常温</w:t>
            </w:r>
          </w:p>
        </w:tc>
        <w:tc>
          <w:tcPr>
            <w:tcW w:w="1583" w:type="dxa"/>
            <w:vAlign w:val="top"/>
          </w:tcPr>
          <w:p w14:paraId="2DD604B8">
            <w:pPr>
              <w:pStyle w:val="22"/>
              <w:keepNext w:val="0"/>
              <w:keepLines w:val="0"/>
              <w:suppressLineNumbers w:val="0"/>
              <w:spacing w:before="256" w:beforeAutospacing="0" w:after="0" w:afterAutospacing="0" w:line="177" w:lineRule="auto"/>
              <w:ind w:left="645" w:right="0"/>
              <w:rPr>
                <w:rFonts w:hint="default"/>
              </w:rPr>
            </w:pPr>
            <w:r>
              <w:rPr>
                <w:rFonts w:hint="default"/>
                <w:spacing w:val="-4"/>
              </w:rPr>
              <w:t>304</w:t>
            </w:r>
          </w:p>
        </w:tc>
        <w:tc>
          <w:tcPr>
            <w:tcW w:w="1716" w:type="dxa"/>
            <w:vAlign w:val="top"/>
          </w:tcPr>
          <w:p w14:paraId="474A60D6">
            <w:pPr>
              <w:pStyle w:val="22"/>
              <w:keepNext w:val="0"/>
              <w:keepLines w:val="0"/>
              <w:suppressLineNumbers w:val="0"/>
              <w:spacing w:before="221" w:beforeAutospacing="0" w:after="0" w:afterAutospacing="0" w:line="208" w:lineRule="auto"/>
              <w:ind w:left="550" w:right="0"/>
              <w:rPr>
                <w:rFonts w:hint="default"/>
              </w:rPr>
            </w:pPr>
            <w:r>
              <w:rPr>
                <w:rFonts w:hint="default"/>
                <w:spacing w:val="-2"/>
              </w:rPr>
              <w:t>双氧水</w:t>
            </w:r>
          </w:p>
        </w:tc>
        <w:tc>
          <w:tcPr>
            <w:tcW w:w="1200" w:type="dxa"/>
            <w:vAlign w:val="top"/>
          </w:tcPr>
          <w:p w14:paraId="053513FA">
            <w:pPr>
              <w:pStyle w:val="22"/>
              <w:keepNext w:val="0"/>
              <w:keepLines w:val="0"/>
              <w:suppressLineNumbers w:val="0"/>
              <w:spacing w:before="255" w:beforeAutospacing="0" w:after="0" w:afterAutospacing="0" w:line="178" w:lineRule="auto"/>
              <w:ind w:left="569" w:right="0"/>
              <w:rPr>
                <w:rFonts w:hint="default"/>
              </w:rPr>
            </w:pPr>
            <w:r>
              <w:rPr>
                <w:rFonts w:hint="default"/>
              </w:rPr>
              <w:t>1</w:t>
            </w:r>
          </w:p>
        </w:tc>
      </w:tr>
      <w:tr w14:paraId="6023A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7EEEB71A">
            <w:pPr>
              <w:keepNext w:val="0"/>
              <w:keepLines w:val="0"/>
              <w:suppressLineNumbers w:val="0"/>
              <w:spacing w:before="0" w:beforeAutospacing="0" w:after="0" w:afterAutospacing="0" w:line="321" w:lineRule="auto"/>
              <w:ind w:left="0" w:right="0"/>
              <w:rPr>
                <w:rFonts w:hint="default" w:ascii="Arial"/>
                <w:sz w:val="21"/>
              </w:rPr>
            </w:pPr>
          </w:p>
          <w:p w14:paraId="063A4AD7">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16.</w:t>
            </w:r>
          </w:p>
        </w:tc>
        <w:tc>
          <w:tcPr>
            <w:tcW w:w="1334" w:type="dxa"/>
            <w:vAlign w:val="top"/>
          </w:tcPr>
          <w:p w14:paraId="59A686F9">
            <w:pPr>
              <w:keepNext w:val="0"/>
              <w:keepLines w:val="0"/>
              <w:suppressLineNumbers w:val="0"/>
              <w:spacing w:before="0" w:beforeAutospacing="0" w:after="0" w:afterAutospacing="0" w:line="321" w:lineRule="auto"/>
              <w:ind w:left="0" w:right="0"/>
              <w:rPr>
                <w:rFonts w:hint="default" w:ascii="Arial"/>
                <w:sz w:val="21"/>
              </w:rPr>
            </w:pPr>
          </w:p>
          <w:p w14:paraId="5CE32943">
            <w:pPr>
              <w:pStyle w:val="22"/>
              <w:keepNext w:val="0"/>
              <w:keepLines w:val="0"/>
              <w:suppressLineNumbers w:val="0"/>
              <w:spacing w:before="68" w:beforeAutospacing="0" w:after="0" w:afterAutospacing="0" w:line="183" w:lineRule="auto"/>
              <w:ind w:left="302" w:right="0"/>
              <w:rPr>
                <w:rFonts w:hint="default"/>
              </w:rPr>
            </w:pPr>
            <w:r>
              <w:rPr>
                <w:rFonts w:hint="default"/>
                <w:spacing w:val="-1"/>
              </w:rPr>
              <w:t>E120201</w:t>
            </w:r>
          </w:p>
        </w:tc>
        <w:tc>
          <w:tcPr>
            <w:tcW w:w="1950" w:type="dxa"/>
            <w:vAlign w:val="top"/>
          </w:tcPr>
          <w:p w14:paraId="15090CF2">
            <w:pPr>
              <w:keepNext w:val="0"/>
              <w:keepLines w:val="0"/>
              <w:suppressLineNumbers w:val="0"/>
              <w:spacing w:before="0" w:beforeAutospacing="0" w:after="0" w:afterAutospacing="0" w:line="287" w:lineRule="auto"/>
              <w:ind w:left="0" w:right="0"/>
              <w:rPr>
                <w:rFonts w:hint="default" w:ascii="Arial"/>
                <w:sz w:val="21"/>
              </w:rPr>
            </w:pPr>
          </w:p>
          <w:p w14:paraId="0D4E184F">
            <w:pPr>
              <w:pStyle w:val="22"/>
              <w:keepNext w:val="0"/>
              <w:keepLines w:val="0"/>
              <w:suppressLineNumbers w:val="0"/>
              <w:spacing w:before="69" w:beforeAutospacing="0" w:after="0" w:afterAutospacing="0" w:line="221" w:lineRule="auto"/>
              <w:ind w:left="115" w:right="0"/>
              <w:rPr>
                <w:rFonts w:hint="default"/>
              </w:rPr>
            </w:pPr>
            <w:r>
              <w:rPr>
                <w:rFonts w:hint="default"/>
                <w:spacing w:val="-2"/>
              </w:rPr>
              <w:t>预处理蒸发器</w:t>
            </w:r>
          </w:p>
        </w:tc>
        <w:tc>
          <w:tcPr>
            <w:tcW w:w="2683" w:type="dxa"/>
            <w:vAlign w:val="top"/>
          </w:tcPr>
          <w:p w14:paraId="066ADDF5">
            <w:pPr>
              <w:keepNext w:val="0"/>
              <w:keepLines w:val="0"/>
              <w:suppressLineNumbers w:val="0"/>
              <w:spacing w:before="0" w:beforeAutospacing="0" w:after="0" w:afterAutospacing="0" w:line="332" w:lineRule="auto"/>
              <w:ind w:left="0" w:right="0"/>
              <w:rPr>
                <w:rFonts w:hint="default" w:ascii="Arial"/>
                <w:sz w:val="21"/>
              </w:rPr>
            </w:pPr>
          </w:p>
          <w:p w14:paraId="087DC9CB">
            <w:pPr>
              <w:pStyle w:val="22"/>
              <w:keepNext w:val="0"/>
              <w:keepLines w:val="0"/>
              <w:suppressLineNumbers w:val="0"/>
              <w:spacing w:before="62" w:beforeAutospacing="0" w:after="0" w:afterAutospacing="0" w:line="231" w:lineRule="auto"/>
              <w:ind w:left="785" w:right="0"/>
              <w:rPr>
                <w:rFonts w:hint="default"/>
                <w:sz w:val="19"/>
                <w:szCs w:val="19"/>
              </w:rPr>
            </w:pPr>
            <w:r>
              <w:rPr>
                <w:rFonts w:hint="default"/>
                <w:sz w:val="19"/>
                <w:szCs w:val="19"/>
              </w:rPr>
              <w:t>DN</w:t>
            </w:r>
            <w:r>
              <w:rPr>
                <w:rFonts w:hint="default"/>
                <w:spacing w:val="5"/>
                <w:sz w:val="19"/>
                <w:szCs w:val="19"/>
              </w:rPr>
              <w:t>1200</w:t>
            </w:r>
            <w:r>
              <w:rPr>
                <w:rFonts w:hint="default" w:ascii="Times New Roman" w:hAnsi="Times New Roman" w:eastAsia="Times New Roman" w:cs="Times New Roman"/>
                <w:spacing w:val="5"/>
                <w:sz w:val="19"/>
                <w:szCs w:val="19"/>
              </w:rPr>
              <w:t>×</w:t>
            </w:r>
            <w:r>
              <w:rPr>
                <w:rFonts w:hint="default"/>
                <w:spacing w:val="5"/>
                <w:sz w:val="19"/>
                <w:szCs w:val="19"/>
              </w:rPr>
              <w:t>2000</w:t>
            </w:r>
          </w:p>
        </w:tc>
        <w:tc>
          <w:tcPr>
            <w:tcW w:w="1782" w:type="dxa"/>
            <w:vAlign w:val="top"/>
          </w:tcPr>
          <w:p w14:paraId="70C3010A">
            <w:pPr>
              <w:pStyle w:val="22"/>
              <w:keepNext w:val="0"/>
              <w:keepLines w:val="0"/>
              <w:suppressLineNumbers w:val="0"/>
              <w:spacing w:before="220" w:beforeAutospacing="0" w:after="0" w:afterAutospacing="0" w:line="218" w:lineRule="auto"/>
              <w:ind w:left="118" w:right="0"/>
              <w:rPr>
                <w:rFonts w:hint="default"/>
              </w:rPr>
            </w:pPr>
            <w:r>
              <w:rPr>
                <w:rFonts w:hint="default"/>
                <w:spacing w:val="-9"/>
              </w:rPr>
              <w:t>管程：0.8,</w:t>
            </w:r>
            <w:r>
              <w:rPr>
                <w:rFonts w:hint="default"/>
                <w:spacing w:val="-26"/>
              </w:rPr>
              <w:t xml:space="preserve"> </w:t>
            </w:r>
            <w:r>
              <w:rPr>
                <w:rFonts w:hint="default"/>
                <w:spacing w:val="-9"/>
              </w:rPr>
              <w:t>190℃</w:t>
            </w:r>
          </w:p>
          <w:p w14:paraId="13A52340">
            <w:pPr>
              <w:pStyle w:val="22"/>
              <w:keepNext w:val="0"/>
              <w:keepLines w:val="0"/>
              <w:suppressLineNumbers w:val="0"/>
              <w:spacing w:before="26" w:beforeAutospacing="0" w:after="0" w:afterAutospacing="0" w:line="206" w:lineRule="auto"/>
              <w:ind w:left="119" w:right="0"/>
              <w:rPr>
                <w:rFonts w:hint="default"/>
              </w:rPr>
            </w:pPr>
            <w:r>
              <w:rPr>
                <w:rFonts w:hint="default"/>
                <w:spacing w:val="-9"/>
              </w:rPr>
              <w:t>壳程：0.3,</w:t>
            </w:r>
            <w:r>
              <w:rPr>
                <w:rFonts w:hint="default"/>
                <w:spacing w:val="-27"/>
              </w:rPr>
              <w:t xml:space="preserve"> </w:t>
            </w:r>
            <w:r>
              <w:rPr>
                <w:rFonts w:hint="default"/>
                <w:spacing w:val="-9"/>
              </w:rPr>
              <w:t>160℃</w:t>
            </w:r>
          </w:p>
        </w:tc>
        <w:tc>
          <w:tcPr>
            <w:tcW w:w="1800" w:type="dxa"/>
            <w:vAlign w:val="top"/>
          </w:tcPr>
          <w:p w14:paraId="357A89A3">
            <w:pPr>
              <w:pStyle w:val="22"/>
              <w:keepNext w:val="0"/>
              <w:keepLines w:val="0"/>
              <w:suppressLineNumbers w:val="0"/>
              <w:spacing w:before="220" w:beforeAutospacing="0" w:after="0" w:afterAutospacing="0" w:line="218" w:lineRule="auto"/>
              <w:ind w:left="120" w:right="0"/>
              <w:rPr>
                <w:rFonts w:hint="default"/>
              </w:rPr>
            </w:pPr>
            <w:r>
              <w:rPr>
                <w:rFonts w:hint="default"/>
                <w:spacing w:val="-7"/>
              </w:rPr>
              <w:t>管程：0.5,</w:t>
            </w:r>
            <w:r>
              <w:rPr>
                <w:rFonts w:hint="default"/>
                <w:spacing w:val="-29"/>
              </w:rPr>
              <w:t xml:space="preserve"> </w:t>
            </w:r>
            <w:r>
              <w:rPr>
                <w:rFonts w:hint="default"/>
                <w:spacing w:val="-7"/>
              </w:rPr>
              <w:t>160℃</w:t>
            </w:r>
          </w:p>
          <w:p w14:paraId="19D3E2CF">
            <w:pPr>
              <w:pStyle w:val="22"/>
              <w:keepNext w:val="0"/>
              <w:keepLines w:val="0"/>
              <w:suppressLineNumbers w:val="0"/>
              <w:spacing w:before="26" w:beforeAutospacing="0" w:after="0" w:afterAutospacing="0" w:line="206" w:lineRule="auto"/>
              <w:ind w:left="120" w:right="0"/>
              <w:rPr>
                <w:rFonts w:hint="default"/>
              </w:rPr>
            </w:pPr>
            <w:r>
              <w:rPr>
                <w:rFonts w:hint="default"/>
                <w:spacing w:val="-8"/>
              </w:rPr>
              <w:t>壳程：0.1,</w:t>
            </w:r>
            <w:r>
              <w:rPr>
                <w:rFonts w:hint="default"/>
                <w:spacing w:val="-19"/>
              </w:rPr>
              <w:t xml:space="preserve"> </w:t>
            </w:r>
            <w:r>
              <w:rPr>
                <w:rFonts w:hint="default"/>
                <w:spacing w:val="-8"/>
              </w:rPr>
              <w:t>125℃</w:t>
            </w:r>
          </w:p>
        </w:tc>
        <w:tc>
          <w:tcPr>
            <w:tcW w:w="1583" w:type="dxa"/>
            <w:vAlign w:val="top"/>
          </w:tcPr>
          <w:p w14:paraId="1A454654">
            <w:pPr>
              <w:keepNext w:val="0"/>
              <w:keepLines w:val="0"/>
              <w:suppressLineNumbers w:val="0"/>
              <w:spacing w:before="0" w:beforeAutospacing="0" w:after="0" w:afterAutospacing="0" w:line="322" w:lineRule="auto"/>
              <w:ind w:left="0" w:right="0"/>
              <w:rPr>
                <w:rFonts w:hint="default" w:ascii="Arial"/>
                <w:sz w:val="21"/>
              </w:rPr>
            </w:pPr>
          </w:p>
          <w:p w14:paraId="75EA59B0">
            <w:pPr>
              <w:pStyle w:val="22"/>
              <w:keepNext w:val="0"/>
              <w:keepLines w:val="0"/>
              <w:suppressLineNumbers w:val="0"/>
              <w:spacing w:before="68" w:beforeAutospacing="0" w:after="0" w:afterAutospacing="0" w:line="182" w:lineRule="auto"/>
              <w:ind w:left="645" w:right="0"/>
              <w:rPr>
                <w:rFonts w:hint="default"/>
              </w:rPr>
            </w:pPr>
            <w:r>
              <w:rPr>
                <w:rFonts w:hint="default"/>
                <w:spacing w:val="-4"/>
              </w:rPr>
              <w:t>304</w:t>
            </w:r>
          </w:p>
        </w:tc>
        <w:tc>
          <w:tcPr>
            <w:tcW w:w="1716" w:type="dxa"/>
            <w:vAlign w:val="top"/>
          </w:tcPr>
          <w:p w14:paraId="5AF42122">
            <w:pPr>
              <w:keepNext w:val="0"/>
              <w:keepLines w:val="0"/>
              <w:suppressLineNumbers w:val="0"/>
              <w:spacing w:before="0" w:beforeAutospacing="0" w:after="0" w:afterAutospacing="0" w:line="287" w:lineRule="auto"/>
              <w:ind w:left="0" w:right="0"/>
              <w:rPr>
                <w:rFonts w:hint="default" w:ascii="Arial"/>
                <w:sz w:val="21"/>
              </w:rPr>
            </w:pPr>
          </w:p>
          <w:p w14:paraId="3794D8E6">
            <w:pPr>
              <w:pStyle w:val="22"/>
              <w:keepNext w:val="0"/>
              <w:keepLines w:val="0"/>
              <w:suppressLineNumbers w:val="0"/>
              <w:spacing w:before="68" w:beforeAutospacing="0" w:after="0" w:afterAutospacing="0" w:line="221" w:lineRule="auto"/>
              <w:ind w:left="291" w:right="0"/>
              <w:rPr>
                <w:rFonts w:hint="default"/>
              </w:rPr>
            </w:pPr>
            <w:r>
              <w:rPr>
                <w:rFonts w:hint="default"/>
                <w:spacing w:val="-2"/>
              </w:rPr>
              <w:t>蒸汽/异丙醇</w:t>
            </w:r>
          </w:p>
        </w:tc>
        <w:tc>
          <w:tcPr>
            <w:tcW w:w="1200" w:type="dxa"/>
            <w:vAlign w:val="top"/>
          </w:tcPr>
          <w:p w14:paraId="341EB1A9">
            <w:pPr>
              <w:keepNext w:val="0"/>
              <w:keepLines w:val="0"/>
              <w:suppressLineNumbers w:val="0"/>
              <w:spacing w:before="0" w:beforeAutospacing="0" w:after="0" w:afterAutospacing="0" w:line="321" w:lineRule="auto"/>
              <w:ind w:left="0" w:right="0"/>
              <w:rPr>
                <w:rFonts w:hint="default" w:ascii="Arial"/>
                <w:sz w:val="21"/>
              </w:rPr>
            </w:pPr>
          </w:p>
          <w:p w14:paraId="331C2AAB">
            <w:pPr>
              <w:pStyle w:val="22"/>
              <w:keepNext w:val="0"/>
              <w:keepLines w:val="0"/>
              <w:suppressLineNumbers w:val="0"/>
              <w:spacing w:before="68" w:beforeAutospacing="0" w:after="0" w:afterAutospacing="0" w:line="183" w:lineRule="auto"/>
              <w:ind w:left="569" w:right="0"/>
              <w:rPr>
                <w:rFonts w:hint="default"/>
              </w:rPr>
            </w:pPr>
            <w:r>
              <w:rPr>
                <w:rFonts w:hint="default"/>
              </w:rPr>
              <w:t>1</w:t>
            </w:r>
          </w:p>
        </w:tc>
      </w:tr>
      <w:tr w14:paraId="4C0C0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178EA1B8">
            <w:pPr>
              <w:pStyle w:val="22"/>
              <w:keepNext w:val="0"/>
              <w:keepLines w:val="0"/>
              <w:suppressLineNumbers w:val="0"/>
              <w:spacing w:before="255" w:beforeAutospacing="0" w:after="0" w:afterAutospacing="0" w:line="177" w:lineRule="auto"/>
              <w:ind w:left="131" w:right="0"/>
              <w:rPr>
                <w:rFonts w:hint="default"/>
              </w:rPr>
            </w:pPr>
            <w:r>
              <w:rPr>
                <w:rFonts w:hint="default"/>
                <w:spacing w:val="-5"/>
              </w:rPr>
              <w:t>17.</w:t>
            </w:r>
          </w:p>
        </w:tc>
        <w:tc>
          <w:tcPr>
            <w:tcW w:w="1334" w:type="dxa"/>
            <w:vAlign w:val="top"/>
          </w:tcPr>
          <w:p w14:paraId="2BF27C61">
            <w:pPr>
              <w:pStyle w:val="22"/>
              <w:keepNext w:val="0"/>
              <w:keepLines w:val="0"/>
              <w:suppressLineNumbers w:val="0"/>
              <w:spacing w:before="255" w:beforeAutospacing="0" w:after="0" w:afterAutospacing="0" w:line="177" w:lineRule="auto"/>
              <w:ind w:left="302" w:right="0"/>
              <w:rPr>
                <w:rFonts w:hint="default"/>
              </w:rPr>
            </w:pPr>
            <w:r>
              <w:rPr>
                <w:rFonts w:hint="default"/>
                <w:spacing w:val="-1"/>
              </w:rPr>
              <w:t>T120201</w:t>
            </w:r>
          </w:p>
        </w:tc>
        <w:tc>
          <w:tcPr>
            <w:tcW w:w="1950" w:type="dxa"/>
            <w:vAlign w:val="top"/>
          </w:tcPr>
          <w:p w14:paraId="78C3BE75">
            <w:pPr>
              <w:pStyle w:val="22"/>
              <w:keepNext w:val="0"/>
              <w:keepLines w:val="0"/>
              <w:suppressLineNumbers w:val="0"/>
              <w:spacing w:before="221" w:beforeAutospacing="0" w:after="0" w:afterAutospacing="0" w:line="207" w:lineRule="auto"/>
              <w:ind w:left="115" w:right="0"/>
              <w:rPr>
                <w:rFonts w:hint="default"/>
              </w:rPr>
            </w:pPr>
            <w:r>
              <w:rPr>
                <w:rFonts w:hint="default"/>
                <w:spacing w:val="-2"/>
              </w:rPr>
              <w:t>预处理塔</w:t>
            </w:r>
          </w:p>
        </w:tc>
        <w:tc>
          <w:tcPr>
            <w:tcW w:w="2683" w:type="dxa"/>
            <w:vAlign w:val="top"/>
          </w:tcPr>
          <w:p w14:paraId="28E48884">
            <w:pPr>
              <w:pStyle w:val="22"/>
              <w:keepNext w:val="0"/>
              <w:keepLines w:val="0"/>
              <w:suppressLineNumbers w:val="0"/>
              <w:spacing w:before="229" w:beforeAutospacing="0" w:after="0" w:afterAutospacing="0" w:line="221" w:lineRule="auto"/>
              <w:ind w:left="792" w:right="0"/>
              <w:rPr>
                <w:rFonts w:hint="default"/>
                <w:sz w:val="19"/>
                <w:szCs w:val="19"/>
              </w:rPr>
            </w:pPr>
            <w:r>
              <w:rPr>
                <w:rFonts w:hint="default"/>
                <w:sz w:val="19"/>
                <w:szCs w:val="19"/>
              </w:rPr>
              <w:t>DN</w:t>
            </w:r>
            <w:r>
              <w:rPr>
                <w:rFonts w:hint="default"/>
                <w:spacing w:val="6"/>
                <w:sz w:val="19"/>
                <w:szCs w:val="19"/>
              </w:rPr>
              <w:t>300×6000</w:t>
            </w:r>
          </w:p>
        </w:tc>
        <w:tc>
          <w:tcPr>
            <w:tcW w:w="1782" w:type="dxa"/>
            <w:vAlign w:val="top"/>
          </w:tcPr>
          <w:p w14:paraId="5EB29327">
            <w:pPr>
              <w:pStyle w:val="22"/>
              <w:keepNext w:val="0"/>
              <w:keepLines w:val="0"/>
              <w:suppressLineNumbers w:val="0"/>
              <w:spacing w:before="221" w:beforeAutospacing="0" w:after="0" w:afterAutospacing="0" w:line="207" w:lineRule="auto"/>
              <w:ind w:left="425" w:right="0"/>
              <w:rPr>
                <w:rFonts w:hint="default"/>
              </w:rPr>
            </w:pPr>
            <w:r>
              <w:rPr>
                <w:rFonts w:hint="default"/>
                <w:spacing w:val="-1"/>
              </w:rPr>
              <w:t>0.3,160℃</w:t>
            </w:r>
          </w:p>
        </w:tc>
        <w:tc>
          <w:tcPr>
            <w:tcW w:w="1800" w:type="dxa"/>
            <w:vAlign w:val="top"/>
          </w:tcPr>
          <w:p w14:paraId="15068F8F">
            <w:pPr>
              <w:pStyle w:val="22"/>
              <w:keepNext w:val="0"/>
              <w:keepLines w:val="0"/>
              <w:suppressLineNumbers w:val="0"/>
              <w:spacing w:before="221" w:beforeAutospacing="0" w:after="0" w:afterAutospacing="0" w:line="207" w:lineRule="auto"/>
              <w:ind w:left="436" w:right="0"/>
              <w:rPr>
                <w:rFonts w:hint="default"/>
              </w:rPr>
            </w:pPr>
            <w:r>
              <w:rPr>
                <w:rFonts w:hint="default"/>
                <w:spacing w:val="-1"/>
              </w:rPr>
              <w:t>0.1,125℃</w:t>
            </w:r>
          </w:p>
        </w:tc>
        <w:tc>
          <w:tcPr>
            <w:tcW w:w="1583" w:type="dxa"/>
            <w:vAlign w:val="top"/>
          </w:tcPr>
          <w:p w14:paraId="3C007B6E">
            <w:pPr>
              <w:pStyle w:val="22"/>
              <w:keepNext w:val="0"/>
              <w:keepLines w:val="0"/>
              <w:suppressLineNumbers w:val="0"/>
              <w:spacing w:before="256" w:beforeAutospacing="0" w:after="0" w:afterAutospacing="0" w:line="176" w:lineRule="auto"/>
              <w:ind w:left="645" w:right="0"/>
              <w:rPr>
                <w:rFonts w:hint="default"/>
              </w:rPr>
            </w:pPr>
            <w:r>
              <w:rPr>
                <w:rFonts w:hint="default"/>
                <w:spacing w:val="-4"/>
              </w:rPr>
              <w:t>304</w:t>
            </w:r>
          </w:p>
        </w:tc>
        <w:tc>
          <w:tcPr>
            <w:tcW w:w="1716" w:type="dxa"/>
            <w:vAlign w:val="top"/>
          </w:tcPr>
          <w:p w14:paraId="120645FC">
            <w:pPr>
              <w:pStyle w:val="22"/>
              <w:keepNext w:val="0"/>
              <w:keepLines w:val="0"/>
              <w:suppressLineNumbers w:val="0"/>
              <w:spacing w:before="221" w:beforeAutospacing="0" w:after="0" w:afterAutospacing="0" w:line="207" w:lineRule="auto"/>
              <w:ind w:left="553" w:right="0"/>
              <w:rPr>
                <w:rFonts w:hint="default"/>
              </w:rPr>
            </w:pPr>
            <w:r>
              <w:rPr>
                <w:rFonts w:hint="default"/>
                <w:spacing w:val="-2"/>
              </w:rPr>
              <w:t>异丙醇</w:t>
            </w:r>
          </w:p>
        </w:tc>
        <w:tc>
          <w:tcPr>
            <w:tcW w:w="1200" w:type="dxa"/>
            <w:vAlign w:val="top"/>
          </w:tcPr>
          <w:p w14:paraId="3DEDD540">
            <w:pPr>
              <w:pStyle w:val="22"/>
              <w:keepNext w:val="0"/>
              <w:keepLines w:val="0"/>
              <w:suppressLineNumbers w:val="0"/>
              <w:spacing w:before="255" w:beforeAutospacing="0" w:after="0" w:afterAutospacing="0" w:line="177" w:lineRule="auto"/>
              <w:ind w:left="569" w:right="0"/>
              <w:rPr>
                <w:rFonts w:hint="default"/>
              </w:rPr>
            </w:pPr>
            <w:r>
              <w:rPr>
                <w:rFonts w:hint="default"/>
              </w:rPr>
              <w:t>1</w:t>
            </w:r>
          </w:p>
        </w:tc>
      </w:tr>
      <w:tr w14:paraId="49AC1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72CF8123">
            <w:pPr>
              <w:keepNext w:val="0"/>
              <w:keepLines w:val="0"/>
              <w:suppressLineNumbers w:val="0"/>
              <w:spacing w:before="0" w:beforeAutospacing="0" w:after="0" w:afterAutospacing="0" w:line="322" w:lineRule="auto"/>
              <w:ind w:left="0" w:right="0"/>
              <w:rPr>
                <w:rFonts w:hint="default" w:ascii="Arial"/>
                <w:sz w:val="21"/>
              </w:rPr>
            </w:pPr>
          </w:p>
          <w:p w14:paraId="4E24D675">
            <w:pPr>
              <w:pStyle w:val="22"/>
              <w:keepNext w:val="0"/>
              <w:keepLines w:val="0"/>
              <w:suppressLineNumbers w:val="0"/>
              <w:spacing w:before="69" w:beforeAutospacing="0" w:after="0" w:afterAutospacing="0" w:line="183" w:lineRule="auto"/>
              <w:ind w:left="131" w:right="0"/>
              <w:rPr>
                <w:rFonts w:hint="default"/>
              </w:rPr>
            </w:pPr>
            <w:r>
              <w:rPr>
                <w:rFonts w:hint="default"/>
                <w:spacing w:val="-5"/>
              </w:rPr>
              <w:t>18.</w:t>
            </w:r>
          </w:p>
        </w:tc>
        <w:tc>
          <w:tcPr>
            <w:tcW w:w="1334" w:type="dxa"/>
            <w:vAlign w:val="top"/>
          </w:tcPr>
          <w:p w14:paraId="29D95CFC">
            <w:pPr>
              <w:keepNext w:val="0"/>
              <w:keepLines w:val="0"/>
              <w:suppressLineNumbers w:val="0"/>
              <w:spacing w:before="0" w:beforeAutospacing="0" w:after="0" w:afterAutospacing="0" w:line="322" w:lineRule="auto"/>
              <w:ind w:left="0" w:right="0"/>
              <w:rPr>
                <w:rFonts w:hint="default" w:ascii="Arial"/>
                <w:sz w:val="21"/>
              </w:rPr>
            </w:pPr>
          </w:p>
          <w:p w14:paraId="659B935F">
            <w:pPr>
              <w:pStyle w:val="22"/>
              <w:keepNext w:val="0"/>
              <w:keepLines w:val="0"/>
              <w:suppressLineNumbers w:val="0"/>
              <w:spacing w:before="69" w:beforeAutospacing="0" w:after="0" w:afterAutospacing="0" w:line="183" w:lineRule="auto"/>
              <w:ind w:left="302" w:right="0"/>
              <w:rPr>
                <w:rFonts w:hint="default"/>
              </w:rPr>
            </w:pPr>
            <w:r>
              <w:rPr>
                <w:rFonts w:hint="default"/>
                <w:spacing w:val="-1"/>
              </w:rPr>
              <w:t>E120202</w:t>
            </w:r>
          </w:p>
        </w:tc>
        <w:tc>
          <w:tcPr>
            <w:tcW w:w="1950" w:type="dxa"/>
            <w:vAlign w:val="top"/>
          </w:tcPr>
          <w:p w14:paraId="13B436C9">
            <w:pPr>
              <w:keepNext w:val="0"/>
              <w:keepLines w:val="0"/>
              <w:suppressLineNumbers w:val="0"/>
              <w:spacing w:before="0" w:beforeAutospacing="0" w:after="0" w:afterAutospacing="0" w:line="289" w:lineRule="auto"/>
              <w:ind w:left="0" w:right="0"/>
              <w:rPr>
                <w:rFonts w:hint="default" w:ascii="Arial"/>
                <w:sz w:val="21"/>
              </w:rPr>
            </w:pPr>
          </w:p>
          <w:p w14:paraId="66C92204">
            <w:pPr>
              <w:pStyle w:val="22"/>
              <w:keepNext w:val="0"/>
              <w:keepLines w:val="0"/>
              <w:suppressLineNumbers w:val="0"/>
              <w:spacing w:before="68" w:beforeAutospacing="0" w:after="0" w:afterAutospacing="0" w:line="221" w:lineRule="auto"/>
              <w:ind w:left="115" w:right="0"/>
              <w:rPr>
                <w:rFonts w:hint="default"/>
              </w:rPr>
            </w:pPr>
            <w:r>
              <w:rPr>
                <w:rFonts w:hint="default"/>
                <w:spacing w:val="-2"/>
              </w:rPr>
              <w:t>预处理冷凝器</w:t>
            </w:r>
          </w:p>
        </w:tc>
        <w:tc>
          <w:tcPr>
            <w:tcW w:w="2683" w:type="dxa"/>
            <w:vAlign w:val="top"/>
          </w:tcPr>
          <w:p w14:paraId="5E95AF20">
            <w:pPr>
              <w:keepNext w:val="0"/>
              <w:keepLines w:val="0"/>
              <w:suppressLineNumbers w:val="0"/>
              <w:spacing w:before="0" w:beforeAutospacing="0" w:after="0" w:afterAutospacing="0" w:line="300" w:lineRule="auto"/>
              <w:ind w:left="0" w:right="0"/>
              <w:rPr>
                <w:rFonts w:hint="default" w:ascii="Arial"/>
                <w:sz w:val="21"/>
              </w:rPr>
            </w:pPr>
          </w:p>
          <w:p w14:paraId="1F2B4763">
            <w:pPr>
              <w:pStyle w:val="22"/>
              <w:keepNext w:val="0"/>
              <w:keepLines w:val="0"/>
              <w:suppressLineNumbers w:val="0"/>
              <w:spacing w:before="62" w:beforeAutospacing="0" w:after="0" w:afterAutospacing="0" w:line="256" w:lineRule="exact"/>
              <w:ind w:left="792" w:right="0"/>
              <w:rPr>
                <w:rFonts w:hint="default"/>
                <w:sz w:val="19"/>
                <w:szCs w:val="19"/>
              </w:rPr>
            </w:pPr>
            <w:r>
              <w:rPr>
                <w:rFonts w:hint="default"/>
                <w:position w:val="1"/>
                <w:sz w:val="19"/>
                <w:szCs w:val="19"/>
              </w:rPr>
              <w:t>DN</w:t>
            </w:r>
            <w:r>
              <w:rPr>
                <w:rFonts w:hint="default"/>
                <w:spacing w:val="6"/>
                <w:position w:val="1"/>
                <w:sz w:val="19"/>
                <w:szCs w:val="19"/>
              </w:rPr>
              <w:t>600×3000</w:t>
            </w:r>
          </w:p>
        </w:tc>
        <w:tc>
          <w:tcPr>
            <w:tcW w:w="1782" w:type="dxa"/>
            <w:vAlign w:val="top"/>
          </w:tcPr>
          <w:p w14:paraId="07E29896">
            <w:pPr>
              <w:pStyle w:val="22"/>
              <w:keepNext w:val="0"/>
              <w:keepLines w:val="0"/>
              <w:suppressLineNumbers w:val="0"/>
              <w:spacing w:before="221" w:beforeAutospacing="0" w:after="0" w:afterAutospacing="0" w:line="218" w:lineRule="auto"/>
              <w:ind w:left="118" w:right="0"/>
              <w:rPr>
                <w:rFonts w:hint="default"/>
              </w:rPr>
            </w:pPr>
            <w:r>
              <w:rPr>
                <w:rFonts w:hint="default"/>
                <w:spacing w:val="-9"/>
              </w:rPr>
              <w:t>管程：0.3,</w:t>
            </w:r>
            <w:r>
              <w:rPr>
                <w:rFonts w:hint="default"/>
                <w:spacing w:val="-26"/>
              </w:rPr>
              <w:t xml:space="preserve"> </w:t>
            </w:r>
            <w:r>
              <w:rPr>
                <w:rFonts w:hint="default"/>
                <w:spacing w:val="-9"/>
              </w:rPr>
              <w:t>190℃</w:t>
            </w:r>
          </w:p>
          <w:p w14:paraId="6E7B3DD8">
            <w:pPr>
              <w:pStyle w:val="22"/>
              <w:keepNext w:val="0"/>
              <w:keepLines w:val="0"/>
              <w:suppressLineNumbers w:val="0"/>
              <w:spacing w:before="26" w:beforeAutospacing="0" w:after="0" w:afterAutospacing="0" w:line="205" w:lineRule="auto"/>
              <w:ind w:left="119" w:right="0"/>
              <w:rPr>
                <w:rFonts w:hint="default"/>
              </w:rPr>
            </w:pPr>
            <w:r>
              <w:rPr>
                <w:rFonts w:hint="default"/>
                <w:spacing w:val="-2"/>
              </w:rPr>
              <w:t>壳程：0.5, 60℃</w:t>
            </w:r>
          </w:p>
        </w:tc>
        <w:tc>
          <w:tcPr>
            <w:tcW w:w="1800" w:type="dxa"/>
            <w:vAlign w:val="top"/>
          </w:tcPr>
          <w:p w14:paraId="2DAAFF92">
            <w:pPr>
              <w:pStyle w:val="22"/>
              <w:keepNext w:val="0"/>
              <w:keepLines w:val="0"/>
              <w:suppressLineNumbers w:val="0"/>
              <w:spacing w:before="221" w:beforeAutospacing="0" w:after="0" w:afterAutospacing="0" w:line="218" w:lineRule="auto"/>
              <w:ind w:left="120" w:right="0"/>
              <w:rPr>
                <w:rFonts w:hint="default"/>
              </w:rPr>
            </w:pPr>
            <w:r>
              <w:rPr>
                <w:rFonts w:hint="default"/>
                <w:spacing w:val="-7"/>
              </w:rPr>
              <w:t>管程：0.1,</w:t>
            </w:r>
            <w:r>
              <w:rPr>
                <w:rFonts w:hint="default"/>
                <w:spacing w:val="-29"/>
              </w:rPr>
              <w:t xml:space="preserve"> </w:t>
            </w:r>
            <w:r>
              <w:rPr>
                <w:rFonts w:hint="default"/>
                <w:spacing w:val="-7"/>
              </w:rPr>
              <w:t>125℃</w:t>
            </w:r>
          </w:p>
          <w:p w14:paraId="155E66C8">
            <w:pPr>
              <w:pStyle w:val="22"/>
              <w:keepNext w:val="0"/>
              <w:keepLines w:val="0"/>
              <w:suppressLineNumbers w:val="0"/>
              <w:spacing w:before="26" w:beforeAutospacing="0" w:after="0" w:afterAutospacing="0" w:line="205" w:lineRule="auto"/>
              <w:ind w:left="120" w:right="0"/>
              <w:rPr>
                <w:rFonts w:hint="default"/>
              </w:rPr>
            </w:pPr>
            <w:r>
              <w:rPr>
                <w:rFonts w:hint="default"/>
                <w:spacing w:val="-1"/>
              </w:rPr>
              <w:t>壳程：0.3, 32℃</w:t>
            </w:r>
          </w:p>
        </w:tc>
        <w:tc>
          <w:tcPr>
            <w:tcW w:w="1583" w:type="dxa"/>
            <w:vAlign w:val="top"/>
          </w:tcPr>
          <w:p w14:paraId="3F75C4F1">
            <w:pPr>
              <w:keepNext w:val="0"/>
              <w:keepLines w:val="0"/>
              <w:suppressLineNumbers w:val="0"/>
              <w:spacing w:before="0" w:beforeAutospacing="0" w:after="0" w:afterAutospacing="0" w:line="323" w:lineRule="auto"/>
              <w:ind w:left="0" w:right="0"/>
              <w:rPr>
                <w:rFonts w:hint="default" w:ascii="Arial"/>
                <w:sz w:val="21"/>
              </w:rPr>
            </w:pPr>
          </w:p>
          <w:p w14:paraId="2B3BD1EB">
            <w:pPr>
              <w:pStyle w:val="22"/>
              <w:keepNext w:val="0"/>
              <w:keepLines w:val="0"/>
              <w:suppressLineNumbers w:val="0"/>
              <w:spacing w:before="69" w:beforeAutospacing="0" w:after="0" w:afterAutospacing="0" w:line="182" w:lineRule="auto"/>
              <w:ind w:left="645" w:right="0"/>
              <w:rPr>
                <w:rFonts w:hint="default"/>
              </w:rPr>
            </w:pPr>
            <w:r>
              <w:rPr>
                <w:rFonts w:hint="default"/>
                <w:spacing w:val="-4"/>
              </w:rPr>
              <w:t>304</w:t>
            </w:r>
          </w:p>
        </w:tc>
        <w:tc>
          <w:tcPr>
            <w:tcW w:w="1716" w:type="dxa"/>
            <w:vAlign w:val="top"/>
          </w:tcPr>
          <w:p w14:paraId="538D0C30">
            <w:pPr>
              <w:keepNext w:val="0"/>
              <w:keepLines w:val="0"/>
              <w:suppressLineNumbers w:val="0"/>
              <w:spacing w:before="0" w:beforeAutospacing="0" w:after="0" w:afterAutospacing="0" w:line="288" w:lineRule="auto"/>
              <w:ind w:left="0" w:right="0"/>
              <w:rPr>
                <w:rFonts w:hint="default" w:ascii="Arial"/>
                <w:sz w:val="21"/>
              </w:rPr>
            </w:pPr>
          </w:p>
          <w:p w14:paraId="757C5960">
            <w:pPr>
              <w:pStyle w:val="22"/>
              <w:keepNext w:val="0"/>
              <w:keepLines w:val="0"/>
              <w:suppressLineNumbers w:val="0"/>
              <w:spacing w:before="68" w:beforeAutospacing="0" w:after="0" w:afterAutospacing="0" w:line="221" w:lineRule="auto"/>
              <w:ind w:left="185" w:right="0"/>
              <w:rPr>
                <w:rFonts w:hint="default"/>
              </w:rPr>
            </w:pPr>
            <w:r>
              <w:rPr>
                <w:rFonts w:hint="default"/>
                <w:spacing w:val="-1"/>
              </w:rPr>
              <w:t>冷却水/异丙醇</w:t>
            </w:r>
          </w:p>
        </w:tc>
        <w:tc>
          <w:tcPr>
            <w:tcW w:w="1200" w:type="dxa"/>
            <w:vAlign w:val="top"/>
          </w:tcPr>
          <w:p w14:paraId="51AF449E">
            <w:pPr>
              <w:keepNext w:val="0"/>
              <w:keepLines w:val="0"/>
              <w:suppressLineNumbers w:val="0"/>
              <w:spacing w:before="0" w:beforeAutospacing="0" w:after="0" w:afterAutospacing="0" w:line="322" w:lineRule="auto"/>
              <w:ind w:left="0" w:right="0"/>
              <w:rPr>
                <w:rFonts w:hint="default" w:ascii="Arial"/>
                <w:sz w:val="21"/>
              </w:rPr>
            </w:pPr>
          </w:p>
          <w:p w14:paraId="7F18EE97">
            <w:pPr>
              <w:pStyle w:val="22"/>
              <w:keepNext w:val="0"/>
              <w:keepLines w:val="0"/>
              <w:suppressLineNumbers w:val="0"/>
              <w:spacing w:before="68" w:beforeAutospacing="0" w:after="0" w:afterAutospacing="0" w:line="183" w:lineRule="auto"/>
              <w:ind w:left="569" w:right="0"/>
              <w:rPr>
                <w:rFonts w:hint="default"/>
              </w:rPr>
            </w:pPr>
            <w:r>
              <w:rPr>
                <w:rFonts w:hint="default"/>
              </w:rPr>
              <w:t>1</w:t>
            </w:r>
          </w:p>
        </w:tc>
      </w:tr>
      <w:tr w14:paraId="6FAE3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003315A8">
            <w:pPr>
              <w:pStyle w:val="22"/>
              <w:keepNext w:val="0"/>
              <w:keepLines w:val="0"/>
              <w:suppressLineNumbers w:val="0"/>
              <w:spacing w:before="256" w:beforeAutospacing="0" w:after="0" w:afterAutospacing="0" w:line="177" w:lineRule="auto"/>
              <w:ind w:left="131" w:right="0"/>
              <w:rPr>
                <w:rFonts w:hint="default"/>
              </w:rPr>
            </w:pPr>
            <w:r>
              <w:rPr>
                <w:rFonts w:hint="default"/>
                <w:spacing w:val="-5"/>
              </w:rPr>
              <w:t>19.</w:t>
            </w:r>
          </w:p>
        </w:tc>
        <w:tc>
          <w:tcPr>
            <w:tcW w:w="1334" w:type="dxa"/>
            <w:vAlign w:val="top"/>
          </w:tcPr>
          <w:p w14:paraId="619038D6">
            <w:pPr>
              <w:pStyle w:val="22"/>
              <w:keepNext w:val="0"/>
              <w:keepLines w:val="0"/>
              <w:suppressLineNumbers w:val="0"/>
              <w:spacing w:before="256" w:beforeAutospacing="0" w:after="0" w:afterAutospacing="0" w:line="177" w:lineRule="auto"/>
              <w:ind w:left="300" w:right="0"/>
              <w:rPr>
                <w:rFonts w:hint="default"/>
              </w:rPr>
            </w:pPr>
            <w:r>
              <w:rPr>
                <w:rFonts w:hint="default"/>
              </w:rPr>
              <w:t>V120203</w:t>
            </w:r>
          </w:p>
        </w:tc>
        <w:tc>
          <w:tcPr>
            <w:tcW w:w="1950" w:type="dxa"/>
            <w:vAlign w:val="top"/>
          </w:tcPr>
          <w:p w14:paraId="57F4110B">
            <w:pPr>
              <w:pStyle w:val="22"/>
              <w:keepNext w:val="0"/>
              <w:keepLines w:val="0"/>
              <w:suppressLineNumbers w:val="0"/>
              <w:spacing w:before="222" w:beforeAutospacing="0" w:after="0" w:afterAutospacing="0" w:line="207" w:lineRule="auto"/>
              <w:ind w:left="134" w:right="0"/>
              <w:rPr>
                <w:rFonts w:hint="default"/>
              </w:rPr>
            </w:pPr>
            <w:r>
              <w:rPr>
                <w:rFonts w:hint="default"/>
                <w:spacing w:val="-5"/>
              </w:rPr>
              <w:t>中间缓冲罐</w:t>
            </w:r>
          </w:p>
        </w:tc>
        <w:tc>
          <w:tcPr>
            <w:tcW w:w="2683" w:type="dxa"/>
            <w:vAlign w:val="top"/>
          </w:tcPr>
          <w:p w14:paraId="484C38D2">
            <w:pPr>
              <w:pStyle w:val="22"/>
              <w:keepNext w:val="0"/>
              <w:keepLines w:val="0"/>
              <w:suppressLineNumbers w:val="0"/>
              <w:spacing w:before="229" w:beforeAutospacing="0" w:after="0" w:afterAutospacing="0" w:line="222" w:lineRule="auto"/>
              <w:ind w:left="742" w:right="0"/>
              <w:rPr>
                <w:rFonts w:hint="default"/>
                <w:sz w:val="19"/>
                <w:szCs w:val="19"/>
              </w:rPr>
            </w:pPr>
            <w:r>
              <w:rPr>
                <w:rFonts w:hint="default"/>
                <w:sz w:val="19"/>
                <w:szCs w:val="19"/>
              </w:rPr>
              <w:t>DN</w:t>
            </w:r>
            <w:r>
              <w:rPr>
                <w:rFonts w:hint="default"/>
                <w:spacing w:val="6"/>
                <w:sz w:val="19"/>
                <w:szCs w:val="19"/>
              </w:rPr>
              <w:t>2000×3000</w:t>
            </w:r>
          </w:p>
        </w:tc>
        <w:tc>
          <w:tcPr>
            <w:tcW w:w="1782" w:type="dxa"/>
            <w:vAlign w:val="top"/>
          </w:tcPr>
          <w:p w14:paraId="29D225F3">
            <w:pPr>
              <w:pStyle w:val="22"/>
              <w:keepNext w:val="0"/>
              <w:keepLines w:val="0"/>
              <w:suppressLineNumbers w:val="0"/>
              <w:spacing w:before="222" w:beforeAutospacing="0" w:after="0" w:afterAutospacing="0" w:line="207" w:lineRule="auto"/>
              <w:ind w:left="375" w:right="0"/>
              <w:rPr>
                <w:rFonts w:hint="default"/>
              </w:rPr>
            </w:pPr>
            <w:r>
              <w:rPr>
                <w:rFonts w:hint="default"/>
                <w:spacing w:val="-1"/>
              </w:rPr>
              <w:t>常温，常压</w:t>
            </w:r>
          </w:p>
        </w:tc>
        <w:tc>
          <w:tcPr>
            <w:tcW w:w="1800" w:type="dxa"/>
            <w:vAlign w:val="top"/>
          </w:tcPr>
          <w:p w14:paraId="21CD3DE5">
            <w:pPr>
              <w:pStyle w:val="22"/>
              <w:keepNext w:val="0"/>
              <w:keepLines w:val="0"/>
              <w:suppressLineNumbers w:val="0"/>
              <w:spacing w:before="222" w:beforeAutospacing="0" w:after="0" w:afterAutospacing="0" w:line="207" w:lineRule="auto"/>
              <w:ind w:left="120" w:right="0"/>
              <w:rPr>
                <w:rFonts w:hint="default"/>
              </w:rPr>
            </w:pPr>
            <w:r>
              <w:rPr>
                <w:rFonts w:hint="default"/>
                <w:spacing w:val="-1"/>
              </w:rPr>
              <w:t>常温，常压</w:t>
            </w:r>
          </w:p>
        </w:tc>
        <w:tc>
          <w:tcPr>
            <w:tcW w:w="1583" w:type="dxa"/>
            <w:vAlign w:val="top"/>
          </w:tcPr>
          <w:p w14:paraId="6FD8180C">
            <w:pPr>
              <w:pStyle w:val="22"/>
              <w:keepNext w:val="0"/>
              <w:keepLines w:val="0"/>
              <w:suppressLineNumbers w:val="0"/>
              <w:spacing w:before="257" w:beforeAutospacing="0" w:after="0" w:afterAutospacing="0" w:line="176" w:lineRule="auto"/>
              <w:ind w:left="645" w:right="0"/>
              <w:rPr>
                <w:rFonts w:hint="default"/>
              </w:rPr>
            </w:pPr>
            <w:r>
              <w:rPr>
                <w:rFonts w:hint="default"/>
                <w:spacing w:val="-4"/>
              </w:rPr>
              <w:t>304</w:t>
            </w:r>
          </w:p>
        </w:tc>
        <w:tc>
          <w:tcPr>
            <w:tcW w:w="1716" w:type="dxa"/>
            <w:vAlign w:val="top"/>
          </w:tcPr>
          <w:p w14:paraId="141083EB">
            <w:pPr>
              <w:pStyle w:val="22"/>
              <w:keepNext w:val="0"/>
              <w:keepLines w:val="0"/>
              <w:suppressLineNumbers w:val="0"/>
              <w:spacing w:before="222" w:beforeAutospacing="0" w:after="0" w:afterAutospacing="0" w:line="207" w:lineRule="auto"/>
              <w:ind w:left="553" w:right="0"/>
              <w:rPr>
                <w:rFonts w:hint="default"/>
              </w:rPr>
            </w:pPr>
            <w:r>
              <w:rPr>
                <w:rFonts w:hint="default"/>
                <w:spacing w:val="-2"/>
              </w:rPr>
              <w:t>异丙醇</w:t>
            </w:r>
          </w:p>
        </w:tc>
        <w:tc>
          <w:tcPr>
            <w:tcW w:w="1200" w:type="dxa"/>
            <w:vAlign w:val="top"/>
          </w:tcPr>
          <w:p w14:paraId="53A18D00">
            <w:pPr>
              <w:pStyle w:val="22"/>
              <w:keepNext w:val="0"/>
              <w:keepLines w:val="0"/>
              <w:suppressLineNumbers w:val="0"/>
              <w:spacing w:before="256" w:beforeAutospacing="0" w:after="0" w:afterAutospacing="0" w:line="177" w:lineRule="auto"/>
              <w:ind w:left="569" w:right="0"/>
              <w:rPr>
                <w:rFonts w:hint="default"/>
              </w:rPr>
            </w:pPr>
            <w:r>
              <w:rPr>
                <w:rFonts w:hint="default"/>
              </w:rPr>
              <w:t>1</w:t>
            </w:r>
          </w:p>
        </w:tc>
      </w:tr>
      <w:tr w14:paraId="7173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73AB679F">
            <w:pPr>
              <w:keepNext w:val="0"/>
              <w:keepLines w:val="0"/>
              <w:suppressLineNumbers w:val="0"/>
              <w:spacing w:before="0" w:beforeAutospacing="0" w:after="0" w:afterAutospacing="0" w:line="323" w:lineRule="auto"/>
              <w:ind w:left="0" w:right="0"/>
              <w:rPr>
                <w:rFonts w:hint="default" w:ascii="Arial"/>
                <w:sz w:val="21"/>
              </w:rPr>
            </w:pPr>
          </w:p>
          <w:p w14:paraId="2409C426">
            <w:pPr>
              <w:pStyle w:val="22"/>
              <w:keepNext w:val="0"/>
              <w:keepLines w:val="0"/>
              <w:suppressLineNumbers w:val="0"/>
              <w:spacing w:before="68" w:beforeAutospacing="0" w:after="0" w:afterAutospacing="0" w:line="182" w:lineRule="auto"/>
              <w:ind w:left="118" w:right="0"/>
              <w:rPr>
                <w:rFonts w:hint="default"/>
              </w:rPr>
            </w:pPr>
            <w:r>
              <w:rPr>
                <w:rFonts w:hint="default"/>
                <w:spacing w:val="-2"/>
              </w:rPr>
              <w:t>20.</w:t>
            </w:r>
          </w:p>
        </w:tc>
        <w:tc>
          <w:tcPr>
            <w:tcW w:w="1334" w:type="dxa"/>
            <w:vAlign w:val="top"/>
          </w:tcPr>
          <w:p w14:paraId="133D83B2">
            <w:pPr>
              <w:keepNext w:val="0"/>
              <w:keepLines w:val="0"/>
              <w:suppressLineNumbers w:val="0"/>
              <w:spacing w:before="0" w:beforeAutospacing="0" w:after="0" w:afterAutospacing="0" w:line="322" w:lineRule="auto"/>
              <w:ind w:left="0" w:right="0"/>
              <w:rPr>
                <w:rFonts w:hint="default" w:ascii="Arial"/>
                <w:sz w:val="21"/>
              </w:rPr>
            </w:pPr>
          </w:p>
          <w:p w14:paraId="1B571898">
            <w:pPr>
              <w:pStyle w:val="22"/>
              <w:keepNext w:val="0"/>
              <w:keepLines w:val="0"/>
              <w:suppressLineNumbers w:val="0"/>
              <w:spacing w:before="68" w:beforeAutospacing="0" w:after="0" w:afterAutospacing="0" w:line="183" w:lineRule="auto"/>
              <w:ind w:left="144" w:right="0"/>
              <w:rPr>
                <w:rFonts w:hint="default"/>
              </w:rPr>
            </w:pPr>
            <w:r>
              <w:rPr>
                <w:rFonts w:hint="default"/>
                <w:spacing w:val="-1"/>
              </w:rPr>
              <w:t>E120202A-D</w:t>
            </w:r>
          </w:p>
        </w:tc>
        <w:tc>
          <w:tcPr>
            <w:tcW w:w="1950" w:type="dxa"/>
            <w:vAlign w:val="top"/>
          </w:tcPr>
          <w:p w14:paraId="4F71959B">
            <w:pPr>
              <w:keepNext w:val="0"/>
              <w:keepLines w:val="0"/>
              <w:suppressLineNumbers w:val="0"/>
              <w:spacing w:before="0" w:beforeAutospacing="0" w:after="0" w:afterAutospacing="0" w:line="288" w:lineRule="auto"/>
              <w:ind w:left="0" w:right="0"/>
              <w:rPr>
                <w:rFonts w:hint="default" w:ascii="Arial"/>
                <w:sz w:val="21"/>
              </w:rPr>
            </w:pPr>
          </w:p>
          <w:p w14:paraId="1303F043">
            <w:pPr>
              <w:pStyle w:val="22"/>
              <w:keepNext w:val="0"/>
              <w:keepLines w:val="0"/>
              <w:suppressLineNumbers w:val="0"/>
              <w:spacing w:before="69" w:beforeAutospacing="0" w:after="0" w:afterAutospacing="0" w:line="221" w:lineRule="auto"/>
              <w:ind w:left="125" w:right="0"/>
              <w:rPr>
                <w:rFonts w:hint="default"/>
              </w:rPr>
            </w:pPr>
            <w:r>
              <w:rPr>
                <w:rFonts w:hint="default"/>
                <w:spacing w:val="-5"/>
              </w:rPr>
              <w:t>IPA</w:t>
            </w:r>
            <w:r>
              <w:rPr>
                <w:rFonts w:hint="default"/>
                <w:spacing w:val="-40"/>
              </w:rPr>
              <w:t xml:space="preserve"> </w:t>
            </w:r>
            <w:r>
              <w:rPr>
                <w:rFonts w:hint="default"/>
                <w:spacing w:val="-5"/>
              </w:rPr>
              <w:t>蒸发器</w:t>
            </w:r>
          </w:p>
        </w:tc>
        <w:tc>
          <w:tcPr>
            <w:tcW w:w="2683" w:type="dxa"/>
            <w:vAlign w:val="top"/>
          </w:tcPr>
          <w:p w14:paraId="412E8AAB">
            <w:pPr>
              <w:keepNext w:val="0"/>
              <w:keepLines w:val="0"/>
              <w:suppressLineNumbers w:val="0"/>
              <w:spacing w:before="0" w:beforeAutospacing="0" w:after="0" w:afterAutospacing="0" w:line="335" w:lineRule="auto"/>
              <w:ind w:left="0" w:right="0"/>
              <w:rPr>
                <w:rFonts w:hint="default" w:ascii="Arial"/>
                <w:sz w:val="21"/>
              </w:rPr>
            </w:pPr>
          </w:p>
          <w:p w14:paraId="79FB1848">
            <w:pPr>
              <w:pStyle w:val="22"/>
              <w:keepNext w:val="0"/>
              <w:keepLines w:val="0"/>
              <w:suppressLineNumbers w:val="0"/>
              <w:spacing w:before="62" w:beforeAutospacing="0" w:after="0" w:afterAutospacing="0" w:line="231" w:lineRule="auto"/>
              <w:ind w:left="835" w:right="0"/>
              <w:rPr>
                <w:rFonts w:hint="default"/>
                <w:sz w:val="19"/>
                <w:szCs w:val="19"/>
              </w:rPr>
            </w:pPr>
            <w:r>
              <w:rPr>
                <w:rFonts w:hint="default"/>
                <w:sz w:val="19"/>
                <w:szCs w:val="19"/>
              </w:rPr>
              <w:t>DN</w:t>
            </w:r>
            <w:r>
              <w:rPr>
                <w:rFonts w:hint="default"/>
                <w:spacing w:val="6"/>
                <w:sz w:val="19"/>
                <w:szCs w:val="19"/>
              </w:rPr>
              <w:t>800</w:t>
            </w:r>
            <w:r>
              <w:rPr>
                <w:rFonts w:hint="default" w:ascii="Times New Roman" w:hAnsi="Times New Roman" w:eastAsia="Times New Roman" w:cs="Times New Roman"/>
                <w:spacing w:val="6"/>
                <w:sz w:val="19"/>
                <w:szCs w:val="19"/>
              </w:rPr>
              <w:t>×</w:t>
            </w:r>
            <w:r>
              <w:rPr>
                <w:rFonts w:hint="default"/>
                <w:spacing w:val="6"/>
                <w:sz w:val="19"/>
                <w:szCs w:val="19"/>
              </w:rPr>
              <w:t>1500</w:t>
            </w:r>
          </w:p>
        </w:tc>
        <w:tc>
          <w:tcPr>
            <w:tcW w:w="1782" w:type="dxa"/>
            <w:vAlign w:val="top"/>
          </w:tcPr>
          <w:p w14:paraId="2E730AF5">
            <w:pPr>
              <w:pStyle w:val="22"/>
              <w:keepNext w:val="0"/>
              <w:keepLines w:val="0"/>
              <w:suppressLineNumbers w:val="0"/>
              <w:spacing w:before="221" w:beforeAutospacing="0" w:after="0" w:afterAutospacing="0" w:line="218" w:lineRule="auto"/>
              <w:ind w:left="118" w:right="0"/>
              <w:rPr>
                <w:rFonts w:hint="default"/>
              </w:rPr>
            </w:pPr>
            <w:r>
              <w:rPr>
                <w:rFonts w:hint="default"/>
                <w:spacing w:val="-9"/>
              </w:rPr>
              <w:t>管程：0.8,</w:t>
            </w:r>
            <w:r>
              <w:rPr>
                <w:rFonts w:hint="default"/>
                <w:spacing w:val="-26"/>
              </w:rPr>
              <w:t xml:space="preserve"> </w:t>
            </w:r>
            <w:r>
              <w:rPr>
                <w:rFonts w:hint="default"/>
                <w:spacing w:val="-9"/>
              </w:rPr>
              <w:t>190℃</w:t>
            </w:r>
          </w:p>
          <w:p w14:paraId="193A1303">
            <w:pPr>
              <w:pStyle w:val="22"/>
              <w:keepNext w:val="0"/>
              <w:keepLines w:val="0"/>
              <w:suppressLineNumbers w:val="0"/>
              <w:spacing w:before="26" w:beforeAutospacing="0" w:after="0" w:afterAutospacing="0" w:line="205" w:lineRule="auto"/>
              <w:ind w:left="119" w:right="0"/>
              <w:rPr>
                <w:rFonts w:hint="default"/>
              </w:rPr>
            </w:pPr>
            <w:r>
              <w:rPr>
                <w:rFonts w:hint="default"/>
                <w:spacing w:val="-9"/>
              </w:rPr>
              <w:t>壳程：0.3,</w:t>
            </w:r>
            <w:r>
              <w:rPr>
                <w:rFonts w:hint="default"/>
                <w:spacing w:val="-27"/>
              </w:rPr>
              <w:t xml:space="preserve"> </w:t>
            </w:r>
            <w:r>
              <w:rPr>
                <w:rFonts w:hint="default"/>
                <w:spacing w:val="-9"/>
              </w:rPr>
              <w:t>160℃</w:t>
            </w:r>
          </w:p>
        </w:tc>
        <w:tc>
          <w:tcPr>
            <w:tcW w:w="1800" w:type="dxa"/>
            <w:vAlign w:val="top"/>
          </w:tcPr>
          <w:p w14:paraId="514AF61D">
            <w:pPr>
              <w:pStyle w:val="22"/>
              <w:keepNext w:val="0"/>
              <w:keepLines w:val="0"/>
              <w:suppressLineNumbers w:val="0"/>
              <w:spacing w:before="221" w:beforeAutospacing="0" w:after="0" w:afterAutospacing="0" w:line="218" w:lineRule="auto"/>
              <w:ind w:left="120" w:right="0"/>
              <w:rPr>
                <w:rFonts w:hint="default"/>
              </w:rPr>
            </w:pPr>
            <w:r>
              <w:rPr>
                <w:rFonts w:hint="default"/>
                <w:spacing w:val="-7"/>
              </w:rPr>
              <w:t>管程：0.5,</w:t>
            </w:r>
            <w:r>
              <w:rPr>
                <w:rFonts w:hint="default"/>
                <w:spacing w:val="-29"/>
              </w:rPr>
              <w:t xml:space="preserve"> </w:t>
            </w:r>
            <w:r>
              <w:rPr>
                <w:rFonts w:hint="default"/>
                <w:spacing w:val="-7"/>
              </w:rPr>
              <w:t>160℃</w:t>
            </w:r>
          </w:p>
          <w:p w14:paraId="11C5EA99">
            <w:pPr>
              <w:pStyle w:val="22"/>
              <w:keepNext w:val="0"/>
              <w:keepLines w:val="0"/>
              <w:suppressLineNumbers w:val="0"/>
              <w:spacing w:before="26" w:beforeAutospacing="0" w:after="0" w:afterAutospacing="0" w:line="205" w:lineRule="auto"/>
              <w:ind w:left="120" w:right="0"/>
              <w:rPr>
                <w:rFonts w:hint="default"/>
              </w:rPr>
            </w:pPr>
            <w:r>
              <w:rPr>
                <w:rFonts w:hint="default"/>
                <w:spacing w:val="-8"/>
              </w:rPr>
              <w:t>壳程：0.1,</w:t>
            </w:r>
            <w:r>
              <w:rPr>
                <w:rFonts w:hint="default"/>
                <w:spacing w:val="-19"/>
              </w:rPr>
              <w:t xml:space="preserve"> </w:t>
            </w:r>
            <w:r>
              <w:rPr>
                <w:rFonts w:hint="default"/>
                <w:spacing w:val="-8"/>
              </w:rPr>
              <w:t>125℃</w:t>
            </w:r>
          </w:p>
        </w:tc>
        <w:tc>
          <w:tcPr>
            <w:tcW w:w="1583" w:type="dxa"/>
            <w:vAlign w:val="top"/>
          </w:tcPr>
          <w:p w14:paraId="403CA74B">
            <w:pPr>
              <w:keepNext w:val="0"/>
              <w:keepLines w:val="0"/>
              <w:suppressLineNumbers w:val="0"/>
              <w:spacing w:before="0" w:beforeAutospacing="0" w:after="0" w:afterAutospacing="0" w:line="323" w:lineRule="auto"/>
              <w:ind w:left="0" w:right="0"/>
              <w:rPr>
                <w:rFonts w:hint="default" w:ascii="Arial"/>
                <w:sz w:val="21"/>
              </w:rPr>
            </w:pPr>
          </w:p>
          <w:p w14:paraId="7042EB9F">
            <w:pPr>
              <w:pStyle w:val="22"/>
              <w:keepNext w:val="0"/>
              <w:keepLines w:val="0"/>
              <w:suppressLineNumbers w:val="0"/>
              <w:spacing w:before="68" w:beforeAutospacing="0" w:after="0" w:afterAutospacing="0" w:line="182" w:lineRule="auto"/>
              <w:ind w:left="645" w:right="0"/>
              <w:rPr>
                <w:rFonts w:hint="default"/>
              </w:rPr>
            </w:pPr>
            <w:r>
              <w:rPr>
                <w:rFonts w:hint="default"/>
                <w:spacing w:val="-4"/>
              </w:rPr>
              <w:t>304</w:t>
            </w:r>
          </w:p>
        </w:tc>
        <w:tc>
          <w:tcPr>
            <w:tcW w:w="1716" w:type="dxa"/>
            <w:vAlign w:val="top"/>
          </w:tcPr>
          <w:p w14:paraId="1C33DCB0">
            <w:pPr>
              <w:keepNext w:val="0"/>
              <w:keepLines w:val="0"/>
              <w:suppressLineNumbers w:val="0"/>
              <w:spacing w:before="0" w:beforeAutospacing="0" w:after="0" w:afterAutospacing="0" w:line="288" w:lineRule="auto"/>
              <w:ind w:left="0" w:right="0"/>
              <w:rPr>
                <w:rFonts w:hint="default" w:ascii="Arial"/>
                <w:sz w:val="21"/>
              </w:rPr>
            </w:pPr>
          </w:p>
          <w:p w14:paraId="1226C19F">
            <w:pPr>
              <w:pStyle w:val="22"/>
              <w:keepNext w:val="0"/>
              <w:keepLines w:val="0"/>
              <w:suppressLineNumbers w:val="0"/>
              <w:spacing w:before="68" w:beforeAutospacing="0" w:after="0" w:afterAutospacing="0" w:line="221" w:lineRule="auto"/>
              <w:ind w:left="291" w:right="0"/>
              <w:rPr>
                <w:rFonts w:hint="default"/>
              </w:rPr>
            </w:pPr>
            <w:r>
              <w:rPr>
                <w:rFonts w:hint="default"/>
                <w:spacing w:val="-2"/>
              </w:rPr>
              <w:t>蒸汽/异丙醇</w:t>
            </w:r>
          </w:p>
        </w:tc>
        <w:tc>
          <w:tcPr>
            <w:tcW w:w="1200" w:type="dxa"/>
            <w:vAlign w:val="top"/>
          </w:tcPr>
          <w:p w14:paraId="6DFD19E8">
            <w:pPr>
              <w:keepNext w:val="0"/>
              <w:keepLines w:val="0"/>
              <w:suppressLineNumbers w:val="0"/>
              <w:spacing w:before="0" w:beforeAutospacing="0" w:after="0" w:afterAutospacing="0" w:line="323" w:lineRule="auto"/>
              <w:ind w:left="0" w:right="0"/>
              <w:rPr>
                <w:rFonts w:hint="default" w:ascii="Arial"/>
                <w:sz w:val="21"/>
              </w:rPr>
            </w:pPr>
          </w:p>
          <w:p w14:paraId="5233AF5D">
            <w:pPr>
              <w:pStyle w:val="22"/>
              <w:keepNext w:val="0"/>
              <w:keepLines w:val="0"/>
              <w:suppressLineNumbers w:val="0"/>
              <w:spacing w:before="68" w:beforeAutospacing="0" w:after="0" w:afterAutospacing="0" w:line="182" w:lineRule="auto"/>
              <w:ind w:left="552" w:right="0"/>
              <w:rPr>
                <w:rFonts w:hint="default"/>
              </w:rPr>
            </w:pPr>
            <w:r>
              <w:rPr>
                <w:rFonts w:hint="default"/>
              </w:rPr>
              <w:t>4</w:t>
            </w:r>
          </w:p>
        </w:tc>
      </w:tr>
      <w:tr w14:paraId="03E6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75048FCA">
            <w:pPr>
              <w:pStyle w:val="22"/>
              <w:keepNext w:val="0"/>
              <w:keepLines w:val="0"/>
              <w:suppressLineNumbers w:val="0"/>
              <w:spacing w:before="256" w:beforeAutospacing="0" w:after="0" w:afterAutospacing="0" w:line="176" w:lineRule="auto"/>
              <w:ind w:left="118" w:right="0"/>
              <w:rPr>
                <w:rFonts w:hint="default"/>
              </w:rPr>
            </w:pPr>
            <w:r>
              <w:rPr>
                <w:rFonts w:hint="default"/>
                <w:spacing w:val="-2"/>
              </w:rPr>
              <w:t>21.</w:t>
            </w:r>
          </w:p>
        </w:tc>
        <w:tc>
          <w:tcPr>
            <w:tcW w:w="1334" w:type="dxa"/>
            <w:vAlign w:val="top"/>
          </w:tcPr>
          <w:p w14:paraId="68F11320">
            <w:pPr>
              <w:pStyle w:val="22"/>
              <w:keepNext w:val="0"/>
              <w:keepLines w:val="0"/>
              <w:suppressLineNumbers w:val="0"/>
              <w:spacing w:before="255" w:beforeAutospacing="0" w:after="0" w:afterAutospacing="0" w:line="177" w:lineRule="auto"/>
              <w:ind w:left="144" w:right="0"/>
              <w:rPr>
                <w:rFonts w:hint="default"/>
              </w:rPr>
            </w:pPr>
            <w:r>
              <w:rPr>
                <w:rFonts w:hint="default"/>
                <w:spacing w:val="-1"/>
              </w:rPr>
              <w:t>T120202A-D</w:t>
            </w:r>
          </w:p>
        </w:tc>
        <w:tc>
          <w:tcPr>
            <w:tcW w:w="1950" w:type="dxa"/>
            <w:vAlign w:val="top"/>
          </w:tcPr>
          <w:p w14:paraId="78BB386D">
            <w:pPr>
              <w:pStyle w:val="22"/>
              <w:keepNext w:val="0"/>
              <w:keepLines w:val="0"/>
              <w:suppressLineNumbers w:val="0"/>
              <w:spacing w:before="222" w:beforeAutospacing="0" w:after="0" w:afterAutospacing="0" w:line="206" w:lineRule="auto"/>
              <w:ind w:left="125" w:right="0"/>
              <w:rPr>
                <w:rFonts w:hint="default"/>
              </w:rPr>
            </w:pPr>
            <w:r>
              <w:rPr>
                <w:rFonts w:hint="default"/>
                <w:spacing w:val="-5"/>
              </w:rPr>
              <w:t>IPA</w:t>
            </w:r>
            <w:r>
              <w:rPr>
                <w:rFonts w:hint="default"/>
                <w:spacing w:val="-40"/>
              </w:rPr>
              <w:t xml:space="preserve"> </w:t>
            </w:r>
            <w:r>
              <w:rPr>
                <w:rFonts w:hint="default"/>
                <w:spacing w:val="-5"/>
              </w:rPr>
              <w:t>蒸馏塔</w:t>
            </w:r>
          </w:p>
        </w:tc>
        <w:tc>
          <w:tcPr>
            <w:tcW w:w="2683" w:type="dxa"/>
            <w:vAlign w:val="top"/>
          </w:tcPr>
          <w:p w14:paraId="7D2E2AF6">
            <w:pPr>
              <w:pStyle w:val="22"/>
              <w:keepNext w:val="0"/>
              <w:keepLines w:val="0"/>
              <w:suppressLineNumbers w:val="0"/>
              <w:spacing w:before="230" w:beforeAutospacing="0" w:after="0" w:afterAutospacing="0" w:line="220" w:lineRule="auto"/>
              <w:ind w:left="792" w:right="0"/>
              <w:rPr>
                <w:rFonts w:hint="default"/>
                <w:sz w:val="19"/>
                <w:szCs w:val="19"/>
              </w:rPr>
            </w:pPr>
            <w:r>
              <w:rPr>
                <w:rFonts w:hint="default"/>
                <w:sz w:val="19"/>
                <w:szCs w:val="19"/>
              </w:rPr>
              <w:t>DN</w:t>
            </w:r>
            <w:r>
              <w:rPr>
                <w:rFonts w:hint="default"/>
                <w:spacing w:val="6"/>
                <w:sz w:val="19"/>
                <w:szCs w:val="19"/>
              </w:rPr>
              <w:t>300×4000</w:t>
            </w:r>
          </w:p>
        </w:tc>
        <w:tc>
          <w:tcPr>
            <w:tcW w:w="1782" w:type="dxa"/>
            <w:vAlign w:val="top"/>
          </w:tcPr>
          <w:p w14:paraId="7188499D">
            <w:pPr>
              <w:pStyle w:val="22"/>
              <w:keepNext w:val="0"/>
              <w:keepLines w:val="0"/>
              <w:suppressLineNumbers w:val="0"/>
              <w:spacing w:before="222" w:beforeAutospacing="0" w:after="0" w:afterAutospacing="0" w:line="206" w:lineRule="auto"/>
              <w:ind w:left="425" w:right="0"/>
              <w:rPr>
                <w:rFonts w:hint="default"/>
              </w:rPr>
            </w:pPr>
            <w:r>
              <w:rPr>
                <w:rFonts w:hint="default"/>
                <w:spacing w:val="-1"/>
              </w:rPr>
              <w:t>0.3,160℃</w:t>
            </w:r>
          </w:p>
        </w:tc>
        <w:tc>
          <w:tcPr>
            <w:tcW w:w="1800" w:type="dxa"/>
            <w:vAlign w:val="top"/>
          </w:tcPr>
          <w:p w14:paraId="651A60C1">
            <w:pPr>
              <w:pStyle w:val="22"/>
              <w:keepNext w:val="0"/>
              <w:keepLines w:val="0"/>
              <w:suppressLineNumbers w:val="0"/>
              <w:spacing w:before="222" w:beforeAutospacing="0" w:after="0" w:afterAutospacing="0" w:line="206" w:lineRule="auto"/>
              <w:ind w:left="436" w:right="0"/>
              <w:rPr>
                <w:rFonts w:hint="default"/>
              </w:rPr>
            </w:pPr>
            <w:r>
              <w:rPr>
                <w:rFonts w:hint="default"/>
                <w:spacing w:val="-1"/>
              </w:rPr>
              <w:t>0.1,125℃</w:t>
            </w:r>
          </w:p>
        </w:tc>
        <w:tc>
          <w:tcPr>
            <w:tcW w:w="1583" w:type="dxa"/>
            <w:vAlign w:val="top"/>
          </w:tcPr>
          <w:p w14:paraId="4F39DA4B">
            <w:pPr>
              <w:pStyle w:val="22"/>
              <w:keepNext w:val="0"/>
              <w:keepLines w:val="0"/>
              <w:suppressLineNumbers w:val="0"/>
              <w:spacing w:before="257" w:beforeAutospacing="0" w:after="0" w:afterAutospacing="0" w:line="175" w:lineRule="auto"/>
              <w:ind w:left="645" w:right="0"/>
              <w:rPr>
                <w:rFonts w:hint="default"/>
              </w:rPr>
            </w:pPr>
            <w:r>
              <w:rPr>
                <w:rFonts w:hint="default"/>
                <w:spacing w:val="-4"/>
              </w:rPr>
              <w:t>304</w:t>
            </w:r>
          </w:p>
        </w:tc>
        <w:tc>
          <w:tcPr>
            <w:tcW w:w="1716" w:type="dxa"/>
            <w:vAlign w:val="top"/>
          </w:tcPr>
          <w:p w14:paraId="73632231">
            <w:pPr>
              <w:pStyle w:val="22"/>
              <w:keepNext w:val="0"/>
              <w:keepLines w:val="0"/>
              <w:suppressLineNumbers w:val="0"/>
              <w:spacing w:before="222" w:beforeAutospacing="0" w:after="0" w:afterAutospacing="0" w:line="206" w:lineRule="auto"/>
              <w:ind w:left="553" w:right="0"/>
              <w:rPr>
                <w:rFonts w:hint="default"/>
              </w:rPr>
            </w:pPr>
            <w:r>
              <w:rPr>
                <w:rFonts w:hint="default"/>
                <w:spacing w:val="-2"/>
              </w:rPr>
              <w:t>异丙醇</w:t>
            </w:r>
          </w:p>
        </w:tc>
        <w:tc>
          <w:tcPr>
            <w:tcW w:w="1200" w:type="dxa"/>
            <w:vAlign w:val="top"/>
          </w:tcPr>
          <w:p w14:paraId="3E9AD73F">
            <w:pPr>
              <w:pStyle w:val="22"/>
              <w:keepNext w:val="0"/>
              <w:keepLines w:val="0"/>
              <w:suppressLineNumbers w:val="0"/>
              <w:spacing w:before="257" w:beforeAutospacing="0" w:after="0" w:afterAutospacing="0" w:line="175" w:lineRule="auto"/>
              <w:ind w:left="552" w:right="0"/>
              <w:rPr>
                <w:rFonts w:hint="default"/>
              </w:rPr>
            </w:pPr>
            <w:r>
              <w:rPr>
                <w:rFonts w:hint="default"/>
              </w:rPr>
              <w:t>4</w:t>
            </w:r>
          </w:p>
        </w:tc>
      </w:tr>
      <w:tr w14:paraId="0EFDA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461" w:type="dxa"/>
            <w:vAlign w:val="top"/>
          </w:tcPr>
          <w:p w14:paraId="7769BDE2">
            <w:pPr>
              <w:keepNext w:val="0"/>
              <w:keepLines w:val="0"/>
              <w:suppressLineNumbers w:val="0"/>
              <w:spacing w:before="0" w:beforeAutospacing="0" w:after="0" w:afterAutospacing="0" w:line="325" w:lineRule="auto"/>
              <w:ind w:left="0" w:right="0"/>
              <w:rPr>
                <w:rFonts w:hint="default" w:ascii="Arial"/>
                <w:sz w:val="21"/>
              </w:rPr>
            </w:pPr>
          </w:p>
          <w:p w14:paraId="723E0DAD">
            <w:pPr>
              <w:pStyle w:val="22"/>
              <w:keepNext w:val="0"/>
              <w:keepLines w:val="0"/>
              <w:suppressLineNumbers w:val="0"/>
              <w:spacing w:before="68" w:beforeAutospacing="0" w:after="0" w:afterAutospacing="0" w:line="182" w:lineRule="auto"/>
              <w:ind w:left="118" w:right="0"/>
              <w:rPr>
                <w:rFonts w:hint="default"/>
              </w:rPr>
            </w:pPr>
            <w:r>
              <w:rPr>
                <w:rFonts w:hint="default"/>
                <w:spacing w:val="-2"/>
              </w:rPr>
              <w:t>22.</w:t>
            </w:r>
          </w:p>
        </w:tc>
        <w:tc>
          <w:tcPr>
            <w:tcW w:w="1334" w:type="dxa"/>
            <w:vAlign w:val="top"/>
          </w:tcPr>
          <w:p w14:paraId="24EC0CAA">
            <w:pPr>
              <w:keepNext w:val="0"/>
              <w:keepLines w:val="0"/>
              <w:suppressLineNumbers w:val="0"/>
              <w:spacing w:before="0" w:beforeAutospacing="0" w:after="0" w:afterAutospacing="0" w:line="323" w:lineRule="auto"/>
              <w:ind w:left="0" w:right="0"/>
              <w:rPr>
                <w:rFonts w:hint="default" w:ascii="Arial"/>
                <w:sz w:val="21"/>
              </w:rPr>
            </w:pPr>
          </w:p>
          <w:p w14:paraId="3E605F2C">
            <w:pPr>
              <w:pStyle w:val="22"/>
              <w:keepNext w:val="0"/>
              <w:keepLines w:val="0"/>
              <w:suppressLineNumbers w:val="0"/>
              <w:spacing w:before="69" w:beforeAutospacing="0" w:after="0" w:afterAutospacing="0" w:line="183" w:lineRule="auto"/>
              <w:ind w:left="144" w:right="0"/>
              <w:rPr>
                <w:rFonts w:hint="default"/>
              </w:rPr>
            </w:pPr>
            <w:r>
              <w:rPr>
                <w:rFonts w:hint="default"/>
                <w:spacing w:val="-1"/>
              </w:rPr>
              <w:t>E120205A-D</w:t>
            </w:r>
          </w:p>
        </w:tc>
        <w:tc>
          <w:tcPr>
            <w:tcW w:w="1950" w:type="dxa"/>
            <w:vAlign w:val="top"/>
          </w:tcPr>
          <w:p w14:paraId="2848F90D">
            <w:pPr>
              <w:keepNext w:val="0"/>
              <w:keepLines w:val="0"/>
              <w:suppressLineNumbers w:val="0"/>
              <w:spacing w:before="0" w:beforeAutospacing="0" w:after="0" w:afterAutospacing="0" w:line="289" w:lineRule="auto"/>
              <w:ind w:left="0" w:right="0"/>
              <w:rPr>
                <w:rFonts w:hint="default" w:ascii="Arial"/>
                <w:sz w:val="21"/>
              </w:rPr>
            </w:pPr>
          </w:p>
          <w:p w14:paraId="474ED501">
            <w:pPr>
              <w:pStyle w:val="22"/>
              <w:keepNext w:val="0"/>
              <w:keepLines w:val="0"/>
              <w:suppressLineNumbers w:val="0"/>
              <w:spacing w:before="69" w:beforeAutospacing="0" w:after="0" w:afterAutospacing="0" w:line="222" w:lineRule="auto"/>
              <w:ind w:left="125" w:right="0"/>
              <w:rPr>
                <w:rFonts w:hint="default"/>
              </w:rPr>
            </w:pPr>
            <w:r>
              <w:rPr>
                <w:rFonts w:hint="default"/>
                <w:spacing w:val="-5"/>
              </w:rPr>
              <w:t>IPA</w:t>
            </w:r>
            <w:r>
              <w:rPr>
                <w:rFonts w:hint="default"/>
                <w:spacing w:val="-40"/>
              </w:rPr>
              <w:t xml:space="preserve"> </w:t>
            </w:r>
            <w:r>
              <w:rPr>
                <w:rFonts w:hint="default"/>
                <w:spacing w:val="-5"/>
              </w:rPr>
              <w:t>冷凝器</w:t>
            </w:r>
          </w:p>
        </w:tc>
        <w:tc>
          <w:tcPr>
            <w:tcW w:w="2683" w:type="dxa"/>
            <w:vAlign w:val="top"/>
          </w:tcPr>
          <w:p w14:paraId="4E618E3D">
            <w:pPr>
              <w:keepNext w:val="0"/>
              <w:keepLines w:val="0"/>
              <w:suppressLineNumbers w:val="0"/>
              <w:spacing w:before="0" w:beforeAutospacing="0" w:after="0" w:afterAutospacing="0" w:line="304" w:lineRule="auto"/>
              <w:ind w:left="0" w:right="0"/>
              <w:rPr>
                <w:rFonts w:hint="default" w:ascii="Arial"/>
                <w:sz w:val="21"/>
              </w:rPr>
            </w:pPr>
          </w:p>
          <w:p w14:paraId="3475827E">
            <w:pPr>
              <w:pStyle w:val="22"/>
              <w:keepNext w:val="0"/>
              <w:keepLines w:val="0"/>
              <w:suppressLineNumbers w:val="0"/>
              <w:spacing w:before="61" w:beforeAutospacing="0" w:after="0" w:afterAutospacing="0" w:line="256" w:lineRule="exact"/>
              <w:ind w:left="792" w:right="0"/>
              <w:rPr>
                <w:rFonts w:hint="default"/>
                <w:sz w:val="19"/>
                <w:szCs w:val="19"/>
              </w:rPr>
            </w:pPr>
            <w:r>
              <w:rPr>
                <w:rFonts w:hint="default"/>
                <w:position w:val="1"/>
                <w:sz w:val="19"/>
                <w:szCs w:val="19"/>
              </w:rPr>
              <w:t>DN</w:t>
            </w:r>
            <w:r>
              <w:rPr>
                <w:rFonts w:hint="default"/>
                <w:spacing w:val="6"/>
                <w:position w:val="1"/>
                <w:sz w:val="19"/>
                <w:szCs w:val="19"/>
              </w:rPr>
              <w:t>500×3000</w:t>
            </w:r>
          </w:p>
        </w:tc>
        <w:tc>
          <w:tcPr>
            <w:tcW w:w="1782" w:type="dxa"/>
            <w:vAlign w:val="top"/>
          </w:tcPr>
          <w:p w14:paraId="360F84E5">
            <w:pPr>
              <w:pStyle w:val="22"/>
              <w:keepNext w:val="0"/>
              <w:keepLines w:val="0"/>
              <w:suppressLineNumbers w:val="0"/>
              <w:spacing w:before="222" w:beforeAutospacing="0" w:after="0" w:afterAutospacing="0" w:line="218" w:lineRule="auto"/>
              <w:ind w:left="118" w:right="0"/>
              <w:rPr>
                <w:rFonts w:hint="default"/>
              </w:rPr>
            </w:pPr>
            <w:r>
              <w:rPr>
                <w:rFonts w:hint="default"/>
                <w:spacing w:val="-9"/>
              </w:rPr>
              <w:t>管程：0.3,</w:t>
            </w:r>
            <w:r>
              <w:rPr>
                <w:rFonts w:hint="default"/>
                <w:spacing w:val="-26"/>
              </w:rPr>
              <w:t xml:space="preserve"> </w:t>
            </w:r>
            <w:r>
              <w:rPr>
                <w:rFonts w:hint="default"/>
                <w:spacing w:val="-9"/>
              </w:rPr>
              <w:t>190℃</w:t>
            </w:r>
          </w:p>
          <w:p w14:paraId="23537FFB">
            <w:pPr>
              <w:pStyle w:val="22"/>
              <w:keepNext w:val="0"/>
              <w:keepLines w:val="0"/>
              <w:suppressLineNumbers w:val="0"/>
              <w:spacing w:before="26" w:beforeAutospacing="0" w:after="0" w:afterAutospacing="0" w:line="203" w:lineRule="auto"/>
              <w:ind w:left="119" w:right="0"/>
              <w:rPr>
                <w:rFonts w:hint="default"/>
              </w:rPr>
            </w:pPr>
            <w:r>
              <w:rPr>
                <w:rFonts w:hint="default"/>
                <w:spacing w:val="-2"/>
              </w:rPr>
              <w:t>壳程：0.5, 60℃</w:t>
            </w:r>
          </w:p>
        </w:tc>
        <w:tc>
          <w:tcPr>
            <w:tcW w:w="1800" w:type="dxa"/>
            <w:vAlign w:val="top"/>
          </w:tcPr>
          <w:p w14:paraId="5F5D31CD">
            <w:pPr>
              <w:pStyle w:val="22"/>
              <w:keepNext w:val="0"/>
              <w:keepLines w:val="0"/>
              <w:suppressLineNumbers w:val="0"/>
              <w:spacing w:before="222" w:beforeAutospacing="0" w:after="0" w:afterAutospacing="0" w:line="218" w:lineRule="auto"/>
              <w:ind w:left="120" w:right="0"/>
              <w:rPr>
                <w:rFonts w:hint="default"/>
              </w:rPr>
            </w:pPr>
            <w:r>
              <w:rPr>
                <w:rFonts w:hint="default"/>
                <w:spacing w:val="-7"/>
              </w:rPr>
              <w:t>管程：0.1,</w:t>
            </w:r>
            <w:r>
              <w:rPr>
                <w:rFonts w:hint="default"/>
                <w:spacing w:val="-29"/>
              </w:rPr>
              <w:t xml:space="preserve"> </w:t>
            </w:r>
            <w:r>
              <w:rPr>
                <w:rFonts w:hint="default"/>
                <w:spacing w:val="-7"/>
              </w:rPr>
              <w:t>125℃</w:t>
            </w:r>
          </w:p>
          <w:p w14:paraId="194BA3E3">
            <w:pPr>
              <w:pStyle w:val="22"/>
              <w:keepNext w:val="0"/>
              <w:keepLines w:val="0"/>
              <w:suppressLineNumbers w:val="0"/>
              <w:spacing w:before="26" w:beforeAutospacing="0" w:after="0" w:afterAutospacing="0" w:line="203" w:lineRule="auto"/>
              <w:ind w:left="120" w:right="0"/>
              <w:rPr>
                <w:rFonts w:hint="default"/>
              </w:rPr>
            </w:pPr>
            <w:r>
              <w:rPr>
                <w:rFonts w:hint="default"/>
                <w:spacing w:val="-1"/>
              </w:rPr>
              <w:t>壳程：0.3, 32℃</w:t>
            </w:r>
          </w:p>
        </w:tc>
        <w:tc>
          <w:tcPr>
            <w:tcW w:w="1583" w:type="dxa"/>
            <w:vAlign w:val="top"/>
          </w:tcPr>
          <w:p w14:paraId="355203B5">
            <w:pPr>
              <w:keepNext w:val="0"/>
              <w:keepLines w:val="0"/>
              <w:suppressLineNumbers w:val="0"/>
              <w:spacing w:before="0" w:beforeAutospacing="0" w:after="0" w:afterAutospacing="0" w:line="325" w:lineRule="auto"/>
              <w:ind w:left="0" w:right="0"/>
              <w:rPr>
                <w:rFonts w:hint="default" w:ascii="Arial"/>
                <w:sz w:val="21"/>
              </w:rPr>
            </w:pPr>
          </w:p>
          <w:p w14:paraId="100A7A40">
            <w:pPr>
              <w:pStyle w:val="22"/>
              <w:keepNext w:val="0"/>
              <w:keepLines w:val="0"/>
              <w:suppressLineNumbers w:val="0"/>
              <w:spacing w:before="68" w:beforeAutospacing="0" w:after="0" w:afterAutospacing="0" w:line="182" w:lineRule="auto"/>
              <w:ind w:left="645" w:right="0"/>
              <w:rPr>
                <w:rFonts w:hint="default"/>
              </w:rPr>
            </w:pPr>
            <w:r>
              <w:rPr>
                <w:rFonts w:hint="default"/>
                <w:spacing w:val="-4"/>
              </w:rPr>
              <w:t>304</w:t>
            </w:r>
          </w:p>
        </w:tc>
        <w:tc>
          <w:tcPr>
            <w:tcW w:w="1716" w:type="dxa"/>
            <w:vAlign w:val="top"/>
          </w:tcPr>
          <w:p w14:paraId="0263EBB1">
            <w:pPr>
              <w:keepNext w:val="0"/>
              <w:keepLines w:val="0"/>
              <w:suppressLineNumbers w:val="0"/>
              <w:spacing w:before="0" w:beforeAutospacing="0" w:after="0" w:afterAutospacing="0" w:line="289" w:lineRule="auto"/>
              <w:ind w:left="0" w:right="0"/>
              <w:rPr>
                <w:rFonts w:hint="default" w:ascii="Arial"/>
                <w:sz w:val="21"/>
              </w:rPr>
            </w:pPr>
          </w:p>
          <w:p w14:paraId="069CFC49">
            <w:pPr>
              <w:pStyle w:val="22"/>
              <w:keepNext w:val="0"/>
              <w:keepLines w:val="0"/>
              <w:suppressLineNumbers w:val="0"/>
              <w:spacing w:before="68" w:beforeAutospacing="0" w:after="0" w:afterAutospacing="0" w:line="221" w:lineRule="auto"/>
              <w:ind w:left="185" w:right="0"/>
              <w:rPr>
                <w:rFonts w:hint="default"/>
              </w:rPr>
            </w:pPr>
            <w:r>
              <w:rPr>
                <w:rFonts w:hint="default"/>
                <w:spacing w:val="-1"/>
              </w:rPr>
              <w:t>冷却水/异丙醇</w:t>
            </w:r>
          </w:p>
        </w:tc>
        <w:tc>
          <w:tcPr>
            <w:tcW w:w="1200" w:type="dxa"/>
            <w:vAlign w:val="top"/>
          </w:tcPr>
          <w:p w14:paraId="0C960D5F">
            <w:pPr>
              <w:keepNext w:val="0"/>
              <w:keepLines w:val="0"/>
              <w:suppressLineNumbers w:val="0"/>
              <w:spacing w:before="0" w:beforeAutospacing="0" w:after="0" w:afterAutospacing="0" w:line="324" w:lineRule="auto"/>
              <w:ind w:left="0" w:right="0"/>
              <w:rPr>
                <w:rFonts w:hint="default" w:ascii="Arial"/>
                <w:sz w:val="21"/>
              </w:rPr>
            </w:pPr>
          </w:p>
          <w:p w14:paraId="32781654">
            <w:pPr>
              <w:pStyle w:val="22"/>
              <w:keepNext w:val="0"/>
              <w:keepLines w:val="0"/>
              <w:suppressLineNumbers w:val="0"/>
              <w:spacing w:before="69" w:beforeAutospacing="0" w:after="0" w:afterAutospacing="0" w:line="182" w:lineRule="auto"/>
              <w:ind w:left="552" w:right="0"/>
              <w:rPr>
                <w:rFonts w:hint="default"/>
              </w:rPr>
            </w:pPr>
            <w:r>
              <w:rPr>
                <w:rFonts w:hint="default"/>
              </w:rPr>
              <w:t>4</w:t>
            </w:r>
          </w:p>
        </w:tc>
      </w:tr>
      <w:tr w14:paraId="21C5C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1" w:type="dxa"/>
            <w:vAlign w:val="top"/>
          </w:tcPr>
          <w:p w14:paraId="4CC6373E">
            <w:pPr>
              <w:pStyle w:val="22"/>
              <w:keepNext w:val="0"/>
              <w:keepLines w:val="0"/>
              <w:suppressLineNumbers w:val="0"/>
              <w:spacing w:before="261" w:beforeAutospacing="0" w:after="0" w:afterAutospacing="0" w:line="176" w:lineRule="auto"/>
              <w:ind w:left="118" w:right="0"/>
              <w:rPr>
                <w:rFonts w:hint="default"/>
              </w:rPr>
            </w:pPr>
            <w:r>
              <w:rPr>
                <w:rFonts w:hint="default"/>
                <w:spacing w:val="-2"/>
              </w:rPr>
              <w:t>23.</w:t>
            </w:r>
          </w:p>
        </w:tc>
        <w:tc>
          <w:tcPr>
            <w:tcW w:w="1334" w:type="dxa"/>
            <w:vAlign w:val="top"/>
          </w:tcPr>
          <w:p w14:paraId="102FE150">
            <w:pPr>
              <w:pStyle w:val="22"/>
              <w:keepNext w:val="0"/>
              <w:keepLines w:val="0"/>
              <w:suppressLineNumbers w:val="0"/>
              <w:spacing w:before="260" w:beforeAutospacing="0" w:after="0" w:afterAutospacing="0" w:line="177" w:lineRule="auto"/>
              <w:ind w:left="300" w:right="0"/>
              <w:rPr>
                <w:rFonts w:hint="default"/>
              </w:rPr>
            </w:pPr>
            <w:r>
              <w:rPr>
                <w:rFonts w:hint="default"/>
              </w:rPr>
              <w:t>V120205</w:t>
            </w:r>
          </w:p>
        </w:tc>
        <w:tc>
          <w:tcPr>
            <w:tcW w:w="1950" w:type="dxa"/>
            <w:vAlign w:val="top"/>
          </w:tcPr>
          <w:p w14:paraId="37636A07">
            <w:pPr>
              <w:pStyle w:val="22"/>
              <w:keepNext w:val="0"/>
              <w:keepLines w:val="0"/>
              <w:suppressLineNumbers w:val="0"/>
              <w:spacing w:before="226" w:beforeAutospacing="0" w:after="0" w:afterAutospacing="0" w:line="207" w:lineRule="auto"/>
              <w:ind w:left="116" w:right="0"/>
              <w:rPr>
                <w:rFonts w:hint="default"/>
              </w:rPr>
            </w:pPr>
            <w:r>
              <w:rPr>
                <w:rFonts w:hint="default"/>
                <w:spacing w:val="-2"/>
              </w:rPr>
              <w:t>异丙醇精制罐</w:t>
            </w:r>
          </w:p>
        </w:tc>
        <w:tc>
          <w:tcPr>
            <w:tcW w:w="2683" w:type="dxa"/>
            <w:vAlign w:val="top"/>
          </w:tcPr>
          <w:p w14:paraId="1FF9768F">
            <w:pPr>
              <w:pStyle w:val="22"/>
              <w:keepNext w:val="0"/>
              <w:keepLines w:val="0"/>
              <w:suppressLineNumbers w:val="0"/>
              <w:spacing w:before="232" w:beforeAutospacing="0" w:after="0" w:afterAutospacing="0" w:line="223"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2AAB5618">
            <w:pPr>
              <w:pStyle w:val="22"/>
              <w:keepNext w:val="0"/>
              <w:keepLines w:val="0"/>
              <w:suppressLineNumbers w:val="0"/>
              <w:spacing w:before="226" w:beforeAutospacing="0" w:after="0" w:afterAutospacing="0" w:line="207" w:lineRule="auto"/>
              <w:ind w:left="325" w:right="0"/>
              <w:rPr>
                <w:rFonts w:hint="default"/>
              </w:rPr>
            </w:pPr>
            <w:r>
              <w:rPr>
                <w:rFonts w:hint="default"/>
                <w:spacing w:val="-2"/>
              </w:rPr>
              <w:t>常压、100℃</w:t>
            </w:r>
          </w:p>
        </w:tc>
        <w:tc>
          <w:tcPr>
            <w:tcW w:w="1800" w:type="dxa"/>
            <w:vAlign w:val="top"/>
          </w:tcPr>
          <w:p w14:paraId="7D502446">
            <w:pPr>
              <w:pStyle w:val="22"/>
              <w:keepNext w:val="0"/>
              <w:keepLines w:val="0"/>
              <w:suppressLineNumbers w:val="0"/>
              <w:spacing w:before="226" w:beforeAutospacing="0" w:after="0" w:afterAutospacing="0" w:line="207" w:lineRule="auto"/>
              <w:ind w:left="386" w:right="0"/>
              <w:rPr>
                <w:rFonts w:hint="default"/>
              </w:rPr>
            </w:pPr>
            <w:r>
              <w:rPr>
                <w:rFonts w:hint="default"/>
                <w:spacing w:val="-2"/>
              </w:rPr>
              <w:t>常压、常温</w:t>
            </w:r>
          </w:p>
        </w:tc>
        <w:tc>
          <w:tcPr>
            <w:tcW w:w="1583" w:type="dxa"/>
            <w:vAlign w:val="top"/>
          </w:tcPr>
          <w:p w14:paraId="2A397E2E">
            <w:pPr>
              <w:pStyle w:val="22"/>
              <w:keepNext w:val="0"/>
              <w:keepLines w:val="0"/>
              <w:suppressLineNumbers w:val="0"/>
              <w:spacing w:before="261" w:beforeAutospacing="0" w:after="0" w:afterAutospacing="0" w:line="176" w:lineRule="auto"/>
              <w:ind w:left="645" w:right="0"/>
              <w:rPr>
                <w:rFonts w:hint="default"/>
              </w:rPr>
            </w:pPr>
            <w:r>
              <w:rPr>
                <w:rFonts w:hint="default"/>
                <w:spacing w:val="-4"/>
              </w:rPr>
              <w:t>304</w:t>
            </w:r>
          </w:p>
        </w:tc>
        <w:tc>
          <w:tcPr>
            <w:tcW w:w="1716" w:type="dxa"/>
            <w:vAlign w:val="top"/>
          </w:tcPr>
          <w:p w14:paraId="2C55C072">
            <w:pPr>
              <w:pStyle w:val="22"/>
              <w:keepNext w:val="0"/>
              <w:keepLines w:val="0"/>
              <w:suppressLineNumbers w:val="0"/>
              <w:spacing w:before="226" w:beforeAutospacing="0" w:after="0" w:afterAutospacing="0" w:line="207" w:lineRule="auto"/>
              <w:ind w:left="553" w:right="0"/>
              <w:rPr>
                <w:rFonts w:hint="default"/>
              </w:rPr>
            </w:pPr>
            <w:r>
              <w:rPr>
                <w:rFonts w:hint="default"/>
                <w:spacing w:val="-2"/>
              </w:rPr>
              <w:t>异丙醇</w:t>
            </w:r>
          </w:p>
        </w:tc>
        <w:tc>
          <w:tcPr>
            <w:tcW w:w="1200" w:type="dxa"/>
            <w:vAlign w:val="top"/>
          </w:tcPr>
          <w:p w14:paraId="4412D6C7">
            <w:pPr>
              <w:pStyle w:val="22"/>
              <w:keepNext w:val="0"/>
              <w:keepLines w:val="0"/>
              <w:suppressLineNumbers w:val="0"/>
              <w:spacing w:before="260" w:beforeAutospacing="0" w:after="0" w:afterAutospacing="0" w:line="177" w:lineRule="auto"/>
              <w:ind w:left="569" w:right="0"/>
              <w:rPr>
                <w:rFonts w:hint="default"/>
              </w:rPr>
            </w:pPr>
            <w:r>
              <w:rPr>
                <w:rFonts w:hint="default"/>
              </w:rPr>
              <w:t>1</w:t>
            </w:r>
          </w:p>
        </w:tc>
      </w:tr>
    </w:tbl>
    <w:p w14:paraId="1AE2B098">
      <w:pPr>
        <w:pStyle w:val="6"/>
      </w:pPr>
    </w:p>
    <w:p w14:paraId="614940A4">
      <w:pPr>
        <w:sectPr>
          <w:headerReference r:id="rId21" w:type="default"/>
          <w:footerReference r:id="rId22" w:type="default"/>
          <w:pgSz w:w="16839" w:h="11907"/>
          <w:pgMar w:top="1120" w:right="1303" w:bottom="946" w:left="1020" w:header="809" w:footer="685" w:gutter="0"/>
          <w:cols w:space="720" w:num="1"/>
        </w:sectPr>
      </w:pPr>
    </w:p>
    <w:p w14:paraId="5C6A224E">
      <w:pPr>
        <w:spacing w:before="227"/>
      </w:pP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334"/>
        <w:gridCol w:w="1950"/>
        <w:gridCol w:w="2683"/>
        <w:gridCol w:w="1782"/>
        <w:gridCol w:w="1800"/>
        <w:gridCol w:w="1583"/>
        <w:gridCol w:w="1716"/>
        <w:gridCol w:w="1200"/>
      </w:tblGrid>
      <w:tr w14:paraId="635AB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461" w:type="dxa"/>
            <w:textDirection w:val="tbRlV"/>
            <w:vAlign w:val="top"/>
          </w:tcPr>
          <w:p w14:paraId="065452D0">
            <w:pPr>
              <w:pStyle w:val="22"/>
              <w:keepNext w:val="0"/>
              <w:keepLines w:val="0"/>
              <w:suppressLineNumbers w:val="0"/>
              <w:spacing w:before="122" w:beforeAutospacing="0" w:after="0" w:afterAutospacing="0" w:line="211" w:lineRule="auto"/>
              <w:ind w:left="0" w:right="36"/>
              <w:jc w:val="right"/>
              <w:rPr>
                <w:rFonts w:hint="default"/>
              </w:rPr>
            </w:pPr>
            <w:r>
              <w:rPr>
                <w:rFonts w:hint="default"/>
                <w:spacing w:val="31"/>
              </w:rPr>
              <w:t>序号</w:t>
            </w:r>
          </w:p>
        </w:tc>
        <w:tc>
          <w:tcPr>
            <w:tcW w:w="1334" w:type="dxa"/>
            <w:vAlign w:val="top"/>
          </w:tcPr>
          <w:p w14:paraId="602AA9E4">
            <w:pPr>
              <w:keepNext w:val="0"/>
              <w:keepLines w:val="0"/>
              <w:suppressLineNumbers w:val="0"/>
              <w:spacing w:before="0" w:beforeAutospacing="0" w:after="0" w:afterAutospacing="0" w:line="290" w:lineRule="auto"/>
              <w:ind w:left="0" w:right="0"/>
              <w:rPr>
                <w:rFonts w:hint="default" w:ascii="Arial"/>
                <w:sz w:val="21"/>
              </w:rPr>
            </w:pPr>
          </w:p>
          <w:p w14:paraId="2F84553D">
            <w:pPr>
              <w:pStyle w:val="22"/>
              <w:keepNext w:val="0"/>
              <w:keepLines w:val="0"/>
              <w:suppressLineNumbers w:val="0"/>
              <w:spacing w:before="69" w:beforeAutospacing="0" w:after="0" w:afterAutospacing="0" w:line="222" w:lineRule="auto"/>
              <w:ind w:left="113" w:right="0"/>
              <w:rPr>
                <w:rFonts w:hint="default"/>
              </w:rPr>
            </w:pPr>
            <w:r>
              <w:rPr>
                <w:rFonts w:hint="default"/>
                <w:spacing w:val="-2"/>
              </w:rPr>
              <w:t>位号</w:t>
            </w:r>
          </w:p>
        </w:tc>
        <w:tc>
          <w:tcPr>
            <w:tcW w:w="1950" w:type="dxa"/>
            <w:vAlign w:val="top"/>
          </w:tcPr>
          <w:p w14:paraId="2ED0E68F">
            <w:pPr>
              <w:keepNext w:val="0"/>
              <w:keepLines w:val="0"/>
              <w:suppressLineNumbers w:val="0"/>
              <w:spacing w:before="0" w:beforeAutospacing="0" w:after="0" w:afterAutospacing="0" w:line="290" w:lineRule="auto"/>
              <w:ind w:left="0" w:right="0"/>
              <w:rPr>
                <w:rFonts w:hint="default" w:ascii="Arial"/>
                <w:sz w:val="21"/>
              </w:rPr>
            </w:pPr>
          </w:p>
          <w:p w14:paraId="56597605">
            <w:pPr>
              <w:pStyle w:val="22"/>
              <w:keepNext w:val="0"/>
              <w:keepLines w:val="0"/>
              <w:suppressLineNumbers w:val="0"/>
              <w:spacing w:before="69" w:beforeAutospacing="0" w:after="0" w:afterAutospacing="0" w:line="222" w:lineRule="auto"/>
              <w:ind w:left="117" w:right="0"/>
              <w:rPr>
                <w:rFonts w:hint="default"/>
              </w:rPr>
            </w:pPr>
            <w:r>
              <w:rPr>
                <w:rFonts w:hint="default"/>
                <w:spacing w:val="-3"/>
              </w:rPr>
              <w:t>设备名称</w:t>
            </w:r>
          </w:p>
        </w:tc>
        <w:tc>
          <w:tcPr>
            <w:tcW w:w="2683" w:type="dxa"/>
            <w:vAlign w:val="top"/>
          </w:tcPr>
          <w:p w14:paraId="4E66F7E5">
            <w:pPr>
              <w:keepNext w:val="0"/>
              <w:keepLines w:val="0"/>
              <w:suppressLineNumbers w:val="0"/>
              <w:spacing w:before="0" w:beforeAutospacing="0" w:after="0" w:afterAutospacing="0" w:line="290" w:lineRule="auto"/>
              <w:ind w:left="0" w:right="0"/>
              <w:rPr>
                <w:rFonts w:hint="default" w:ascii="Arial"/>
                <w:sz w:val="21"/>
              </w:rPr>
            </w:pPr>
          </w:p>
          <w:p w14:paraId="202DD782">
            <w:pPr>
              <w:pStyle w:val="22"/>
              <w:keepNext w:val="0"/>
              <w:keepLines w:val="0"/>
              <w:suppressLineNumbers w:val="0"/>
              <w:spacing w:before="68" w:beforeAutospacing="0" w:after="0" w:afterAutospacing="0" w:line="221" w:lineRule="auto"/>
              <w:ind w:left="928" w:right="0"/>
              <w:rPr>
                <w:rFonts w:hint="default"/>
              </w:rPr>
            </w:pPr>
            <w:r>
              <w:rPr>
                <w:rFonts w:hint="default"/>
                <w:spacing w:val="-2"/>
              </w:rPr>
              <w:t>规格型号</w:t>
            </w:r>
          </w:p>
        </w:tc>
        <w:tc>
          <w:tcPr>
            <w:tcW w:w="1782" w:type="dxa"/>
            <w:vAlign w:val="top"/>
          </w:tcPr>
          <w:p w14:paraId="505DAF13">
            <w:pPr>
              <w:pStyle w:val="22"/>
              <w:keepNext w:val="0"/>
              <w:keepLines w:val="0"/>
              <w:suppressLineNumbers w:val="0"/>
              <w:spacing w:before="223" w:beforeAutospacing="0" w:after="0" w:afterAutospacing="0" w:line="224" w:lineRule="auto"/>
              <w:ind w:left="164" w:right="214" w:hanging="47"/>
              <w:rPr>
                <w:rFonts w:hint="default"/>
              </w:rPr>
            </w:pPr>
            <w:r>
              <w:rPr>
                <w:rFonts w:hint="default"/>
                <w:spacing w:val="-3"/>
              </w:rPr>
              <w:t>设计压力（MPɑ)</w:t>
            </w:r>
            <w:r>
              <w:rPr>
                <w:rFonts w:hint="default"/>
                <w:spacing w:val="1"/>
              </w:rPr>
              <w:t xml:space="preserve"> </w:t>
            </w:r>
            <w:r>
              <w:rPr>
                <w:rFonts w:hint="default"/>
                <w:spacing w:val="11"/>
              </w:rPr>
              <w:t>设计温度(℃)</w:t>
            </w:r>
          </w:p>
        </w:tc>
        <w:tc>
          <w:tcPr>
            <w:tcW w:w="1800" w:type="dxa"/>
            <w:vAlign w:val="top"/>
          </w:tcPr>
          <w:p w14:paraId="79FE291A">
            <w:pPr>
              <w:pStyle w:val="22"/>
              <w:keepNext w:val="0"/>
              <w:keepLines w:val="0"/>
              <w:suppressLineNumbers w:val="0"/>
              <w:spacing w:before="223" w:beforeAutospacing="0" w:after="0" w:afterAutospacing="0" w:line="224" w:lineRule="auto"/>
              <w:ind w:left="172" w:right="26" w:hanging="55"/>
              <w:rPr>
                <w:rFonts w:hint="default"/>
              </w:rPr>
            </w:pPr>
            <w:r>
              <w:rPr>
                <w:rFonts w:hint="default"/>
                <w:spacing w:val="-11"/>
              </w:rPr>
              <w:t>工作压力（MPɑ)</w:t>
            </w:r>
            <w:r>
              <w:rPr>
                <w:rFonts w:hint="default"/>
                <w:spacing w:val="-26"/>
              </w:rPr>
              <w:t xml:space="preserve"> </w:t>
            </w:r>
            <w:r>
              <w:rPr>
                <w:rFonts w:hint="default"/>
                <w:spacing w:val="-11"/>
              </w:rPr>
              <w:t>、</w:t>
            </w:r>
            <w:r>
              <w:rPr>
                <w:rFonts w:hint="default"/>
              </w:rPr>
              <w:t xml:space="preserve"> </w:t>
            </w:r>
            <w:r>
              <w:rPr>
                <w:rFonts w:hint="default"/>
                <w:spacing w:val="11"/>
              </w:rPr>
              <w:t>工作温度(℃)</w:t>
            </w:r>
          </w:p>
        </w:tc>
        <w:tc>
          <w:tcPr>
            <w:tcW w:w="1583" w:type="dxa"/>
            <w:vAlign w:val="top"/>
          </w:tcPr>
          <w:p w14:paraId="3A977609">
            <w:pPr>
              <w:keepNext w:val="0"/>
              <w:keepLines w:val="0"/>
              <w:suppressLineNumbers w:val="0"/>
              <w:spacing w:before="0" w:beforeAutospacing="0" w:after="0" w:afterAutospacing="0" w:line="290" w:lineRule="auto"/>
              <w:ind w:left="0" w:right="0"/>
              <w:rPr>
                <w:rFonts w:hint="default" w:ascii="Arial"/>
                <w:sz w:val="21"/>
              </w:rPr>
            </w:pPr>
          </w:p>
          <w:p w14:paraId="23A3506B">
            <w:pPr>
              <w:pStyle w:val="22"/>
              <w:keepNext w:val="0"/>
              <w:keepLines w:val="0"/>
              <w:suppressLineNumbers w:val="0"/>
              <w:spacing w:before="68" w:beforeAutospacing="0" w:after="0" w:afterAutospacing="0" w:line="220" w:lineRule="auto"/>
              <w:ind w:left="588" w:right="0"/>
              <w:rPr>
                <w:rFonts w:hint="default"/>
              </w:rPr>
            </w:pPr>
            <w:r>
              <w:rPr>
                <w:rFonts w:hint="default"/>
                <w:spacing w:val="-2"/>
              </w:rPr>
              <w:t>材质</w:t>
            </w:r>
          </w:p>
        </w:tc>
        <w:tc>
          <w:tcPr>
            <w:tcW w:w="1716" w:type="dxa"/>
            <w:vAlign w:val="top"/>
          </w:tcPr>
          <w:p w14:paraId="109728FB">
            <w:pPr>
              <w:keepNext w:val="0"/>
              <w:keepLines w:val="0"/>
              <w:suppressLineNumbers w:val="0"/>
              <w:spacing w:before="0" w:beforeAutospacing="0" w:after="0" w:afterAutospacing="0" w:line="290" w:lineRule="auto"/>
              <w:ind w:left="0" w:right="0"/>
              <w:rPr>
                <w:rFonts w:hint="default" w:ascii="Arial"/>
                <w:sz w:val="21"/>
              </w:rPr>
            </w:pPr>
          </w:p>
          <w:p w14:paraId="2688B339">
            <w:pPr>
              <w:pStyle w:val="22"/>
              <w:keepNext w:val="0"/>
              <w:keepLines w:val="0"/>
              <w:suppressLineNumbers w:val="0"/>
              <w:spacing w:before="68" w:beforeAutospacing="0" w:after="0" w:afterAutospacing="0" w:line="220" w:lineRule="auto"/>
              <w:ind w:left="657" w:right="0"/>
              <w:rPr>
                <w:rFonts w:hint="default"/>
              </w:rPr>
            </w:pPr>
            <w:r>
              <w:rPr>
                <w:rFonts w:hint="default"/>
                <w:spacing w:val="-2"/>
              </w:rPr>
              <w:t>介质</w:t>
            </w:r>
          </w:p>
        </w:tc>
        <w:tc>
          <w:tcPr>
            <w:tcW w:w="1200" w:type="dxa"/>
            <w:vAlign w:val="top"/>
          </w:tcPr>
          <w:p w14:paraId="09162926">
            <w:pPr>
              <w:keepNext w:val="0"/>
              <w:keepLines w:val="0"/>
              <w:suppressLineNumbers w:val="0"/>
              <w:spacing w:before="0" w:beforeAutospacing="0" w:after="0" w:afterAutospacing="0" w:line="290" w:lineRule="auto"/>
              <w:ind w:left="0" w:right="0"/>
              <w:rPr>
                <w:rFonts w:hint="default" w:ascii="Arial"/>
                <w:sz w:val="21"/>
              </w:rPr>
            </w:pPr>
          </w:p>
          <w:p w14:paraId="52C80CA6">
            <w:pPr>
              <w:pStyle w:val="22"/>
              <w:keepNext w:val="0"/>
              <w:keepLines w:val="0"/>
              <w:suppressLineNumbers w:val="0"/>
              <w:spacing w:before="68" w:beforeAutospacing="0" w:after="0" w:afterAutospacing="0" w:line="221" w:lineRule="auto"/>
              <w:ind w:left="397" w:right="0"/>
              <w:rPr>
                <w:rFonts w:hint="default"/>
              </w:rPr>
            </w:pPr>
            <w:r>
              <w:rPr>
                <w:rFonts w:hint="default"/>
                <w:spacing w:val="-2"/>
              </w:rPr>
              <w:t>数量</w:t>
            </w:r>
          </w:p>
        </w:tc>
      </w:tr>
      <w:tr w14:paraId="0DF36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69E3E862">
            <w:pPr>
              <w:pStyle w:val="22"/>
              <w:keepNext w:val="0"/>
              <w:keepLines w:val="0"/>
              <w:suppressLineNumbers w:val="0"/>
              <w:spacing w:before="255" w:beforeAutospacing="0" w:after="0" w:afterAutospacing="0" w:line="177" w:lineRule="auto"/>
              <w:ind w:left="118" w:right="0"/>
              <w:rPr>
                <w:rFonts w:hint="default"/>
              </w:rPr>
            </w:pPr>
            <w:r>
              <w:rPr>
                <w:rFonts w:hint="default"/>
                <w:spacing w:val="-2"/>
              </w:rPr>
              <w:t>24.</w:t>
            </w:r>
          </w:p>
        </w:tc>
        <w:tc>
          <w:tcPr>
            <w:tcW w:w="1334" w:type="dxa"/>
            <w:vAlign w:val="top"/>
          </w:tcPr>
          <w:p w14:paraId="6BE43882">
            <w:pPr>
              <w:pStyle w:val="22"/>
              <w:keepNext w:val="0"/>
              <w:keepLines w:val="0"/>
              <w:suppressLineNumbers w:val="0"/>
              <w:spacing w:before="254" w:beforeAutospacing="0" w:after="0" w:afterAutospacing="0" w:line="178" w:lineRule="auto"/>
              <w:ind w:left="300" w:right="0"/>
              <w:rPr>
                <w:rFonts w:hint="default"/>
              </w:rPr>
            </w:pPr>
            <w:r>
              <w:rPr>
                <w:rFonts w:hint="default"/>
              </w:rPr>
              <w:t>V120301</w:t>
            </w:r>
          </w:p>
        </w:tc>
        <w:tc>
          <w:tcPr>
            <w:tcW w:w="1950" w:type="dxa"/>
            <w:vAlign w:val="top"/>
          </w:tcPr>
          <w:p w14:paraId="31C7FC9E">
            <w:pPr>
              <w:pStyle w:val="22"/>
              <w:keepNext w:val="0"/>
              <w:keepLines w:val="0"/>
              <w:suppressLineNumbers w:val="0"/>
              <w:spacing w:before="220" w:beforeAutospacing="0" w:after="0" w:afterAutospacing="0" w:line="208" w:lineRule="auto"/>
              <w:ind w:left="116" w:right="0"/>
              <w:rPr>
                <w:rFonts w:hint="default"/>
              </w:rPr>
            </w:pPr>
            <w:r>
              <w:rPr>
                <w:rFonts w:hint="default"/>
                <w:spacing w:val="-2"/>
              </w:rPr>
              <w:t>剥离液混配槽</w:t>
            </w:r>
          </w:p>
        </w:tc>
        <w:tc>
          <w:tcPr>
            <w:tcW w:w="2683" w:type="dxa"/>
            <w:vAlign w:val="top"/>
          </w:tcPr>
          <w:p w14:paraId="319D8527">
            <w:pPr>
              <w:pStyle w:val="22"/>
              <w:keepNext w:val="0"/>
              <w:keepLines w:val="0"/>
              <w:suppressLineNumbers w:val="0"/>
              <w:spacing w:before="227" w:beforeAutospacing="0" w:after="0" w:afterAutospacing="0" w:line="223" w:lineRule="auto"/>
              <w:ind w:left="341" w:right="0"/>
              <w:rPr>
                <w:rFonts w:hint="default"/>
                <w:sz w:val="19"/>
                <w:szCs w:val="19"/>
              </w:rPr>
            </w:pPr>
            <w:r>
              <w:rPr>
                <w:rFonts w:hint="default"/>
                <w:sz w:val="19"/>
                <w:szCs w:val="19"/>
              </w:rPr>
              <w:t>DN</w:t>
            </w:r>
            <w:r>
              <w:rPr>
                <w:rFonts w:hint="default"/>
                <w:spacing w:val="5"/>
                <w:sz w:val="19"/>
                <w:szCs w:val="19"/>
              </w:rPr>
              <w:t>1800x5000（9.2m3）</w:t>
            </w:r>
          </w:p>
        </w:tc>
        <w:tc>
          <w:tcPr>
            <w:tcW w:w="1782" w:type="dxa"/>
            <w:vAlign w:val="top"/>
          </w:tcPr>
          <w:p w14:paraId="29B02A72">
            <w:pPr>
              <w:pStyle w:val="22"/>
              <w:keepNext w:val="0"/>
              <w:keepLines w:val="0"/>
              <w:suppressLineNumbers w:val="0"/>
              <w:spacing w:before="220" w:beforeAutospacing="0" w:after="0" w:afterAutospacing="0" w:line="208" w:lineRule="auto"/>
              <w:ind w:left="325" w:right="0"/>
              <w:rPr>
                <w:rFonts w:hint="default"/>
              </w:rPr>
            </w:pPr>
            <w:r>
              <w:rPr>
                <w:rFonts w:hint="default"/>
                <w:spacing w:val="-2"/>
              </w:rPr>
              <w:t>常压、100℃</w:t>
            </w:r>
          </w:p>
        </w:tc>
        <w:tc>
          <w:tcPr>
            <w:tcW w:w="1800" w:type="dxa"/>
            <w:vAlign w:val="top"/>
          </w:tcPr>
          <w:p w14:paraId="3D014DD5">
            <w:pPr>
              <w:pStyle w:val="22"/>
              <w:keepNext w:val="0"/>
              <w:keepLines w:val="0"/>
              <w:suppressLineNumbers w:val="0"/>
              <w:spacing w:before="220" w:beforeAutospacing="0" w:after="0" w:afterAutospacing="0" w:line="208" w:lineRule="auto"/>
              <w:ind w:left="386" w:right="0"/>
              <w:rPr>
                <w:rFonts w:hint="default"/>
              </w:rPr>
            </w:pPr>
            <w:r>
              <w:rPr>
                <w:rFonts w:hint="default"/>
                <w:spacing w:val="-2"/>
              </w:rPr>
              <w:t>常压、常温</w:t>
            </w:r>
          </w:p>
        </w:tc>
        <w:tc>
          <w:tcPr>
            <w:tcW w:w="1583" w:type="dxa"/>
            <w:vAlign w:val="top"/>
          </w:tcPr>
          <w:p w14:paraId="3346A01D">
            <w:pPr>
              <w:pStyle w:val="22"/>
              <w:keepNext w:val="0"/>
              <w:keepLines w:val="0"/>
              <w:suppressLineNumbers w:val="0"/>
              <w:spacing w:before="255" w:beforeAutospacing="0" w:after="0" w:afterAutospacing="0" w:line="177" w:lineRule="auto"/>
              <w:ind w:left="645" w:right="0"/>
              <w:rPr>
                <w:rFonts w:hint="default"/>
              </w:rPr>
            </w:pPr>
            <w:r>
              <w:rPr>
                <w:rFonts w:hint="default"/>
                <w:spacing w:val="-4"/>
              </w:rPr>
              <w:t>304</w:t>
            </w:r>
          </w:p>
        </w:tc>
        <w:tc>
          <w:tcPr>
            <w:tcW w:w="1716" w:type="dxa"/>
            <w:vAlign w:val="top"/>
          </w:tcPr>
          <w:p w14:paraId="0B5CE293">
            <w:pPr>
              <w:pStyle w:val="22"/>
              <w:keepNext w:val="0"/>
              <w:keepLines w:val="0"/>
              <w:suppressLineNumbers w:val="0"/>
              <w:spacing w:before="220" w:beforeAutospacing="0" w:after="0" w:afterAutospacing="0" w:line="208" w:lineRule="auto"/>
              <w:ind w:left="553" w:right="0"/>
              <w:rPr>
                <w:rFonts w:hint="default"/>
              </w:rPr>
            </w:pPr>
            <w:r>
              <w:rPr>
                <w:rFonts w:hint="default"/>
                <w:spacing w:val="-2"/>
              </w:rPr>
              <w:t>剥离液</w:t>
            </w:r>
          </w:p>
        </w:tc>
        <w:tc>
          <w:tcPr>
            <w:tcW w:w="1200" w:type="dxa"/>
            <w:vAlign w:val="top"/>
          </w:tcPr>
          <w:p w14:paraId="1D28D51C">
            <w:pPr>
              <w:pStyle w:val="22"/>
              <w:keepNext w:val="0"/>
              <w:keepLines w:val="0"/>
              <w:suppressLineNumbers w:val="0"/>
              <w:spacing w:before="254" w:beforeAutospacing="0" w:after="0" w:afterAutospacing="0" w:line="178" w:lineRule="auto"/>
              <w:ind w:left="569" w:right="0"/>
              <w:rPr>
                <w:rFonts w:hint="default"/>
              </w:rPr>
            </w:pPr>
            <w:r>
              <w:rPr>
                <w:rFonts w:hint="default"/>
              </w:rPr>
              <w:t>1</w:t>
            </w:r>
          </w:p>
        </w:tc>
      </w:tr>
      <w:tr w14:paraId="72FE4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61" w:type="dxa"/>
            <w:vAlign w:val="top"/>
          </w:tcPr>
          <w:p w14:paraId="3DB292AD">
            <w:pPr>
              <w:keepNext w:val="0"/>
              <w:keepLines w:val="0"/>
              <w:suppressLineNumbers w:val="0"/>
              <w:spacing w:before="0" w:beforeAutospacing="0" w:after="0" w:afterAutospacing="0" w:line="322" w:lineRule="auto"/>
              <w:ind w:left="0" w:right="0"/>
              <w:rPr>
                <w:rFonts w:hint="default" w:ascii="Arial"/>
                <w:sz w:val="21"/>
              </w:rPr>
            </w:pPr>
          </w:p>
          <w:p w14:paraId="61109D29">
            <w:pPr>
              <w:pStyle w:val="22"/>
              <w:keepNext w:val="0"/>
              <w:keepLines w:val="0"/>
              <w:suppressLineNumbers w:val="0"/>
              <w:spacing w:before="68" w:beforeAutospacing="0" w:after="0" w:afterAutospacing="0" w:line="182" w:lineRule="auto"/>
              <w:ind w:left="118" w:right="0"/>
              <w:rPr>
                <w:rFonts w:hint="default"/>
              </w:rPr>
            </w:pPr>
            <w:r>
              <w:rPr>
                <w:rFonts w:hint="default"/>
                <w:spacing w:val="-2"/>
              </w:rPr>
              <w:t>25.</w:t>
            </w:r>
          </w:p>
        </w:tc>
        <w:tc>
          <w:tcPr>
            <w:tcW w:w="1334" w:type="dxa"/>
            <w:vAlign w:val="top"/>
          </w:tcPr>
          <w:p w14:paraId="61920AA7">
            <w:pPr>
              <w:keepNext w:val="0"/>
              <w:keepLines w:val="0"/>
              <w:suppressLineNumbers w:val="0"/>
              <w:spacing w:before="0" w:beforeAutospacing="0" w:after="0" w:afterAutospacing="0" w:line="321" w:lineRule="auto"/>
              <w:ind w:left="0" w:right="0"/>
              <w:rPr>
                <w:rFonts w:hint="default" w:ascii="Arial"/>
                <w:sz w:val="21"/>
              </w:rPr>
            </w:pPr>
          </w:p>
          <w:p w14:paraId="3B66CE5B">
            <w:pPr>
              <w:pStyle w:val="22"/>
              <w:keepNext w:val="0"/>
              <w:keepLines w:val="0"/>
              <w:suppressLineNumbers w:val="0"/>
              <w:spacing w:before="68" w:beforeAutospacing="0" w:after="0" w:afterAutospacing="0" w:line="183" w:lineRule="auto"/>
              <w:ind w:left="302" w:right="0"/>
              <w:rPr>
                <w:rFonts w:hint="default"/>
              </w:rPr>
            </w:pPr>
            <w:r>
              <w:rPr>
                <w:rFonts w:hint="default"/>
                <w:spacing w:val="-1"/>
              </w:rPr>
              <w:t>E110201</w:t>
            </w:r>
          </w:p>
        </w:tc>
        <w:tc>
          <w:tcPr>
            <w:tcW w:w="1950" w:type="dxa"/>
            <w:vAlign w:val="top"/>
          </w:tcPr>
          <w:p w14:paraId="11B0F67A">
            <w:pPr>
              <w:keepNext w:val="0"/>
              <w:keepLines w:val="0"/>
              <w:suppressLineNumbers w:val="0"/>
              <w:spacing w:before="0" w:beforeAutospacing="0" w:after="0" w:afterAutospacing="0" w:line="287" w:lineRule="auto"/>
              <w:ind w:left="0" w:right="0"/>
              <w:rPr>
                <w:rFonts w:hint="default" w:ascii="Arial"/>
                <w:sz w:val="21"/>
              </w:rPr>
            </w:pPr>
          </w:p>
          <w:p w14:paraId="3E8AB0C0">
            <w:pPr>
              <w:pStyle w:val="22"/>
              <w:keepNext w:val="0"/>
              <w:keepLines w:val="0"/>
              <w:suppressLineNumbers w:val="0"/>
              <w:spacing w:before="69" w:beforeAutospacing="0" w:after="0" w:afterAutospacing="0" w:line="221" w:lineRule="auto"/>
              <w:ind w:left="116" w:right="0"/>
              <w:rPr>
                <w:rFonts w:hint="default"/>
              </w:rPr>
            </w:pPr>
            <w:r>
              <w:rPr>
                <w:rFonts w:hint="default"/>
                <w:spacing w:val="-2"/>
              </w:rPr>
              <w:t>剥离液换热器</w:t>
            </w:r>
          </w:p>
        </w:tc>
        <w:tc>
          <w:tcPr>
            <w:tcW w:w="2683" w:type="dxa"/>
            <w:vAlign w:val="top"/>
          </w:tcPr>
          <w:p w14:paraId="0239A2FD">
            <w:pPr>
              <w:pStyle w:val="22"/>
              <w:keepNext w:val="0"/>
              <w:keepLines w:val="0"/>
              <w:suppressLineNumbers w:val="0"/>
              <w:spacing w:before="232" w:beforeAutospacing="0" w:after="0" w:afterAutospacing="0" w:line="241" w:lineRule="auto"/>
              <w:ind w:left="1046" w:right="142" w:hanging="897"/>
              <w:rPr>
                <w:rFonts w:hint="default"/>
                <w:sz w:val="10"/>
                <w:szCs w:val="10"/>
              </w:rPr>
            </w:pPr>
            <w:r>
              <w:rPr>
                <w:rFonts w:hint="default"/>
                <w:spacing w:val="8"/>
                <w:sz w:val="19"/>
                <w:szCs w:val="19"/>
              </w:rPr>
              <w:t>半焊式板式换热器，换热面</w:t>
            </w:r>
            <w:r>
              <w:rPr>
                <w:rFonts w:hint="default"/>
                <w:spacing w:val="9"/>
                <w:sz w:val="19"/>
                <w:szCs w:val="19"/>
              </w:rPr>
              <w:t xml:space="preserve"> </w:t>
            </w:r>
            <w:r>
              <w:rPr>
                <w:rFonts w:hint="default"/>
                <w:spacing w:val="1"/>
                <w:sz w:val="19"/>
                <w:szCs w:val="19"/>
              </w:rPr>
              <w:t>积</w:t>
            </w:r>
            <w:r>
              <w:rPr>
                <w:rFonts w:hint="default"/>
                <w:spacing w:val="-32"/>
                <w:sz w:val="19"/>
                <w:szCs w:val="19"/>
              </w:rPr>
              <w:t xml:space="preserve"> </w:t>
            </w:r>
            <w:r>
              <w:rPr>
                <w:rFonts w:hint="default"/>
                <w:spacing w:val="1"/>
                <w:sz w:val="19"/>
                <w:szCs w:val="19"/>
              </w:rPr>
              <w:t>20m</w:t>
            </w:r>
            <w:r>
              <w:rPr>
                <w:rFonts w:hint="default"/>
                <w:spacing w:val="1"/>
                <w:position w:val="9"/>
                <w:sz w:val="10"/>
                <w:szCs w:val="10"/>
              </w:rPr>
              <w:t>2</w:t>
            </w:r>
          </w:p>
        </w:tc>
        <w:tc>
          <w:tcPr>
            <w:tcW w:w="1782" w:type="dxa"/>
            <w:vAlign w:val="top"/>
          </w:tcPr>
          <w:p w14:paraId="199948C5">
            <w:pPr>
              <w:pStyle w:val="22"/>
              <w:keepNext w:val="0"/>
              <w:keepLines w:val="0"/>
              <w:suppressLineNumbers w:val="0"/>
              <w:spacing w:before="220" w:beforeAutospacing="0" w:after="0" w:afterAutospacing="0" w:line="218" w:lineRule="auto"/>
              <w:ind w:left="118" w:right="0"/>
              <w:rPr>
                <w:rFonts w:hint="default"/>
              </w:rPr>
            </w:pPr>
            <w:r>
              <w:rPr>
                <w:rFonts w:hint="default"/>
                <w:spacing w:val="-2"/>
              </w:rPr>
              <w:t>管程：0.4, 60℃</w:t>
            </w:r>
          </w:p>
          <w:p w14:paraId="3320B409">
            <w:pPr>
              <w:pStyle w:val="22"/>
              <w:keepNext w:val="0"/>
              <w:keepLines w:val="0"/>
              <w:suppressLineNumbers w:val="0"/>
              <w:spacing w:before="26" w:beforeAutospacing="0" w:after="0" w:afterAutospacing="0" w:line="206" w:lineRule="auto"/>
              <w:ind w:left="119" w:right="0"/>
              <w:rPr>
                <w:rFonts w:hint="default"/>
              </w:rPr>
            </w:pPr>
            <w:r>
              <w:rPr>
                <w:rFonts w:hint="default"/>
                <w:spacing w:val="-2"/>
              </w:rPr>
              <w:t>壳程：0.4, 60℃</w:t>
            </w:r>
          </w:p>
        </w:tc>
        <w:tc>
          <w:tcPr>
            <w:tcW w:w="1800" w:type="dxa"/>
            <w:vAlign w:val="top"/>
          </w:tcPr>
          <w:p w14:paraId="0E8478F9">
            <w:pPr>
              <w:pStyle w:val="22"/>
              <w:keepNext w:val="0"/>
              <w:keepLines w:val="0"/>
              <w:suppressLineNumbers w:val="0"/>
              <w:spacing w:before="220" w:beforeAutospacing="0" w:after="0" w:afterAutospacing="0" w:line="218" w:lineRule="auto"/>
              <w:ind w:left="124" w:right="0"/>
              <w:rPr>
                <w:rFonts w:hint="default"/>
              </w:rPr>
            </w:pPr>
            <w:r>
              <w:rPr>
                <w:rFonts w:hint="default"/>
                <w:spacing w:val="-1"/>
              </w:rPr>
              <w:t>管程：0.2, 40℃</w:t>
            </w:r>
          </w:p>
          <w:p w14:paraId="6AD0E30E">
            <w:pPr>
              <w:pStyle w:val="22"/>
              <w:keepNext w:val="0"/>
              <w:keepLines w:val="0"/>
              <w:suppressLineNumbers w:val="0"/>
              <w:spacing w:before="26" w:beforeAutospacing="0" w:after="0" w:afterAutospacing="0" w:line="206" w:lineRule="auto"/>
              <w:ind w:left="175" w:right="0"/>
              <w:rPr>
                <w:rFonts w:hint="default"/>
              </w:rPr>
            </w:pPr>
            <w:r>
              <w:rPr>
                <w:rFonts w:hint="default"/>
                <w:spacing w:val="-1"/>
              </w:rPr>
              <w:t>壳程：0.4, 5℃</w:t>
            </w:r>
          </w:p>
        </w:tc>
        <w:tc>
          <w:tcPr>
            <w:tcW w:w="1583" w:type="dxa"/>
            <w:vAlign w:val="top"/>
          </w:tcPr>
          <w:p w14:paraId="30D3FE42">
            <w:pPr>
              <w:keepNext w:val="0"/>
              <w:keepLines w:val="0"/>
              <w:suppressLineNumbers w:val="0"/>
              <w:spacing w:before="0" w:beforeAutospacing="0" w:after="0" w:afterAutospacing="0" w:line="287" w:lineRule="auto"/>
              <w:ind w:left="0" w:right="0"/>
              <w:rPr>
                <w:rFonts w:hint="default" w:ascii="Arial"/>
                <w:sz w:val="21"/>
              </w:rPr>
            </w:pPr>
          </w:p>
          <w:p w14:paraId="3D3CA3F6">
            <w:pPr>
              <w:pStyle w:val="22"/>
              <w:keepNext w:val="0"/>
              <w:keepLines w:val="0"/>
              <w:suppressLineNumbers w:val="0"/>
              <w:spacing w:before="69" w:beforeAutospacing="0" w:after="0" w:afterAutospacing="0" w:line="221" w:lineRule="auto"/>
              <w:ind w:left="693" w:right="0"/>
              <w:rPr>
                <w:rFonts w:hint="default"/>
              </w:rPr>
            </w:pPr>
            <w:r>
              <w:rPr>
                <w:rFonts w:hint="default"/>
              </w:rPr>
              <w:t>钛</w:t>
            </w:r>
          </w:p>
        </w:tc>
        <w:tc>
          <w:tcPr>
            <w:tcW w:w="1716" w:type="dxa"/>
            <w:vAlign w:val="top"/>
          </w:tcPr>
          <w:p w14:paraId="2BBE936A">
            <w:pPr>
              <w:keepNext w:val="0"/>
              <w:keepLines w:val="0"/>
              <w:suppressLineNumbers w:val="0"/>
              <w:spacing w:before="0" w:beforeAutospacing="0" w:after="0" w:afterAutospacing="0" w:line="287" w:lineRule="auto"/>
              <w:ind w:left="0" w:right="0"/>
              <w:rPr>
                <w:rFonts w:hint="default" w:ascii="Arial"/>
                <w:sz w:val="21"/>
              </w:rPr>
            </w:pPr>
          </w:p>
          <w:p w14:paraId="32579DB0">
            <w:pPr>
              <w:pStyle w:val="22"/>
              <w:keepNext w:val="0"/>
              <w:keepLines w:val="0"/>
              <w:suppressLineNumbers w:val="0"/>
              <w:spacing w:before="68" w:beforeAutospacing="0" w:after="0" w:afterAutospacing="0" w:line="221" w:lineRule="auto"/>
              <w:ind w:left="186" w:right="0"/>
              <w:rPr>
                <w:rFonts w:hint="default"/>
              </w:rPr>
            </w:pPr>
            <w:r>
              <w:rPr>
                <w:rFonts w:hint="default"/>
                <w:spacing w:val="-2"/>
              </w:rPr>
              <w:t>剥离液/冷冻水</w:t>
            </w:r>
          </w:p>
        </w:tc>
        <w:tc>
          <w:tcPr>
            <w:tcW w:w="1200" w:type="dxa"/>
            <w:vAlign w:val="top"/>
          </w:tcPr>
          <w:p w14:paraId="1B59F020">
            <w:pPr>
              <w:keepNext w:val="0"/>
              <w:keepLines w:val="0"/>
              <w:suppressLineNumbers w:val="0"/>
              <w:spacing w:before="0" w:beforeAutospacing="0" w:after="0" w:afterAutospacing="0" w:line="321" w:lineRule="auto"/>
              <w:ind w:left="0" w:right="0"/>
              <w:rPr>
                <w:rFonts w:hint="default" w:ascii="Arial"/>
                <w:sz w:val="21"/>
              </w:rPr>
            </w:pPr>
          </w:p>
          <w:p w14:paraId="6B420E4B">
            <w:pPr>
              <w:pStyle w:val="22"/>
              <w:keepNext w:val="0"/>
              <w:keepLines w:val="0"/>
              <w:suppressLineNumbers w:val="0"/>
              <w:spacing w:before="68" w:beforeAutospacing="0" w:after="0" w:afterAutospacing="0" w:line="183" w:lineRule="auto"/>
              <w:ind w:left="569" w:right="0"/>
              <w:rPr>
                <w:rFonts w:hint="default"/>
              </w:rPr>
            </w:pPr>
            <w:r>
              <w:rPr>
                <w:rFonts w:hint="default"/>
              </w:rPr>
              <w:t>1</w:t>
            </w:r>
          </w:p>
        </w:tc>
      </w:tr>
      <w:tr w14:paraId="66C36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1BC62B73">
            <w:pPr>
              <w:pStyle w:val="22"/>
              <w:keepNext w:val="0"/>
              <w:keepLines w:val="0"/>
              <w:suppressLineNumbers w:val="0"/>
              <w:spacing w:before="256" w:beforeAutospacing="0" w:after="0" w:afterAutospacing="0" w:line="177" w:lineRule="auto"/>
              <w:ind w:left="118" w:right="0"/>
              <w:rPr>
                <w:rFonts w:hint="default"/>
              </w:rPr>
            </w:pPr>
            <w:r>
              <w:rPr>
                <w:rFonts w:hint="default"/>
                <w:spacing w:val="-2"/>
              </w:rPr>
              <w:t>26.</w:t>
            </w:r>
          </w:p>
        </w:tc>
        <w:tc>
          <w:tcPr>
            <w:tcW w:w="1334" w:type="dxa"/>
            <w:vAlign w:val="top"/>
          </w:tcPr>
          <w:p w14:paraId="25FFE2DF">
            <w:pPr>
              <w:pStyle w:val="22"/>
              <w:keepNext w:val="0"/>
              <w:keepLines w:val="0"/>
              <w:suppressLineNumbers w:val="0"/>
              <w:spacing w:before="221" w:beforeAutospacing="0" w:after="0" w:afterAutospacing="0" w:line="208" w:lineRule="auto"/>
              <w:ind w:left="142" w:right="0"/>
              <w:rPr>
                <w:rFonts w:hint="default"/>
              </w:rPr>
            </w:pPr>
            <w:r>
              <w:rPr>
                <w:rFonts w:hint="default"/>
              </w:rPr>
              <w:t>V260101A/B</w:t>
            </w:r>
          </w:p>
        </w:tc>
        <w:tc>
          <w:tcPr>
            <w:tcW w:w="1950" w:type="dxa"/>
            <w:vAlign w:val="top"/>
          </w:tcPr>
          <w:p w14:paraId="3D1B6D4F">
            <w:pPr>
              <w:pStyle w:val="22"/>
              <w:keepNext w:val="0"/>
              <w:keepLines w:val="0"/>
              <w:suppressLineNumbers w:val="0"/>
              <w:spacing w:before="221" w:beforeAutospacing="0" w:after="0" w:afterAutospacing="0" w:line="208" w:lineRule="auto"/>
              <w:ind w:left="116" w:right="0"/>
              <w:rPr>
                <w:rFonts w:hint="default"/>
              </w:rPr>
            </w:pPr>
            <w:r>
              <w:rPr>
                <w:rFonts w:hint="default"/>
                <w:spacing w:val="-2"/>
              </w:rPr>
              <w:t>异丙醇储罐</w:t>
            </w:r>
          </w:p>
        </w:tc>
        <w:tc>
          <w:tcPr>
            <w:tcW w:w="2683" w:type="dxa"/>
            <w:vAlign w:val="top"/>
          </w:tcPr>
          <w:p w14:paraId="34612593">
            <w:pPr>
              <w:pStyle w:val="22"/>
              <w:keepNext w:val="0"/>
              <w:keepLines w:val="0"/>
              <w:suppressLineNumbers w:val="0"/>
              <w:spacing w:before="229" w:beforeAutospacing="0" w:after="0" w:afterAutospacing="0" w:line="222" w:lineRule="auto"/>
              <w:ind w:left="317" w:right="0"/>
              <w:rPr>
                <w:rFonts w:hint="default"/>
                <w:sz w:val="19"/>
                <w:szCs w:val="19"/>
              </w:rPr>
            </w:pPr>
            <w:r>
              <w:rPr>
                <w:rFonts w:hint="default"/>
                <w:sz w:val="19"/>
                <w:szCs w:val="19"/>
              </w:rPr>
              <w:t>DN</w:t>
            </w:r>
            <w:r>
              <w:rPr>
                <w:rFonts w:hint="default"/>
                <w:spacing w:val="5"/>
                <w:sz w:val="19"/>
                <w:szCs w:val="19"/>
              </w:rPr>
              <w:t>4000×8000（100m</w:t>
            </w:r>
            <w:r>
              <w:rPr>
                <w:rFonts w:hint="default"/>
                <w:spacing w:val="5"/>
                <w:position w:val="9"/>
                <w:sz w:val="10"/>
                <w:szCs w:val="10"/>
              </w:rPr>
              <w:t>3</w:t>
            </w:r>
            <w:r>
              <w:rPr>
                <w:rFonts w:hint="default"/>
                <w:spacing w:val="5"/>
                <w:sz w:val="19"/>
                <w:szCs w:val="19"/>
              </w:rPr>
              <w:t>）</w:t>
            </w:r>
          </w:p>
        </w:tc>
        <w:tc>
          <w:tcPr>
            <w:tcW w:w="1782" w:type="dxa"/>
            <w:vAlign w:val="top"/>
          </w:tcPr>
          <w:p w14:paraId="64508A11">
            <w:pPr>
              <w:pStyle w:val="22"/>
              <w:keepNext w:val="0"/>
              <w:keepLines w:val="0"/>
              <w:suppressLineNumbers w:val="0"/>
              <w:spacing w:before="221" w:beforeAutospacing="0" w:after="0" w:afterAutospacing="0" w:line="208" w:lineRule="auto"/>
              <w:ind w:left="325" w:right="0"/>
              <w:rPr>
                <w:rFonts w:hint="default"/>
              </w:rPr>
            </w:pPr>
            <w:r>
              <w:rPr>
                <w:rFonts w:hint="default"/>
                <w:spacing w:val="-2"/>
              </w:rPr>
              <w:t>常压、100℃</w:t>
            </w:r>
          </w:p>
        </w:tc>
        <w:tc>
          <w:tcPr>
            <w:tcW w:w="1800" w:type="dxa"/>
            <w:vAlign w:val="top"/>
          </w:tcPr>
          <w:p w14:paraId="18CF35AE">
            <w:pPr>
              <w:pStyle w:val="22"/>
              <w:keepNext w:val="0"/>
              <w:keepLines w:val="0"/>
              <w:suppressLineNumbers w:val="0"/>
              <w:spacing w:before="221" w:beforeAutospacing="0" w:after="0" w:afterAutospacing="0" w:line="208" w:lineRule="auto"/>
              <w:ind w:left="386" w:right="0"/>
              <w:rPr>
                <w:rFonts w:hint="default"/>
              </w:rPr>
            </w:pPr>
            <w:r>
              <w:rPr>
                <w:rFonts w:hint="default"/>
                <w:spacing w:val="-2"/>
              </w:rPr>
              <w:t>常压、常温</w:t>
            </w:r>
          </w:p>
        </w:tc>
        <w:tc>
          <w:tcPr>
            <w:tcW w:w="1583" w:type="dxa"/>
            <w:vAlign w:val="top"/>
          </w:tcPr>
          <w:p w14:paraId="7B7B8617">
            <w:pPr>
              <w:pStyle w:val="22"/>
              <w:keepNext w:val="0"/>
              <w:keepLines w:val="0"/>
              <w:suppressLineNumbers w:val="0"/>
              <w:spacing w:before="256" w:beforeAutospacing="0" w:after="0" w:afterAutospacing="0" w:line="177" w:lineRule="auto"/>
              <w:ind w:left="645" w:right="0"/>
              <w:rPr>
                <w:rFonts w:hint="default"/>
              </w:rPr>
            </w:pPr>
            <w:r>
              <w:rPr>
                <w:rFonts w:hint="default"/>
                <w:spacing w:val="-4"/>
              </w:rPr>
              <w:t>304</w:t>
            </w:r>
          </w:p>
        </w:tc>
        <w:tc>
          <w:tcPr>
            <w:tcW w:w="1716" w:type="dxa"/>
            <w:vAlign w:val="top"/>
          </w:tcPr>
          <w:p w14:paraId="58827BB0">
            <w:pPr>
              <w:pStyle w:val="22"/>
              <w:keepNext w:val="0"/>
              <w:keepLines w:val="0"/>
              <w:suppressLineNumbers w:val="0"/>
              <w:spacing w:before="221" w:beforeAutospacing="0" w:after="0" w:afterAutospacing="0" w:line="208" w:lineRule="auto"/>
              <w:ind w:left="553" w:right="0"/>
              <w:rPr>
                <w:rFonts w:hint="default"/>
              </w:rPr>
            </w:pPr>
            <w:r>
              <w:rPr>
                <w:rFonts w:hint="default"/>
                <w:spacing w:val="-3"/>
              </w:rPr>
              <w:t>异丙醇</w:t>
            </w:r>
          </w:p>
        </w:tc>
        <w:tc>
          <w:tcPr>
            <w:tcW w:w="1200" w:type="dxa"/>
            <w:vAlign w:val="top"/>
          </w:tcPr>
          <w:p w14:paraId="6CB37B52">
            <w:pPr>
              <w:pStyle w:val="22"/>
              <w:keepNext w:val="0"/>
              <w:keepLines w:val="0"/>
              <w:suppressLineNumbers w:val="0"/>
              <w:spacing w:before="256" w:beforeAutospacing="0" w:after="0" w:afterAutospacing="0" w:line="177" w:lineRule="auto"/>
              <w:ind w:left="556" w:right="0"/>
              <w:rPr>
                <w:rFonts w:hint="default"/>
              </w:rPr>
            </w:pPr>
            <w:r>
              <w:rPr>
                <w:rFonts w:hint="default"/>
              </w:rPr>
              <w:t>2</w:t>
            </w:r>
          </w:p>
        </w:tc>
      </w:tr>
      <w:tr w14:paraId="02AFC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16CC6392">
            <w:pPr>
              <w:pStyle w:val="22"/>
              <w:keepNext w:val="0"/>
              <w:keepLines w:val="0"/>
              <w:suppressLineNumbers w:val="0"/>
              <w:spacing w:before="256" w:beforeAutospacing="0" w:after="0" w:afterAutospacing="0" w:line="177" w:lineRule="auto"/>
              <w:ind w:left="118" w:right="0"/>
              <w:rPr>
                <w:rFonts w:hint="default"/>
              </w:rPr>
            </w:pPr>
            <w:r>
              <w:rPr>
                <w:rFonts w:hint="default"/>
                <w:spacing w:val="-2"/>
              </w:rPr>
              <w:t>27.</w:t>
            </w:r>
          </w:p>
        </w:tc>
        <w:tc>
          <w:tcPr>
            <w:tcW w:w="1334" w:type="dxa"/>
            <w:vAlign w:val="top"/>
          </w:tcPr>
          <w:p w14:paraId="49EDDC77">
            <w:pPr>
              <w:pStyle w:val="22"/>
              <w:keepNext w:val="0"/>
              <w:keepLines w:val="0"/>
              <w:suppressLineNumbers w:val="0"/>
              <w:spacing w:before="221" w:beforeAutospacing="0" w:after="0" w:afterAutospacing="0" w:line="208" w:lineRule="auto"/>
              <w:ind w:left="142" w:right="0"/>
              <w:rPr>
                <w:rFonts w:hint="default"/>
              </w:rPr>
            </w:pPr>
            <w:r>
              <w:rPr>
                <w:rFonts w:hint="default"/>
              </w:rPr>
              <w:t>V250101A/B</w:t>
            </w:r>
          </w:p>
        </w:tc>
        <w:tc>
          <w:tcPr>
            <w:tcW w:w="1950" w:type="dxa"/>
            <w:vAlign w:val="top"/>
          </w:tcPr>
          <w:p w14:paraId="77A943CC">
            <w:pPr>
              <w:pStyle w:val="22"/>
              <w:keepNext w:val="0"/>
              <w:keepLines w:val="0"/>
              <w:suppressLineNumbers w:val="0"/>
              <w:spacing w:before="221" w:beforeAutospacing="0" w:after="0" w:afterAutospacing="0" w:line="208" w:lineRule="auto"/>
              <w:ind w:left="115" w:right="0"/>
              <w:rPr>
                <w:rFonts w:hint="default"/>
              </w:rPr>
            </w:pPr>
            <w:r>
              <w:rPr>
                <w:rFonts w:hint="default"/>
                <w:spacing w:val="-2"/>
              </w:rPr>
              <w:t>液氨储罐</w:t>
            </w:r>
          </w:p>
        </w:tc>
        <w:tc>
          <w:tcPr>
            <w:tcW w:w="2683" w:type="dxa"/>
            <w:vAlign w:val="top"/>
          </w:tcPr>
          <w:p w14:paraId="17A93544">
            <w:pPr>
              <w:pStyle w:val="22"/>
              <w:keepNext w:val="0"/>
              <w:keepLines w:val="0"/>
              <w:suppressLineNumbers w:val="0"/>
              <w:spacing w:before="229" w:beforeAutospacing="0" w:after="0" w:afterAutospacing="0" w:line="222" w:lineRule="auto"/>
              <w:ind w:left="365" w:right="0"/>
              <w:rPr>
                <w:rFonts w:hint="default"/>
                <w:sz w:val="19"/>
                <w:szCs w:val="19"/>
              </w:rPr>
            </w:pPr>
            <w:r>
              <w:rPr>
                <w:rFonts w:hint="default"/>
                <w:sz w:val="19"/>
                <w:szCs w:val="19"/>
              </w:rPr>
              <w:t>DN</w:t>
            </w:r>
            <w:r>
              <w:rPr>
                <w:rFonts w:hint="default"/>
                <w:spacing w:val="5"/>
                <w:sz w:val="19"/>
                <w:szCs w:val="19"/>
              </w:rPr>
              <w:t>2600×8500（50m</w:t>
            </w:r>
            <w:r>
              <w:rPr>
                <w:rFonts w:hint="default"/>
                <w:spacing w:val="5"/>
                <w:position w:val="9"/>
                <w:sz w:val="10"/>
                <w:szCs w:val="10"/>
              </w:rPr>
              <w:t>3</w:t>
            </w:r>
            <w:r>
              <w:rPr>
                <w:rFonts w:hint="default"/>
                <w:spacing w:val="5"/>
                <w:sz w:val="19"/>
                <w:szCs w:val="19"/>
              </w:rPr>
              <w:t>）</w:t>
            </w:r>
          </w:p>
        </w:tc>
        <w:tc>
          <w:tcPr>
            <w:tcW w:w="1782" w:type="dxa"/>
            <w:vAlign w:val="top"/>
          </w:tcPr>
          <w:p w14:paraId="5AA020F1">
            <w:pPr>
              <w:pStyle w:val="22"/>
              <w:keepNext w:val="0"/>
              <w:keepLines w:val="0"/>
              <w:suppressLineNumbers w:val="0"/>
              <w:spacing w:before="221" w:beforeAutospacing="0" w:after="0" w:afterAutospacing="0" w:line="208" w:lineRule="auto"/>
              <w:ind w:left="425" w:right="0"/>
              <w:rPr>
                <w:rFonts w:hint="default"/>
              </w:rPr>
            </w:pPr>
            <w:r>
              <w:rPr>
                <w:rFonts w:hint="default"/>
                <w:spacing w:val="-2"/>
              </w:rPr>
              <w:t>2.5、50℃</w:t>
            </w:r>
          </w:p>
        </w:tc>
        <w:tc>
          <w:tcPr>
            <w:tcW w:w="1800" w:type="dxa"/>
            <w:vAlign w:val="top"/>
          </w:tcPr>
          <w:p w14:paraId="1F99AA7A">
            <w:pPr>
              <w:pStyle w:val="22"/>
              <w:keepNext w:val="0"/>
              <w:keepLines w:val="0"/>
              <w:suppressLineNumbers w:val="0"/>
              <w:spacing w:before="221" w:beforeAutospacing="0" w:after="0" w:afterAutospacing="0" w:line="208" w:lineRule="auto"/>
              <w:ind w:left="450" w:right="0"/>
              <w:rPr>
                <w:rFonts w:hint="default"/>
              </w:rPr>
            </w:pPr>
            <w:r>
              <w:rPr>
                <w:rFonts w:hint="default"/>
                <w:spacing w:val="-3"/>
              </w:rPr>
              <w:t>1.0、30℃</w:t>
            </w:r>
          </w:p>
        </w:tc>
        <w:tc>
          <w:tcPr>
            <w:tcW w:w="1583" w:type="dxa"/>
            <w:vAlign w:val="top"/>
          </w:tcPr>
          <w:p w14:paraId="004F54DE">
            <w:pPr>
              <w:pStyle w:val="22"/>
              <w:keepNext w:val="0"/>
              <w:keepLines w:val="0"/>
              <w:suppressLineNumbers w:val="0"/>
              <w:spacing w:before="221" w:beforeAutospacing="0" w:after="0" w:afterAutospacing="0" w:line="208" w:lineRule="auto"/>
              <w:ind w:left="551" w:right="0"/>
              <w:rPr>
                <w:rFonts w:hint="default"/>
              </w:rPr>
            </w:pPr>
            <w:r>
              <w:rPr>
                <w:rFonts w:hint="default"/>
                <w:spacing w:val="-5"/>
              </w:rPr>
              <w:t>16MnR</w:t>
            </w:r>
          </w:p>
        </w:tc>
        <w:tc>
          <w:tcPr>
            <w:tcW w:w="1716" w:type="dxa"/>
            <w:vAlign w:val="top"/>
          </w:tcPr>
          <w:p w14:paraId="337504BD">
            <w:pPr>
              <w:pStyle w:val="22"/>
              <w:keepNext w:val="0"/>
              <w:keepLines w:val="0"/>
              <w:suppressLineNumbers w:val="0"/>
              <w:spacing w:before="221" w:beforeAutospacing="0" w:after="0" w:afterAutospacing="0" w:line="208" w:lineRule="auto"/>
              <w:ind w:left="658" w:right="0"/>
              <w:rPr>
                <w:rFonts w:hint="default"/>
              </w:rPr>
            </w:pPr>
            <w:r>
              <w:rPr>
                <w:rFonts w:hint="default"/>
                <w:spacing w:val="-2"/>
              </w:rPr>
              <w:t>液氨</w:t>
            </w:r>
          </w:p>
        </w:tc>
        <w:tc>
          <w:tcPr>
            <w:tcW w:w="1200" w:type="dxa"/>
            <w:vAlign w:val="top"/>
          </w:tcPr>
          <w:p w14:paraId="0FBA7AF8">
            <w:pPr>
              <w:pStyle w:val="22"/>
              <w:keepNext w:val="0"/>
              <w:keepLines w:val="0"/>
              <w:suppressLineNumbers w:val="0"/>
              <w:spacing w:before="256" w:beforeAutospacing="0" w:after="0" w:afterAutospacing="0" w:line="177" w:lineRule="auto"/>
              <w:ind w:left="556" w:right="0"/>
              <w:rPr>
                <w:rFonts w:hint="default"/>
              </w:rPr>
            </w:pPr>
            <w:r>
              <w:rPr>
                <w:rFonts w:hint="default"/>
              </w:rPr>
              <w:t>2</w:t>
            </w:r>
          </w:p>
        </w:tc>
      </w:tr>
      <w:tr w14:paraId="3CD4A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61" w:type="dxa"/>
            <w:vAlign w:val="top"/>
          </w:tcPr>
          <w:p w14:paraId="7A53043F">
            <w:pPr>
              <w:pStyle w:val="22"/>
              <w:keepNext w:val="0"/>
              <w:keepLines w:val="0"/>
              <w:suppressLineNumbers w:val="0"/>
              <w:spacing w:before="255" w:beforeAutospacing="0" w:after="0" w:afterAutospacing="0" w:line="175" w:lineRule="auto"/>
              <w:ind w:left="118" w:right="0"/>
              <w:rPr>
                <w:rFonts w:hint="default"/>
              </w:rPr>
            </w:pPr>
            <w:r>
              <w:rPr>
                <w:rFonts w:hint="default"/>
                <w:spacing w:val="-2"/>
              </w:rPr>
              <w:t>28.</w:t>
            </w:r>
          </w:p>
        </w:tc>
        <w:tc>
          <w:tcPr>
            <w:tcW w:w="1334" w:type="dxa"/>
            <w:vAlign w:val="top"/>
          </w:tcPr>
          <w:p w14:paraId="70165677">
            <w:pPr>
              <w:keepNext w:val="0"/>
              <w:keepLines w:val="0"/>
              <w:suppressLineNumbers w:val="0"/>
              <w:spacing w:before="0" w:beforeAutospacing="0" w:after="0" w:afterAutospacing="0"/>
              <w:ind w:left="0" w:right="0"/>
              <w:rPr>
                <w:rFonts w:hint="default" w:ascii="Arial"/>
                <w:sz w:val="21"/>
              </w:rPr>
            </w:pPr>
          </w:p>
        </w:tc>
        <w:tc>
          <w:tcPr>
            <w:tcW w:w="1950" w:type="dxa"/>
            <w:vAlign w:val="top"/>
          </w:tcPr>
          <w:p w14:paraId="48829E14">
            <w:pPr>
              <w:pStyle w:val="22"/>
              <w:keepNext w:val="0"/>
              <w:keepLines w:val="0"/>
              <w:suppressLineNumbers w:val="0"/>
              <w:spacing w:before="220" w:beforeAutospacing="0" w:after="0" w:afterAutospacing="0" w:line="206" w:lineRule="auto"/>
              <w:ind w:left="115" w:right="0"/>
              <w:rPr>
                <w:rFonts w:hint="default"/>
              </w:rPr>
            </w:pPr>
            <w:r>
              <w:rPr>
                <w:rFonts w:hint="default"/>
                <w:spacing w:val="-1"/>
              </w:rPr>
              <w:t>液氨卸车压缩机</w:t>
            </w:r>
          </w:p>
        </w:tc>
        <w:tc>
          <w:tcPr>
            <w:tcW w:w="2683" w:type="dxa"/>
            <w:vAlign w:val="top"/>
          </w:tcPr>
          <w:p w14:paraId="3BC1AD22">
            <w:pPr>
              <w:pStyle w:val="22"/>
              <w:keepNext w:val="0"/>
              <w:keepLines w:val="0"/>
              <w:suppressLineNumbers w:val="0"/>
              <w:spacing w:before="254" w:beforeAutospacing="0" w:after="0" w:afterAutospacing="0" w:line="176" w:lineRule="auto"/>
              <w:ind w:left="1029" w:right="0"/>
              <w:rPr>
                <w:rFonts w:hint="default"/>
              </w:rPr>
            </w:pPr>
            <w:r>
              <w:rPr>
                <w:rFonts w:hint="default"/>
                <w:spacing w:val="-1"/>
              </w:rPr>
              <w:t>4AV-10</w:t>
            </w:r>
          </w:p>
        </w:tc>
        <w:tc>
          <w:tcPr>
            <w:tcW w:w="1782" w:type="dxa"/>
            <w:vAlign w:val="top"/>
          </w:tcPr>
          <w:p w14:paraId="7F2F8B60">
            <w:pPr>
              <w:pStyle w:val="22"/>
              <w:keepNext w:val="0"/>
              <w:keepLines w:val="0"/>
              <w:suppressLineNumbers w:val="0"/>
              <w:spacing w:before="220" w:beforeAutospacing="0" w:after="0" w:afterAutospacing="0" w:line="206" w:lineRule="auto"/>
              <w:ind w:left="425" w:right="0"/>
              <w:rPr>
                <w:rFonts w:hint="default"/>
              </w:rPr>
            </w:pPr>
            <w:r>
              <w:rPr>
                <w:rFonts w:hint="default"/>
                <w:spacing w:val="-2"/>
              </w:rPr>
              <w:t>2.5、50℃</w:t>
            </w:r>
          </w:p>
        </w:tc>
        <w:tc>
          <w:tcPr>
            <w:tcW w:w="1800" w:type="dxa"/>
            <w:vAlign w:val="top"/>
          </w:tcPr>
          <w:p w14:paraId="16E802D6">
            <w:pPr>
              <w:pStyle w:val="22"/>
              <w:keepNext w:val="0"/>
              <w:keepLines w:val="0"/>
              <w:suppressLineNumbers w:val="0"/>
              <w:spacing w:before="220" w:beforeAutospacing="0" w:after="0" w:afterAutospacing="0" w:line="206" w:lineRule="auto"/>
              <w:ind w:left="116" w:right="0"/>
              <w:rPr>
                <w:rFonts w:hint="default"/>
              </w:rPr>
            </w:pPr>
            <w:r>
              <w:rPr>
                <w:rFonts w:hint="default"/>
                <w:spacing w:val="-8"/>
              </w:rPr>
              <w:t>0.7-1.1MPa、常温</w:t>
            </w:r>
          </w:p>
        </w:tc>
        <w:tc>
          <w:tcPr>
            <w:tcW w:w="1583" w:type="dxa"/>
            <w:vAlign w:val="top"/>
          </w:tcPr>
          <w:p w14:paraId="041490C5">
            <w:pPr>
              <w:keepNext w:val="0"/>
              <w:keepLines w:val="0"/>
              <w:suppressLineNumbers w:val="0"/>
              <w:spacing w:before="0" w:beforeAutospacing="0" w:after="0" w:afterAutospacing="0"/>
              <w:ind w:left="0" w:right="0"/>
              <w:rPr>
                <w:rFonts w:hint="default" w:ascii="Arial"/>
                <w:sz w:val="21"/>
              </w:rPr>
            </w:pPr>
          </w:p>
        </w:tc>
        <w:tc>
          <w:tcPr>
            <w:tcW w:w="1716" w:type="dxa"/>
            <w:vAlign w:val="top"/>
          </w:tcPr>
          <w:p w14:paraId="44AD6D79">
            <w:pPr>
              <w:pStyle w:val="22"/>
              <w:keepNext w:val="0"/>
              <w:keepLines w:val="0"/>
              <w:suppressLineNumbers w:val="0"/>
              <w:spacing w:before="220" w:beforeAutospacing="0" w:after="0" w:afterAutospacing="0" w:line="206" w:lineRule="auto"/>
              <w:ind w:left="658" w:right="0"/>
              <w:rPr>
                <w:rFonts w:hint="default"/>
              </w:rPr>
            </w:pPr>
            <w:r>
              <w:rPr>
                <w:rFonts w:hint="default"/>
                <w:spacing w:val="-2"/>
              </w:rPr>
              <w:t>液氨</w:t>
            </w:r>
          </w:p>
        </w:tc>
        <w:tc>
          <w:tcPr>
            <w:tcW w:w="1200" w:type="dxa"/>
            <w:vAlign w:val="top"/>
          </w:tcPr>
          <w:p w14:paraId="20A3CD60">
            <w:pPr>
              <w:pStyle w:val="22"/>
              <w:keepNext w:val="0"/>
              <w:keepLines w:val="0"/>
              <w:suppressLineNumbers w:val="0"/>
              <w:spacing w:before="255" w:beforeAutospacing="0" w:after="0" w:afterAutospacing="0" w:line="175" w:lineRule="auto"/>
              <w:ind w:left="569" w:right="0"/>
              <w:rPr>
                <w:rFonts w:hint="default"/>
              </w:rPr>
            </w:pPr>
            <w:r>
              <w:rPr>
                <w:rFonts w:hint="default"/>
              </w:rPr>
              <w:t>1</w:t>
            </w:r>
          </w:p>
        </w:tc>
      </w:tr>
      <w:tr w14:paraId="48352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2E13C095">
            <w:pPr>
              <w:pStyle w:val="22"/>
              <w:keepNext w:val="0"/>
              <w:keepLines w:val="0"/>
              <w:suppressLineNumbers w:val="0"/>
              <w:spacing w:before="258" w:beforeAutospacing="0" w:after="0" w:afterAutospacing="0" w:line="175" w:lineRule="auto"/>
              <w:ind w:left="118" w:right="0"/>
              <w:rPr>
                <w:rFonts w:hint="default"/>
              </w:rPr>
            </w:pPr>
            <w:r>
              <w:rPr>
                <w:rFonts w:hint="default"/>
                <w:spacing w:val="-2"/>
              </w:rPr>
              <w:t>29.</w:t>
            </w:r>
          </w:p>
        </w:tc>
        <w:tc>
          <w:tcPr>
            <w:tcW w:w="1334" w:type="dxa"/>
            <w:vAlign w:val="top"/>
          </w:tcPr>
          <w:p w14:paraId="42AC70D3">
            <w:pPr>
              <w:pStyle w:val="22"/>
              <w:keepNext w:val="0"/>
              <w:keepLines w:val="0"/>
              <w:suppressLineNumbers w:val="0"/>
              <w:spacing w:before="258" w:beforeAutospacing="0" w:after="0" w:afterAutospacing="0" w:line="175" w:lineRule="auto"/>
              <w:ind w:left="300" w:right="0"/>
              <w:rPr>
                <w:rFonts w:hint="default"/>
              </w:rPr>
            </w:pPr>
            <w:r>
              <w:rPr>
                <w:rFonts w:hint="default"/>
              </w:rPr>
              <w:t>V260103</w:t>
            </w:r>
          </w:p>
        </w:tc>
        <w:tc>
          <w:tcPr>
            <w:tcW w:w="1950" w:type="dxa"/>
            <w:vAlign w:val="top"/>
          </w:tcPr>
          <w:p w14:paraId="6D16FA3B">
            <w:pPr>
              <w:pStyle w:val="22"/>
              <w:keepNext w:val="0"/>
              <w:keepLines w:val="0"/>
              <w:suppressLineNumbers w:val="0"/>
              <w:spacing w:before="223" w:beforeAutospacing="0" w:after="0" w:afterAutospacing="0" w:line="206" w:lineRule="auto"/>
              <w:ind w:left="113" w:right="0"/>
              <w:rPr>
                <w:rFonts w:hint="default"/>
              </w:rPr>
            </w:pPr>
            <w:r>
              <w:rPr>
                <w:rFonts w:hint="default"/>
                <w:spacing w:val="-5"/>
              </w:rPr>
              <w:t>低级</w:t>
            </w:r>
            <w:r>
              <w:rPr>
                <w:rFonts w:hint="default"/>
                <w:spacing w:val="-28"/>
              </w:rPr>
              <w:t xml:space="preserve"> </w:t>
            </w:r>
            <w:r>
              <w:rPr>
                <w:rFonts w:hint="default"/>
                <w:spacing w:val="-5"/>
              </w:rPr>
              <w:t>IPA</w:t>
            </w:r>
            <w:r>
              <w:rPr>
                <w:rFonts w:hint="default"/>
                <w:spacing w:val="-45"/>
              </w:rPr>
              <w:t xml:space="preserve"> </w:t>
            </w:r>
            <w:r>
              <w:rPr>
                <w:rFonts w:hint="default"/>
                <w:spacing w:val="-5"/>
              </w:rPr>
              <w:t>储罐</w:t>
            </w:r>
          </w:p>
        </w:tc>
        <w:tc>
          <w:tcPr>
            <w:tcW w:w="2683" w:type="dxa"/>
            <w:vAlign w:val="top"/>
          </w:tcPr>
          <w:p w14:paraId="1462CB3F">
            <w:pPr>
              <w:pStyle w:val="22"/>
              <w:keepNext w:val="0"/>
              <w:keepLines w:val="0"/>
              <w:suppressLineNumbers w:val="0"/>
              <w:spacing w:before="229" w:beforeAutospacing="0" w:after="0" w:afterAutospacing="0" w:line="222" w:lineRule="auto"/>
              <w:ind w:left="317" w:right="0"/>
              <w:rPr>
                <w:rFonts w:hint="default"/>
                <w:sz w:val="19"/>
                <w:szCs w:val="19"/>
              </w:rPr>
            </w:pPr>
            <w:r>
              <w:rPr>
                <w:rFonts w:hint="default"/>
                <w:sz w:val="19"/>
                <w:szCs w:val="19"/>
              </w:rPr>
              <w:t>DN</w:t>
            </w:r>
            <w:r>
              <w:rPr>
                <w:rFonts w:hint="default"/>
                <w:spacing w:val="5"/>
                <w:sz w:val="19"/>
                <w:szCs w:val="19"/>
              </w:rPr>
              <w:t>4000×8000（100m</w:t>
            </w:r>
            <w:r>
              <w:rPr>
                <w:rFonts w:hint="default"/>
                <w:spacing w:val="5"/>
                <w:position w:val="9"/>
                <w:sz w:val="10"/>
                <w:szCs w:val="10"/>
              </w:rPr>
              <w:t>3</w:t>
            </w:r>
            <w:r>
              <w:rPr>
                <w:rFonts w:hint="default"/>
                <w:spacing w:val="5"/>
                <w:sz w:val="19"/>
                <w:szCs w:val="19"/>
              </w:rPr>
              <w:t>）</w:t>
            </w:r>
          </w:p>
        </w:tc>
        <w:tc>
          <w:tcPr>
            <w:tcW w:w="1782" w:type="dxa"/>
            <w:vAlign w:val="top"/>
          </w:tcPr>
          <w:p w14:paraId="4C03A26E">
            <w:pPr>
              <w:pStyle w:val="22"/>
              <w:keepNext w:val="0"/>
              <w:keepLines w:val="0"/>
              <w:suppressLineNumbers w:val="0"/>
              <w:spacing w:before="223" w:beforeAutospacing="0" w:after="0" w:afterAutospacing="0" w:line="206" w:lineRule="auto"/>
              <w:ind w:left="325" w:right="0"/>
              <w:rPr>
                <w:rFonts w:hint="default"/>
              </w:rPr>
            </w:pPr>
            <w:r>
              <w:rPr>
                <w:rFonts w:hint="default"/>
                <w:spacing w:val="-2"/>
              </w:rPr>
              <w:t>常压、100℃</w:t>
            </w:r>
          </w:p>
        </w:tc>
        <w:tc>
          <w:tcPr>
            <w:tcW w:w="1800" w:type="dxa"/>
            <w:vAlign w:val="top"/>
          </w:tcPr>
          <w:p w14:paraId="5BFB771B">
            <w:pPr>
              <w:pStyle w:val="22"/>
              <w:keepNext w:val="0"/>
              <w:keepLines w:val="0"/>
              <w:suppressLineNumbers w:val="0"/>
              <w:spacing w:before="223" w:beforeAutospacing="0" w:after="0" w:afterAutospacing="0" w:line="206" w:lineRule="auto"/>
              <w:ind w:left="386" w:right="0"/>
              <w:rPr>
                <w:rFonts w:hint="default"/>
              </w:rPr>
            </w:pPr>
            <w:r>
              <w:rPr>
                <w:rFonts w:hint="default"/>
                <w:spacing w:val="-2"/>
              </w:rPr>
              <w:t>常压、常温</w:t>
            </w:r>
          </w:p>
        </w:tc>
        <w:tc>
          <w:tcPr>
            <w:tcW w:w="1583" w:type="dxa"/>
            <w:vAlign w:val="top"/>
          </w:tcPr>
          <w:p w14:paraId="78B1E691">
            <w:pPr>
              <w:pStyle w:val="22"/>
              <w:keepNext w:val="0"/>
              <w:keepLines w:val="0"/>
              <w:suppressLineNumbers w:val="0"/>
              <w:spacing w:before="258" w:beforeAutospacing="0" w:after="0" w:afterAutospacing="0" w:line="175" w:lineRule="auto"/>
              <w:ind w:left="645" w:right="0"/>
              <w:rPr>
                <w:rFonts w:hint="default"/>
              </w:rPr>
            </w:pPr>
            <w:r>
              <w:rPr>
                <w:rFonts w:hint="default"/>
                <w:spacing w:val="-4"/>
              </w:rPr>
              <w:t>304</w:t>
            </w:r>
          </w:p>
        </w:tc>
        <w:tc>
          <w:tcPr>
            <w:tcW w:w="1716" w:type="dxa"/>
            <w:vAlign w:val="top"/>
          </w:tcPr>
          <w:p w14:paraId="61807579">
            <w:pPr>
              <w:pStyle w:val="22"/>
              <w:keepNext w:val="0"/>
              <w:keepLines w:val="0"/>
              <w:suppressLineNumbers w:val="0"/>
              <w:spacing w:before="223" w:beforeAutospacing="0" w:after="0" w:afterAutospacing="0" w:line="206" w:lineRule="auto"/>
              <w:ind w:left="553" w:right="0"/>
              <w:rPr>
                <w:rFonts w:hint="default"/>
              </w:rPr>
            </w:pPr>
            <w:r>
              <w:rPr>
                <w:rFonts w:hint="default"/>
                <w:spacing w:val="-2"/>
              </w:rPr>
              <w:t>异丙醇</w:t>
            </w:r>
          </w:p>
        </w:tc>
        <w:tc>
          <w:tcPr>
            <w:tcW w:w="1200" w:type="dxa"/>
            <w:vAlign w:val="top"/>
          </w:tcPr>
          <w:p w14:paraId="3DC331A9">
            <w:pPr>
              <w:pStyle w:val="22"/>
              <w:keepNext w:val="0"/>
              <w:keepLines w:val="0"/>
              <w:suppressLineNumbers w:val="0"/>
              <w:spacing w:before="258" w:beforeAutospacing="0" w:after="0" w:afterAutospacing="0" w:line="175" w:lineRule="auto"/>
              <w:ind w:left="569" w:right="0"/>
              <w:rPr>
                <w:rFonts w:hint="default"/>
              </w:rPr>
            </w:pPr>
            <w:r>
              <w:rPr>
                <w:rFonts w:hint="default"/>
              </w:rPr>
              <w:t>1</w:t>
            </w:r>
          </w:p>
        </w:tc>
      </w:tr>
      <w:tr w14:paraId="69181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20A76940">
            <w:pPr>
              <w:pStyle w:val="22"/>
              <w:keepNext w:val="0"/>
              <w:keepLines w:val="0"/>
              <w:suppressLineNumbers w:val="0"/>
              <w:spacing w:before="256" w:beforeAutospacing="0" w:after="0" w:afterAutospacing="0" w:line="176" w:lineRule="auto"/>
              <w:ind w:left="120" w:right="0"/>
              <w:rPr>
                <w:rFonts w:hint="default"/>
              </w:rPr>
            </w:pPr>
            <w:r>
              <w:rPr>
                <w:rFonts w:hint="default"/>
                <w:spacing w:val="-3"/>
              </w:rPr>
              <w:t>30.</w:t>
            </w:r>
          </w:p>
        </w:tc>
        <w:tc>
          <w:tcPr>
            <w:tcW w:w="1334" w:type="dxa"/>
            <w:vAlign w:val="top"/>
          </w:tcPr>
          <w:p w14:paraId="3AD6F7F6">
            <w:pPr>
              <w:pStyle w:val="22"/>
              <w:keepNext w:val="0"/>
              <w:keepLines w:val="0"/>
              <w:suppressLineNumbers w:val="0"/>
              <w:spacing w:before="255" w:beforeAutospacing="0" w:after="0" w:afterAutospacing="0" w:line="177" w:lineRule="auto"/>
              <w:ind w:left="300" w:right="0"/>
              <w:rPr>
                <w:rFonts w:hint="default"/>
              </w:rPr>
            </w:pPr>
            <w:r>
              <w:rPr>
                <w:rFonts w:hint="default"/>
              </w:rPr>
              <w:t>V260104</w:t>
            </w:r>
          </w:p>
        </w:tc>
        <w:tc>
          <w:tcPr>
            <w:tcW w:w="1950" w:type="dxa"/>
            <w:vAlign w:val="top"/>
          </w:tcPr>
          <w:p w14:paraId="0FCB0D56">
            <w:pPr>
              <w:pStyle w:val="22"/>
              <w:keepNext w:val="0"/>
              <w:keepLines w:val="0"/>
              <w:suppressLineNumbers w:val="0"/>
              <w:spacing w:before="221" w:beforeAutospacing="0" w:after="0" w:afterAutospacing="0" w:line="207" w:lineRule="auto"/>
              <w:ind w:left="113" w:right="0"/>
              <w:rPr>
                <w:rFonts w:hint="default"/>
              </w:rPr>
            </w:pPr>
            <w:r>
              <w:rPr>
                <w:rFonts w:hint="default"/>
                <w:spacing w:val="-1"/>
              </w:rPr>
              <w:t>废氨水储罐</w:t>
            </w:r>
          </w:p>
        </w:tc>
        <w:tc>
          <w:tcPr>
            <w:tcW w:w="2683" w:type="dxa"/>
            <w:vAlign w:val="top"/>
          </w:tcPr>
          <w:p w14:paraId="47657DB9">
            <w:pPr>
              <w:pStyle w:val="22"/>
              <w:keepNext w:val="0"/>
              <w:keepLines w:val="0"/>
              <w:suppressLineNumbers w:val="0"/>
              <w:spacing w:before="229" w:beforeAutospacing="0" w:after="0" w:afterAutospacing="0" w:line="221" w:lineRule="auto"/>
              <w:ind w:left="317" w:right="0"/>
              <w:rPr>
                <w:rFonts w:hint="default"/>
                <w:sz w:val="19"/>
                <w:szCs w:val="19"/>
              </w:rPr>
            </w:pPr>
            <w:r>
              <w:rPr>
                <w:rFonts w:hint="default"/>
                <w:sz w:val="19"/>
                <w:szCs w:val="19"/>
              </w:rPr>
              <w:t>DN</w:t>
            </w:r>
            <w:r>
              <w:rPr>
                <w:rFonts w:hint="default"/>
                <w:spacing w:val="5"/>
                <w:sz w:val="19"/>
                <w:szCs w:val="19"/>
              </w:rPr>
              <w:t>4000×8000（100m</w:t>
            </w:r>
            <w:r>
              <w:rPr>
                <w:rFonts w:hint="default"/>
                <w:spacing w:val="5"/>
                <w:position w:val="9"/>
                <w:sz w:val="10"/>
                <w:szCs w:val="10"/>
              </w:rPr>
              <w:t>3</w:t>
            </w:r>
            <w:r>
              <w:rPr>
                <w:rFonts w:hint="default"/>
                <w:spacing w:val="5"/>
                <w:sz w:val="19"/>
                <w:szCs w:val="19"/>
              </w:rPr>
              <w:t>）</w:t>
            </w:r>
          </w:p>
        </w:tc>
        <w:tc>
          <w:tcPr>
            <w:tcW w:w="1782" w:type="dxa"/>
            <w:vAlign w:val="top"/>
          </w:tcPr>
          <w:p w14:paraId="28FC63EE">
            <w:pPr>
              <w:pStyle w:val="22"/>
              <w:keepNext w:val="0"/>
              <w:keepLines w:val="0"/>
              <w:suppressLineNumbers w:val="0"/>
              <w:spacing w:before="221" w:beforeAutospacing="0" w:after="0" w:afterAutospacing="0" w:line="207" w:lineRule="auto"/>
              <w:ind w:left="325" w:right="0"/>
              <w:rPr>
                <w:rFonts w:hint="default"/>
              </w:rPr>
            </w:pPr>
            <w:r>
              <w:rPr>
                <w:rFonts w:hint="default"/>
                <w:spacing w:val="-2"/>
              </w:rPr>
              <w:t>常压、100℃</w:t>
            </w:r>
          </w:p>
        </w:tc>
        <w:tc>
          <w:tcPr>
            <w:tcW w:w="1800" w:type="dxa"/>
            <w:vAlign w:val="top"/>
          </w:tcPr>
          <w:p w14:paraId="50095821">
            <w:pPr>
              <w:pStyle w:val="22"/>
              <w:keepNext w:val="0"/>
              <w:keepLines w:val="0"/>
              <w:suppressLineNumbers w:val="0"/>
              <w:spacing w:before="221" w:beforeAutospacing="0" w:after="0" w:afterAutospacing="0" w:line="207" w:lineRule="auto"/>
              <w:ind w:left="386" w:right="0"/>
              <w:rPr>
                <w:rFonts w:hint="default"/>
              </w:rPr>
            </w:pPr>
            <w:r>
              <w:rPr>
                <w:rFonts w:hint="default"/>
                <w:spacing w:val="-2"/>
              </w:rPr>
              <w:t>常压、常温</w:t>
            </w:r>
          </w:p>
        </w:tc>
        <w:tc>
          <w:tcPr>
            <w:tcW w:w="1583" w:type="dxa"/>
            <w:vAlign w:val="top"/>
          </w:tcPr>
          <w:p w14:paraId="125F9941">
            <w:pPr>
              <w:pStyle w:val="22"/>
              <w:keepNext w:val="0"/>
              <w:keepLines w:val="0"/>
              <w:suppressLineNumbers w:val="0"/>
              <w:spacing w:before="256" w:beforeAutospacing="0" w:after="0" w:afterAutospacing="0" w:line="176" w:lineRule="auto"/>
              <w:ind w:left="645" w:right="0"/>
              <w:rPr>
                <w:rFonts w:hint="default"/>
              </w:rPr>
            </w:pPr>
            <w:r>
              <w:rPr>
                <w:rFonts w:hint="default"/>
                <w:spacing w:val="-4"/>
              </w:rPr>
              <w:t>304</w:t>
            </w:r>
          </w:p>
        </w:tc>
        <w:tc>
          <w:tcPr>
            <w:tcW w:w="1716" w:type="dxa"/>
            <w:vAlign w:val="top"/>
          </w:tcPr>
          <w:p w14:paraId="026A49F6">
            <w:pPr>
              <w:pStyle w:val="22"/>
              <w:keepNext w:val="0"/>
              <w:keepLines w:val="0"/>
              <w:suppressLineNumbers w:val="0"/>
              <w:spacing w:before="221" w:beforeAutospacing="0" w:after="0" w:afterAutospacing="0" w:line="207" w:lineRule="auto"/>
              <w:ind w:left="549" w:right="0"/>
              <w:rPr>
                <w:rFonts w:hint="default"/>
              </w:rPr>
            </w:pPr>
            <w:r>
              <w:rPr>
                <w:rFonts w:hint="default"/>
                <w:spacing w:val="-1"/>
              </w:rPr>
              <w:t>废氨水</w:t>
            </w:r>
          </w:p>
        </w:tc>
        <w:tc>
          <w:tcPr>
            <w:tcW w:w="1200" w:type="dxa"/>
            <w:vAlign w:val="top"/>
          </w:tcPr>
          <w:p w14:paraId="1F347192">
            <w:pPr>
              <w:pStyle w:val="22"/>
              <w:keepNext w:val="0"/>
              <w:keepLines w:val="0"/>
              <w:suppressLineNumbers w:val="0"/>
              <w:spacing w:before="255" w:beforeAutospacing="0" w:after="0" w:afterAutospacing="0" w:line="177" w:lineRule="auto"/>
              <w:ind w:left="569" w:right="0"/>
              <w:rPr>
                <w:rFonts w:hint="default"/>
              </w:rPr>
            </w:pPr>
            <w:r>
              <w:rPr>
                <w:rFonts w:hint="default"/>
              </w:rPr>
              <w:t>1</w:t>
            </w:r>
          </w:p>
        </w:tc>
      </w:tr>
      <w:tr w14:paraId="68E5F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3138593E">
            <w:pPr>
              <w:pStyle w:val="22"/>
              <w:keepNext w:val="0"/>
              <w:keepLines w:val="0"/>
              <w:suppressLineNumbers w:val="0"/>
              <w:spacing w:before="256" w:beforeAutospacing="0" w:after="0" w:afterAutospacing="0" w:line="177" w:lineRule="auto"/>
              <w:ind w:left="120" w:right="0"/>
              <w:rPr>
                <w:rFonts w:hint="default"/>
              </w:rPr>
            </w:pPr>
            <w:r>
              <w:rPr>
                <w:rFonts w:hint="default"/>
                <w:spacing w:val="-3"/>
              </w:rPr>
              <w:t>31.</w:t>
            </w:r>
          </w:p>
        </w:tc>
        <w:tc>
          <w:tcPr>
            <w:tcW w:w="1334" w:type="dxa"/>
            <w:vAlign w:val="top"/>
          </w:tcPr>
          <w:p w14:paraId="7067D7A5">
            <w:pPr>
              <w:pStyle w:val="22"/>
              <w:keepNext w:val="0"/>
              <w:keepLines w:val="0"/>
              <w:suppressLineNumbers w:val="0"/>
              <w:spacing w:before="255" w:beforeAutospacing="0" w:after="0" w:afterAutospacing="0" w:line="178" w:lineRule="auto"/>
              <w:ind w:left="247" w:right="0"/>
              <w:rPr>
                <w:rFonts w:hint="default"/>
              </w:rPr>
            </w:pPr>
            <w:r>
              <w:rPr>
                <w:rFonts w:hint="default"/>
                <w:spacing w:val="-1"/>
              </w:rPr>
              <w:t>V270101A</w:t>
            </w:r>
          </w:p>
        </w:tc>
        <w:tc>
          <w:tcPr>
            <w:tcW w:w="1950" w:type="dxa"/>
            <w:vAlign w:val="top"/>
          </w:tcPr>
          <w:p w14:paraId="77B77BA1">
            <w:pPr>
              <w:pStyle w:val="22"/>
              <w:keepNext w:val="0"/>
              <w:keepLines w:val="0"/>
              <w:suppressLineNumbers w:val="0"/>
              <w:spacing w:before="222" w:beforeAutospacing="0" w:after="0" w:afterAutospacing="0" w:line="207" w:lineRule="auto"/>
              <w:ind w:left="114" w:right="0"/>
              <w:rPr>
                <w:rFonts w:hint="default"/>
              </w:rPr>
            </w:pPr>
            <w:r>
              <w:rPr>
                <w:rFonts w:hint="default"/>
                <w:spacing w:val="-1"/>
              </w:rPr>
              <w:t>双氧水储罐</w:t>
            </w:r>
          </w:p>
        </w:tc>
        <w:tc>
          <w:tcPr>
            <w:tcW w:w="2683" w:type="dxa"/>
            <w:vAlign w:val="top"/>
          </w:tcPr>
          <w:p w14:paraId="7A78975D">
            <w:pPr>
              <w:pStyle w:val="22"/>
              <w:keepNext w:val="0"/>
              <w:keepLines w:val="0"/>
              <w:suppressLineNumbers w:val="0"/>
              <w:spacing w:before="229" w:beforeAutospacing="0" w:after="0" w:afterAutospacing="0" w:line="222"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2C6C8424">
            <w:pPr>
              <w:pStyle w:val="22"/>
              <w:keepNext w:val="0"/>
              <w:keepLines w:val="0"/>
              <w:suppressLineNumbers w:val="0"/>
              <w:spacing w:before="222" w:beforeAutospacing="0" w:after="0" w:afterAutospacing="0" w:line="207" w:lineRule="auto"/>
              <w:ind w:left="325" w:right="0"/>
              <w:rPr>
                <w:rFonts w:hint="default"/>
              </w:rPr>
            </w:pPr>
            <w:r>
              <w:rPr>
                <w:rFonts w:hint="default"/>
                <w:spacing w:val="-2"/>
              </w:rPr>
              <w:t>常压、100℃</w:t>
            </w:r>
          </w:p>
        </w:tc>
        <w:tc>
          <w:tcPr>
            <w:tcW w:w="1800" w:type="dxa"/>
            <w:vAlign w:val="top"/>
          </w:tcPr>
          <w:p w14:paraId="2835CF39">
            <w:pPr>
              <w:pStyle w:val="22"/>
              <w:keepNext w:val="0"/>
              <w:keepLines w:val="0"/>
              <w:suppressLineNumbers w:val="0"/>
              <w:spacing w:before="222" w:beforeAutospacing="0" w:after="0" w:afterAutospacing="0" w:line="207" w:lineRule="auto"/>
              <w:ind w:left="386" w:right="0"/>
              <w:rPr>
                <w:rFonts w:hint="default"/>
              </w:rPr>
            </w:pPr>
            <w:r>
              <w:rPr>
                <w:rFonts w:hint="default"/>
                <w:spacing w:val="-2"/>
              </w:rPr>
              <w:t>常压、常温</w:t>
            </w:r>
          </w:p>
        </w:tc>
        <w:tc>
          <w:tcPr>
            <w:tcW w:w="1583" w:type="dxa"/>
            <w:vAlign w:val="top"/>
          </w:tcPr>
          <w:p w14:paraId="05A9E5FD">
            <w:pPr>
              <w:pStyle w:val="22"/>
              <w:keepNext w:val="0"/>
              <w:keepLines w:val="0"/>
              <w:suppressLineNumbers w:val="0"/>
              <w:spacing w:before="257" w:beforeAutospacing="0" w:after="0" w:afterAutospacing="0" w:line="176" w:lineRule="auto"/>
              <w:ind w:left="645" w:right="0"/>
              <w:rPr>
                <w:rFonts w:hint="default"/>
              </w:rPr>
            </w:pPr>
            <w:r>
              <w:rPr>
                <w:rFonts w:hint="default"/>
                <w:spacing w:val="-4"/>
              </w:rPr>
              <w:t>304</w:t>
            </w:r>
          </w:p>
        </w:tc>
        <w:tc>
          <w:tcPr>
            <w:tcW w:w="1716" w:type="dxa"/>
            <w:vAlign w:val="top"/>
          </w:tcPr>
          <w:p w14:paraId="3FA51235">
            <w:pPr>
              <w:pStyle w:val="22"/>
              <w:keepNext w:val="0"/>
              <w:keepLines w:val="0"/>
              <w:suppressLineNumbers w:val="0"/>
              <w:spacing w:before="222" w:beforeAutospacing="0" w:after="0" w:afterAutospacing="0" w:line="207" w:lineRule="auto"/>
              <w:ind w:left="550" w:right="0"/>
              <w:rPr>
                <w:rFonts w:hint="default"/>
              </w:rPr>
            </w:pPr>
            <w:r>
              <w:rPr>
                <w:rFonts w:hint="default"/>
                <w:spacing w:val="-2"/>
              </w:rPr>
              <w:t>双氧水</w:t>
            </w:r>
          </w:p>
        </w:tc>
        <w:tc>
          <w:tcPr>
            <w:tcW w:w="1200" w:type="dxa"/>
            <w:vAlign w:val="top"/>
          </w:tcPr>
          <w:p w14:paraId="0F1862AC">
            <w:pPr>
              <w:pStyle w:val="22"/>
              <w:keepNext w:val="0"/>
              <w:keepLines w:val="0"/>
              <w:suppressLineNumbers w:val="0"/>
              <w:spacing w:before="256" w:beforeAutospacing="0" w:after="0" w:afterAutospacing="0" w:line="177" w:lineRule="auto"/>
              <w:ind w:left="569" w:right="0"/>
              <w:rPr>
                <w:rFonts w:hint="default"/>
              </w:rPr>
            </w:pPr>
            <w:r>
              <w:rPr>
                <w:rFonts w:hint="default"/>
              </w:rPr>
              <w:t>1</w:t>
            </w:r>
          </w:p>
        </w:tc>
      </w:tr>
      <w:tr w14:paraId="1A122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0177E05D">
            <w:pPr>
              <w:pStyle w:val="22"/>
              <w:keepNext w:val="0"/>
              <w:keepLines w:val="0"/>
              <w:suppressLineNumbers w:val="0"/>
              <w:spacing w:before="257" w:beforeAutospacing="0" w:after="0" w:afterAutospacing="0" w:line="176" w:lineRule="auto"/>
              <w:ind w:left="120" w:right="0"/>
              <w:rPr>
                <w:rFonts w:hint="default"/>
              </w:rPr>
            </w:pPr>
            <w:r>
              <w:rPr>
                <w:rFonts w:hint="default"/>
                <w:spacing w:val="-3"/>
              </w:rPr>
              <w:t>32.</w:t>
            </w:r>
          </w:p>
        </w:tc>
        <w:tc>
          <w:tcPr>
            <w:tcW w:w="1334" w:type="dxa"/>
            <w:vAlign w:val="top"/>
          </w:tcPr>
          <w:p w14:paraId="7B5500D1">
            <w:pPr>
              <w:pStyle w:val="22"/>
              <w:keepNext w:val="0"/>
              <w:keepLines w:val="0"/>
              <w:suppressLineNumbers w:val="0"/>
              <w:spacing w:before="255" w:beforeAutospacing="0" w:after="0" w:afterAutospacing="0" w:line="178" w:lineRule="auto"/>
              <w:ind w:left="247" w:right="0"/>
              <w:rPr>
                <w:rFonts w:hint="default"/>
              </w:rPr>
            </w:pPr>
            <w:r>
              <w:rPr>
                <w:rFonts w:hint="default"/>
                <w:spacing w:val="-1"/>
              </w:rPr>
              <w:t>V270102A</w:t>
            </w:r>
          </w:p>
        </w:tc>
        <w:tc>
          <w:tcPr>
            <w:tcW w:w="1950" w:type="dxa"/>
            <w:vAlign w:val="top"/>
          </w:tcPr>
          <w:p w14:paraId="13338502">
            <w:pPr>
              <w:pStyle w:val="22"/>
              <w:keepNext w:val="0"/>
              <w:keepLines w:val="0"/>
              <w:suppressLineNumbers w:val="0"/>
              <w:spacing w:before="222" w:beforeAutospacing="0" w:after="0" w:afterAutospacing="0" w:line="207" w:lineRule="auto"/>
              <w:ind w:left="114" w:right="0"/>
              <w:rPr>
                <w:rFonts w:hint="default"/>
              </w:rPr>
            </w:pPr>
            <w:r>
              <w:rPr>
                <w:rFonts w:hint="default"/>
                <w:spacing w:val="-2"/>
              </w:rPr>
              <w:t>氨水储罐</w:t>
            </w:r>
          </w:p>
        </w:tc>
        <w:tc>
          <w:tcPr>
            <w:tcW w:w="2683" w:type="dxa"/>
            <w:vAlign w:val="top"/>
          </w:tcPr>
          <w:p w14:paraId="1C2188B6">
            <w:pPr>
              <w:pStyle w:val="22"/>
              <w:keepNext w:val="0"/>
              <w:keepLines w:val="0"/>
              <w:suppressLineNumbers w:val="0"/>
              <w:spacing w:before="230" w:beforeAutospacing="0" w:after="0" w:afterAutospacing="0" w:line="221"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3CDE60F1">
            <w:pPr>
              <w:pStyle w:val="22"/>
              <w:keepNext w:val="0"/>
              <w:keepLines w:val="0"/>
              <w:suppressLineNumbers w:val="0"/>
              <w:spacing w:before="222" w:beforeAutospacing="0" w:after="0" w:afterAutospacing="0" w:line="207" w:lineRule="auto"/>
              <w:ind w:left="325" w:right="0"/>
              <w:rPr>
                <w:rFonts w:hint="default"/>
              </w:rPr>
            </w:pPr>
            <w:r>
              <w:rPr>
                <w:rFonts w:hint="default"/>
                <w:spacing w:val="-2"/>
              </w:rPr>
              <w:t>常压、100℃</w:t>
            </w:r>
          </w:p>
        </w:tc>
        <w:tc>
          <w:tcPr>
            <w:tcW w:w="1800" w:type="dxa"/>
            <w:vAlign w:val="top"/>
          </w:tcPr>
          <w:p w14:paraId="2B3292DB">
            <w:pPr>
              <w:pStyle w:val="22"/>
              <w:keepNext w:val="0"/>
              <w:keepLines w:val="0"/>
              <w:suppressLineNumbers w:val="0"/>
              <w:spacing w:before="222" w:beforeAutospacing="0" w:after="0" w:afterAutospacing="0" w:line="207" w:lineRule="auto"/>
              <w:ind w:left="386" w:right="0"/>
              <w:rPr>
                <w:rFonts w:hint="default"/>
              </w:rPr>
            </w:pPr>
            <w:r>
              <w:rPr>
                <w:rFonts w:hint="default"/>
                <w:spacing w:val="-2"/>
              </w:rPr>
              <w:t>常压、常温</w:t>
            </w:r>
          </w:p>
        </w:tc>
        <w:tc>
          <w:tcPr>
            <w:tcW w:w="1583" w:type="dxa"/>
            <w:vAlign w:val="top"/>
          </w:tcPr>
          <w:p w14:paraId="7CF9B2D1">
            <w:pPr>
              <w:pStyle w:val="22"/>
              <w:keepNext w:val="0"/>
              <w:keepLines w:val="0"/>
              <w:suppressLineNumbers w:val="0"/>
              <w:spacing w:before="257" w:beforeAutospacing="0" w:after="0" w:afterAutospacing="0" w:line="176" w:lineRule="auto"/>
              <w:ind w:left="645" w:right="0"/>
              <w:rPr>
                <w:rFonts w:hint="default"/>
              </w:rPr>
            </w:pPr>
            <w:r>
              <w:rPr>
                <w:rFonts w:hint="default"/>
                <w:spacing w:val="-4"/>
              </w:rPr>
              <w:t>304</w:t>
            </w:r>
          </w:p>
        </w:tc>
        <w:tc>
          <w:tcPr>
            <w:tcW w:w="1716" w:type="dxa"/>
            <w:vAlign w:val="top"/>
          </w:tcPr>
          <w:p w14:paraId="70CE8003">
            <w:pPr>
              <w:pStyle w:val="22"/>
              <w:keepNext w:val="0"/>
              <w:keepLines w:val="0"/>
              <w:suppressLineNumbers w:val="0"/>
              <w:spacing w:before="222" w:beforeAutospacing="0" w:after="0" w:afterAutospacing="0" w:line="207" w:lineRule="auto"/>
              <w:ind w:left="657" w:right="0"/>
              <w:rPr>
                <w:rFonts w:hint="default"/>
              </w:rPr>
            </w:pPr>
            <w:r>
              <w:rPr>
                <w:rFonts w:hint="default"/>
                <w:spacing w:val="-2"/>
              </w:rPr>
              <w:t>氨水</w:t>
            </w:r>
          </w:p>
        </w:tc>
        <w:tc>
          <w:tcPr>
            <w:tcW w:w="1200" w:type="dxa"/>
            <w:vAlign w:val="top"/>
          </w:tcPr>
          <w:p w14:paraId="148D1676">
            <w:pPr>
              <w:pStyle w:val="22"/>
              <w:keepNext w:val="0"/>
              <w:keepLines w:val="0"/>
              <w:suppressLineNumbers w:val="0"/>
              <w:spacing w:before="256" w:beforeAutospacing="0" w:after="0" w:afterAutospacing="0" w:line="177" w:lineRule="auto"/>
              <w:ind w:left="569" w:right="0"/>
              <w:rPr>
                <w:rFonts w:hint="default"/>
              </w:rPr>
            </w:pPr>
            <w:r>
              <w:rPr>
                <w:rFonts w:hint="default"/>
              </w:rPr>
              <w:t>1</w:t>
            </w:r>
          </w:p>
        </w:tc>
      </w:tr>
      <w:tr w14:paraId="0328D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6D46AE84">
            <w:pPr>
              <w:pStyle w:val="22"/>
              <w:keepNext w:val="0"/>
              <w:keepLines w:val="0"/>
              <w:suppressLineNumbers w:val="0"/>
              <w:spacing w:before="257" w:beforeAutospacing="0" w:after="0" w:afterAutospacing="0" w:line="175" w:lineRule="auto"/>
              <w:ind w:left="120" w:right="0"/>
              <w:rPr>
                <w:rFonts w:hint="default"/>
              </w:rPr>
            </w:pPr>
            <w:r>
              <w:rPr>
                <w:rFonts w:hint="default"/>
                <w:spacing w:val="-3"/>
              </w:rPr>
              <w:t>33.</w:t>
            </w:r>
          </w:p>
        </w:tc>
        <w:tc>
          <w:tcPr>
            <w:tcW w:w="1334" w:type="dxa"/>
            <w:vAlign w:val="top"/>
          </w:tcPr>
          <w:p w14:paraId="31264128">
            <w:pPr>
              <w:pStyle w:val="22"/>
              <w:keepNext w:val="0"/>
              <w:keepLines w:val="0"/>
              <w:suppressLineNumbers w:val="0"/>
              <w:spacing w:before="255" w:beforeAutospacing="0" w:after="0" w:afterAutospacing="0" w:line="177" w:lineRule="auto"/>
              <w:ind w:left="247" w:right="0"/>
              <w:rPr>
                <w:rFonts w:hint="default"/>
              </w:rPr>
            </w:pPr>
            <w:r>
              <w:rPr>
                <w:rFonts w:hint="default"/>
                <w:spacing w:val="-1"/>
              </w:rPr>
              <w:t>V270103A</w:t>
            </w:r>
          </w:p>
        </w:tc>
        <w:tc>
          <w:tcPr>
            <w:tcW w:w="1950" w:type="dxa"/>
            <w:vAlign w:val="top"/>
          </w:tcPr>
          <w:p w14:paraId="77C80C30">
            <w:pPr>
              <w:pStyle w:val="22"/>
              <w:keepNext w:val="0"/>
              <w:keepLines w:val="0"/>
              <w:suppressLineNumbers w:val="0"/>
              <w:spacing w:before="221" w:beforeAutospacing="0" w:after="0" w:afterAutospacing="0" w:line="207" w:lineRule="auto"/>
              <w:ind w:left="116" w:right="0"/>
              <w:rPr>
                <w:rFonts w:hint="default"/>
              </w:rPr>
            </w:pPr>
            <w:r>
              <w:rPr>
                <w:rFonts w:hint="default"/>
                <w:spacing w:val="-2"/>
              </w:rPr>
              <w:t>异丙醇储罐</w:t>
            </w:r>
          </w:p>
        </w:tc>
        <w:tc>
          <w:tcPr>
            <w:tcW w:w="2683" w:type="dxa"/>
            <w:vAlign w:val="top"/>
          </w:tcPr>
          <w:p w14:paraId="06D35079">
            <w:pPr>
              <w:pStyle w:val="22"/>
              <w:keepNext w:val="0"/>
              <w:keepLines w:val="0"/>
              <w:suppressLineNumbers w:val="0"/>
              <w:spacing w:before="229" w:beforeAutospacing="0" w:after="0" w:afterAutospacing="0" w:line="221"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211F7CD3">
            <w:pPr>
              <w:pStyle w:val="22"/>
              <w:keepNext w:val="0"/>
              <w:keepLines w:val="0"/>
              <w:suppressLineNumbers w:val="0"/>
              <w:spacing w:before="221" w:beforeAutospacing="0" w:after="0" w:afterAutospacing="0" w:line="207" w:lineRule="auto"/>
              <w:ind w:left="325" w:right="0"/>
              <w:rPr>
                <w:rFonts w:hint="default"/>
              </w:rPr>
            </w:pPr>
            <w:r>
              <w:rPr>
                <w:rFonts w:hint="default"/>
                <w:spacing w:val="-2"/>
              </w:rPr>
              <w:t>常压、100℃</w:t>
            </w:r>
          </w:p>
        </w:tc>
        <w:tc>
          <w:tcPr>
            <w:tcW w:w="1800" w:type="dxa"/>
            <w:vAlign w:val="top"/>
          </w:tcPr>
          <w:p w14:paraId="1D12D990">
            <w:pPr>
              <w:pStyle w:val="22"/>
              <w:keepNext w:val="0"/>
              <w:keepLines w:val="0"/>
              <w:suppressLineNumbers w:val="0"/>
              <w:spacing w:before="221" w:beforeAutospacing="0" w:after="0" w:afterAutospacing="0" w:line="207" w:lineRule="auto"/>
              <w:ind w:left="386" w:right="0"/>
              <w:rPr>
                <w:rFonts w:hint="default"/>
              </w:rPr>
            </w:pPr>
            <w:r>
              <w:rPr>
                <w:rFonts w:hint="default"/>
                <w:spacing w:val="-2"/>
              </w:rPr>
              <w:t>常压、常温</w:t>
            </w:r>
          </w:p>
        </w:tc>
        <w:tc>
          <w:tcPr>
            <w:tcW w:w="1583" w:type="dxa"/>
            <w:vAlign w:val="top"/>
          </w:tcPr>
          <w:p w14:paraId="0B76A9E5">
            <w:pPr>
              <w:pStyle w:val="22"/>
              <w:keepNext w:val="0"/>
              <w:keepLines w:val="0"/>
              <w:suppressLineNumbers w:val="0"/>
              <w:spacing w:before="257" w:beforeAutospacing="0" w:after="0" w:afterAutospacing="0" w:line="175" w:lineRule="auto"/>
              <w:ind w:left="645" w:right="0"/>
              <w:rPr>
                <w:rFonts w:hint="default"/>
              </w:rPr>
            </w:pPr>
            <w:r>
              <w:rPr>
                <w:rFonts w:hint="default"/>
                <w:spacing w:val="-4"/>
              </w:rPr>
              <w:t>304</w:t>
            </w:r>
          </w:p>
        </w:tc>
        <w:tc>
          <w:tcPr>
            <w:tcW w:w="1716" w:type="dxa"/>
            <w:vAlign w:val="top"/>
          </w:tcPr>
          <w:p w14:paraId="253F2DF8">
            <w:pPr>
              <w:pStyle w:val="22"/>
              <w:keepNext w:val="0"/>
              <w:keepLines w:val="0"/>
              <w:suppressLineNumbers w:val="0"/>
              <w:spacing w:before="221" w:beforeAutospacing="0" w:after="0" w:afterAutospacing="0" w:line="207" w:lineRule="auto"/>
              <w:ind w:left="553" w:right="0"/>
              <w:rPr>
                <w:rFonts w:hint="default"/>
              </w:rPr>
            </w:pPr>
            <w:r>
              <w:rPr>
                <w:rFonts w:hint="default"/>
                <w:spacing w:val="-3"/>
              </w:rPr>
              <w:t>异丙醇</w:t>
            </w:r>
          </w:p>
        </w:tc>
        <w:tc>
          <w:tcPr>
            <w:tcW w:w="1200" w:type="dxa"/>
            <w:vAlign w:val="top"/>
          </w:tcPr>
          <w:p w14:paraId="34022F2B">
            <w:pPr>
              <w:pStyle w:val="22"/>
              <w:keepNext w:val="0"/>
              <w:keepLines w:val="0"/>
              <w:suppressLineNumbers w:val="0"/>
              <w:spacing w:before="256" w:beforeAutospacing="0" w:after="0" w:afterAutospacing="0" w:line="176" w:lineRule="auto"/>
              <w:ind w:left="569" w:right="0"/>
              <w:rPr>
                <w:rFonts w:hint="default"/>
              </w:rPr>
            </w:pPr>
            <w:r>
              <w:rPr>
                <w:rFonts w:hint="default"/>
              </w:rPr>
              <w:t>1</w:t>
            </w:r>
          </w:p>
        </w:tc>
      </w:tr>
      <w:tr w14:paraId="3ABF6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61" w:type="dxa"/>
            <w:vAlign w:val="top"/>
          </w:tcPr>
          <w:p w14:paraId="25C7B7D4">
            <w:pPr>
              <w:pStyle w:val="22"/>
              <w:keepNext w:val="0"/>
              <w:keepLines w:val="0"/>
              <w:suppressLineNumbers w:val="0"/>
              <w:spacing w:before="258" w:beforeAutospacing="0" w:after="0" w:afterAutospacing="0" w:line="173" w:lineRule="auto"/>
              <w:ind w:left="120" w:right="0"/>
              <w:rPr>
                <w:rFonts w:hint="default"/>
              </w:rPr>
            </w:pPr>
            <w:r>
              <w:rPr>
                <w:rFonts w:hint="default"/>
                <w:spacing w:val="-3"/>
              </w:rPr>
              <w:t>34.</w:t>
            </w:r>
          </w:p>
        </w:tc>
        <w:tc>
          <w:tcPr>
            <w:tcW w:w="1334" w:type="dxa"/>
            <w:vAlign w:val="top"/>
          </w:tcPr>
          <w:p w14:paraId="0693D51A">
            <w:pPr>
              <w:pStyle w:val="22"/>
              <w:keepNext w:val="0"/>
              <w:keepLines w:val="0"/>
              <w:suppressLineNumbers w:val="0"/>
              <w:spacing w:before="257" w:beforeAutospacing="0" w:after="0" w:afterAutospacing="0" w:line="174" w:lineRule="auto"/>
              <w:ind w:left="247" w:right="0"/>
              <w:rPr>
                <w:rFonts w:hint="default"/>
              </w:rPr>
            </w:pPr>
            <w:r>
              <w:rPr>
                <w:rFonts w:hint="default"/>
                <w:spacing w:val="-1"/>
              </w:rPr>
              <w:t>V270104A</w:t>
            </w:r>
          </w:p>
        </w:tc>
        <w:tc>
          <w:tcPr>
            <w:tcW w:w="1950" w:type="dxa"/>
            <w:vAlign w:val="top"/>
          </w:tcPr>
          <w:p w14:paraId="39B99AA3">
            <w:pPr>
              <w:pStyle w:val="22"/>
              <w:keepNext w:val="0"/>
              <w:keepLines w:val="0"/>
              <w:suppressLineNumbers w:val="0"/>
              <w:spacing w:before="222" w:beforeAutospacing="0" w:after="0" w:afterAutospacing="0" w:line="204" w:lineRule="auto"/>
              <w:ind w:left="113" w:right="0"/>
              <w:rPr>
                <w:rFonts w:hint="default"/>
              </w:rPr>
            </w:pPr>
            <w:r>
              <w:rPr>
                <w:rFonts w:hint="default"/>
                <w:spacing w:val="-1"/>
              </w:rPr>
              <w:t>蚀刻液储罐</w:t>
            </w:r>
          </w:p>
        </w:tc>
        <w:tc>
          <w:tcPr>
            <w:tcW w:w="2683" w:type="dxa"/>
            <w:vAlign w:val="top"/>
          </w:tcPr>
          <w:p w14:paraId="35E1BD1D">
            <w:pPr>
              <w:pStyle w:val="22"/>
              <w:keepNext w:val="0"/>
              <w:keepLines w:val="0"/>
              <w:suppressLineNumbers w:val="0"/>
              <w:spacing w:before="228" w:beforeAutospacing="0" w:after="0" w:afterAutospacing="0" w:line="220" w:lineRule="auto"/>
              <w:ind w:left="365" w:right="0"/>
              <w:rPr>
                <w:rFonts w:hint="default"/>
                <w:sz w:val="19"/>
                <w:szCs w:val="19"/>
              </w:rPr>
            </w:pPr>
            <w:r>
              <w:rPr>
                <w:rFonts w:hint="default"/>
                <w:sz w:val="19"/>
                <w:szCs w:val="19"/>
              </w:rPr>
              <w:t>DN</w:t>
            </w:r>
            <w:r>
              <w:rPr>
                <w:rFonts w:hint="default"/>
                <w:spacing w:val="5"/>
                <w:sz w:val="19"/>
                <w:szCs w:val="19"/>
              </w:rPr>
              <w:t>3800×4500（50m</w:t>
            </w:r>
            <w:r>
              <w:rPr>
                <w:rFonts w:hint="default"/>
                <w:spacing w:val="5"/>
                <w:position w:val="9"/>
                <w:sz w:val="10"/>
                <w:szCs w:val="10"/>
              </w:rPr>
              <w:t>3</w:t>
            </w:r>
            <w:r>
              <w:rPr>
                <w:rFonts w:hint="default"/>
                <w:spacing w:val="5"/>
                <w:sz w:val="19"/>
                <w:szCs w:val="19"/>
              </w:rPr>
              <w:t>）</w:t>
            </w:r>
          </w:p>
        </w:tc>
        <w:tc>
          <w:tcPr>
            <w:tcW w:w="1782" w:type="dxa"/>
            <w:vAlign w:val="top"/>
          </w:tcPr>
          <w:p w14:paraId="0A4DCA96">
            <w:pPr>
              <w:pStyle w:val="22"/>
              <w:keepNext w:val="0"/>
              <w:keepLines w:val="0"/>
              <w:suppressLineNumbers w:val="0"/>
              <w:spacing w:before="222" w:beforeAutospacing="0" w:after="0" w:afterAutospacing="0" w:line="204" w:lineRule="auto"/>
              <w:ind w:left="325" w:right="0"/>
              <w:rPr>
                <w:rFonts w:hint="default"/>
              </w:rPr>
            </w:pPr>
            <w:r>
              <w:rPr>
                <w:rFonts w:hint="default"/>
                <w:spacing w:val="-2"/>
              </w:rPr>
              <w:t>常压、100℃</w:t>
            </w:r>
          </w:p>
        </w:tc>
        <w:tc>
          <w:tcPr>
            <w:tcW w:w="1800" w:type="dxa"/>
            <w:vAlign w:val="top"/>
          </w:tcPr>
          <w:p w14:paraId="2C296CFA">
            <w:pPr>
              <w:pStyle w:val="22"/>
              <w:keepNext w:val="0"/>
              <w:keepLines w:val="0"/>
              <w:suppressLineNumbers w:val="0"/>
              <w:spacing w:before="222" w:beforeAutospacing="0" w:after="0" w:afterAutospacing="0" w:line="204" w:lineRule="auto"/>
              <w:ind w:left="386" w:right="0"/>
              <w:rPr>
                <w:rFonts w:hint="default"/>
              </w:rPr>
            </w:pPr>
            <w:r>
              <w:rPr>
                <w:rFonts w:hint="default"/>
                <w:spacing w:val="-2"/>
              </w:rPr>
              <w:t>常压、常温</w:t>
            </w:r>
          </w:p>
        </w:tc>
        <w:tc>
          <w:tcPr>
            <w:tcW w:w="1583" w:type="dxa"/>
            <w:vAlign w:val="top"/>
          </w:tcPr>
          <w:p w14:paraId="6D7EEA68">
            <w:pPr>
              <w:pStyle w:val="22"/>
              <w:keepNext w:val="0"/>
              <w:keepLines w:val="0"/>
              <w:suppressLineNumbers w:val="0"/>
              <w:spacing w:before="258" w:beforeAutospacing="0" w:after="0" w:afterAutospacing="0" w:line="173" w:lineRule="auto"/>
              <w:ind w:left="645" w:right="0"/>
              <w:rPr>
                <w:rFonts w:hint="default"/>
              </w:rPr>
            </w:pPr>
            <w:r>
              <w:rPr>
                <w:rFonts w:hint="default"/>
                <w:spacing w:val="-4"/>
              </w:rPr>
              <w:t>304</w:t>
            </w:r>
          </w:p>
        </w:tc>
        <w:tc>
          <w:tcPr>
            <w:tcW w:w="1716" w:type="dxa"/>
            <w:vAlign w:val="top"/>
          </w:tcPr>
          <w:p w14:paraId="1A440014">
            <w:pPr>
              <w:pStyle w:val="22"/>
              <w:keepNext w:val="0"/>
              <w:keepLines w:val="0"/>
              <w:suppressLineNumbers w:val="0"/>
              <w:spacing w:before="222" w:beforeAutospacing="0" w:after="0" w:afterAutospacing="0" w:line="204" w:lineRule="auto"/>
              <w:ind w:left="549" w:right="0"/>
              <w:rPr>
                <w:rFonts w:hint="default"/>
              </w:rPr>
            </w:pPr>
            <w:r>
              <w:rPr>
                <w:rFonts w:hint="default"/>
                <w:spacing w:val="-1"/>
              </w:rPr>
              <w:t>蚀刻液</w:t>
            </w:r>
          </w:p>
        </w:tc>
        <w:tc>
          <w:tcPr>
            <w:tcW w:w="1200" w:type="dxa"/>
            <w:vAlign w:val="top"/>
          </w:tcPr>
          <w:p w14:paraId="38CD348E">
            <w:pPr>
              <w:pStyle w:val="22"/>
              <w:keepNext w:val="0"/>
              <w:keepLines w:val="0"/>
              <w:suppressLineNumbers w:val="0"/>
              <w:spacing w:before="257" w:beforeAutospacing="0" w:after="0" w:afterAutospacing="0" w:line="174" w:lineRule="auto"/>
              <w:ind w:left="569" w:right="0"/>
              <w:rPr>
                <w:rFonts w:hint="default"/>
              </w:rPr>
            </w:pPr>
            <w:r>
              <w:rPr>
                <w:rFonts w:hint="default"/>
              </w:rPr>
              <w:t>1</w:t>
            </w:r>
          </w:p>
        </w:tc>
      </w:tr>
      <w:tr w14:paraId="2CB6A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461" w:type="dxa"/>
            <w:vAlign w:val="top"/>
          </w:tcPr>
          <w:p w14:paraId="69B3B3B9">
            <w:pPr>
              <w:pStyle w:val="22"/>
              <w:keepNext w:val="0"/>
              <w:keepLines w:val="0"/>
              <w:suppressLineNumbers w:val="0"/>
              <w:spacing w:before="261" w:beforeAutospacing="0" w:after="0" w:afterAutospacing="0" w:line="172" w:lineRule="auto"/>
              <w:ind w:left="120" w:right="0"/>
              <w:rPr>
                <w:rFonts w:hint="default"/>
              </w:rPr>
            </w:pPr>
            <w:r>
              <w:rPr>
                <w:rFonts w:hint="default"/>
                <w:spacing w:val="-3"/>
              </w:rPr>
              <w:t>35.</w:t>
            </w:r>
          </w:p>
        </w:tc>
        <w:tc>
          <w:tcPr>
            <w:tcW w:w="1334" w:type="dxa"/>
            <w:vAlign w:val="top"/>
          </w:tcPr>
          <w:p w14:paraId="0CAE4323">
            <w:pPr>
              <w:pStyle w:val="22"/>
              <w:keepNext w:val="0"/>
              <w:keepLines w:val="0"/>
              <w:suppressLineNumbers w:val="0"/>
              <w:spacing w:before="226" w:beforeAutospacing="0" w:after="0" w:afterAutospacing="0" w:line="203" w:lineRule="auto"/>
              <w:ind w:left="142" w:right="0"/>
              <w:rPr>
                <w:rFonts w:hint="default"/>
              </w:rPr>
            </w:pPr>
            <w:r>
              <w:rPr>
                <w:rFonts w:hint="default"/>
              </w:rPr>
              <w:t>V280101A/B</w:t>
            </w:r>
          </w:p>
        </w:tc>
        <w:tc>
          <w:tcPr>
            <w:tcW w:w="1950" w:type="dxa"/>
            <w:vAlign w:val="top"/>
          </w:tcPr>
          <w:p w14:paraId="458D592C">
            <w:pPr>
              <w:pStyle w:val="22"/>
              <w:keepNext w:val="0"/>
              <w:keepLines w:val="0"/>
              <w:suppressLineNumbers w:val="0"/>
              <w:spacing w:before="226" w:beforeAutospacing="0" w:after="0" w:afterAutospacing="0" w:line="203" w:lineRule="auto"/>
              <w:ind w:left="114" w:right="0"/>
              <w:rPr>
                <w:rFonts w:hint="default"/>
              </w:rPr>
            </w:pPr>
            <w:r>
              <w:rPr>
                <w:rFonts w:hint="default"/>
                <w:spacing w:val="-1"/>
              </w:rPr>
              <w:t>双氧水储罐</w:t>
            </w:r>
          </w:p>
        </w:tc>
        <w:tc>
          <w:tcPr>
            <w:tcW w:w="2683" w:type="dxa"/>
            <w:vAlign w:val="top"/>
          </w:tcPr>
          <w:p w14:paraId="56873962">
            <w:pPr>
              <w:pStyle w:val="22"/>
              <w:keepNext w:val="0"/>
              <w:keepLines w:val="0"/>
              <w:suppressLineNumbers w:val="0"/>
              <w:spacing w:before="230" w:beforeAutospacing="0" w:after="0" w:afterAutospacing="0" w:line="220" w:lineRule="auto"/>
              <w:ind w:left="317" w:right="0"/>
              <w:rPr>
                <w:rFonts w:hint="default"/>
                <w:sz w:val="19"/>
                <w:szCs w:val="19"/>
              </w:rPr>
            </w:pPr>
            <w:r>
              <w:rPr>
                <w:rFonts w:hint="default"/>
                <w:sz w:val="19"/>
                <w:szCs w:val="19"/>
              </w:rPr>
              <w:t>DN</w:t>
            </w:r>
            <w:r>
              <w:rPr>
                <w:rFonts w:hint="default"/>
                <w:spacing w:val="5"/>
                <w:sz w:val="19"/>
                <w:szCs w:val="19"/>
              </w:rPr>
              <w:t>4000×8000（100m</w:t>
            </w:r>
            <w:r>
              <w:rPr>
                <w:rFonts w:hint="default"/>
                <w:spacing w:val="5"/>
                <w:position w:val="9"/>
                <w:sz w:val="10"/>
                <w:szCs w:val="10"/>
              </w:rPr>
              <w:t>3</w:t>
            </w:r>
            <w:r>
              <w:rPr>
                <w:rFonts w:hint="default"/>
                <w:spacing w:val="5"/>
                <w:sz w:val="19"/>
                <w:szCs w:val="19"/>
              </w:rPr>
              <w:t>）</w:t>
            </w:r>
          </w:p>
        </w:tc>
        <w:tc>
          <w:tcPr>
            <w:tcW w:w="1782" w:type="dxa"/>
            <w:vAlign w:val="top"/>
          </w:tcPr>
          <w:p w14:paraId="0CEBF505">
            <w:pPr>
              <w:pStyle w:val="22"/>
              <w:keepNext w:val="0"/>
              <w:keepLines w:val="0"/>
              <w:suppressLineNumbers w:val="0"/>
              <w:spacing w:before="226" w:beforeAutospacing="0" w:after="0" w:afterAutospacing="0" w:line="203" w:lineRule="auto"/>
              <w:ind w:left="325" w:right="0"/>
              <w:rPr>
                <w:rFonts w:hint="default"/>
              </w:rPr>
            </w:pPr>
            <w:r>
              <w:rPr>
                <w:rFonts w:hint="default"/>
                <w:spacing w:val="-2"/>
              </w:rPr>
              <w:t>常压、100℃</w:t>
            </w:r>
          </w:p>
        </w:tc>
        <w:tc>
          <w:tcPr>
            <w:tcW w:w="1800" w:type="dxa"/>
            <w:vAlign w:val="top"/>
          </w:tcPr>
          <w:p w14:paraId="28F5215A">
            <w:pPr>
              <w:pStyle w:val="22"/>
              <w:keepNext w:val="0"/>
              <w:keepLines w:val="0"/>
              <w:suppressLineNumbers w:val="0"/>
              <w:spacing w:before="226" w:beforeAutospacing="0" w:after="0" w:afterAutospacing="0" w:line="203" w:lineRule="auto"/>
              <w:ind w:left="386" w:right="0"/>
              <w:rPr>
                <w:rFonts w:hint="default"/>
              </w:rPr>
            </w:pPr>
            <w:r>
              <w:rPr>
                <w:rFonts w:hint="default"/>
                <w:spacing w:val="-2"/>
              </w:rPr>
              <w:t>常压、常温</w:t>
            </w:r>
          </w:p>
        </w:tc>
        <w:tc>
          <w:tcPr>
            <w:tcW w:w="1583" w:type="dxa"/>
            <w:vAlign w:val="top"/>
          </w:tcPr>
          <w:p w14:paraId="10D13855">
            <w:pPr>
              <w:pStyle w:val="22"/>
              <w:keepNext w:val="0"/>
              <w:keepLines w:val="0"/>
              <w:suppressLineNumbers w:val="0"/>
              <w:spacing w:before="261" w:beforeAutospacing="0" w:after="0" w:afterAutospacing="0" w:line="172" w:lineRule="auto"/>
              <w:ind w:left="645" w:right="0"/>
              <w:rPr>
                <w:rFonts w:hint="default"/>
              </w:rPr>
            </w:pPr>
            <w:r>
              <w:rPr>
                <w:rFonts w:hint="default"/>
                <w:spacing w:val="-4"/>
              </w:rPr>
              <w:t>304</w:t>
            </w:r>
          </w:p>
        </w:tc>
        <w:tc>
          <w:tcPr>
            <w:tcW w:w="1716" w:type="dxa"/>
            <w:vAlign w:val="top"/>
          </w:tcPr>
          <w:p w14:paraId="2E90F024">
            <w:pPr>
              <w:pStyle w:val="22"/>
              <w:keepNext w:val="0"/>
              <w:keepLines w:val="0"/>
              <w:suppressLineNumbers w:val="0"/>
              <w:spacing w:before="226" w:beforeAutospacing="0" w:after="0" w:afterAutospacing="0" w:line="203" w:lineRule="auto"/>
              <w:ind w:left="550" w:right="0"/>
              <w:rPr>
                <w:rFonts w:hint="default"/>
              </w:rPr>
            </w:pPr>
            <w:r>
              <w:rPr>
                <w:rFonts w:hint="default"/>
                <w:spacing w:val="-2"/>
              </w:rPr>
              <w:t>双氧水</w:t>
            </w:r>
          </w:p>
        </w:tc>
        <w:tc>
          <w:tcPr>
            <w:tcW w:w="1200" w:type="dxa"/>
            <w:vAlign w:val="top"/>
          </w:tcPr>
          <w:p w14:paraId="3DF1DEA7">
            <w:pPr>
              <w:pStyle w:val="22"/>
              <w:keepNext w:val="0"/>
              <w:keepLines w:val="0"/>
              <w:suppressLineNumbers w:val="0"/>
              <w:spacing w:before="261" w:beforeAutospacing="0" w:after="0" w:afterAutospacing="0" w:line="172" w:lineRule="auto"/>
              <w:ind w:left="556" w:right="0"/>
              <w:rPr>
                <w:rFonts w:hint="default"/>
              </w:rPr>
            </w:pPr>
            <w:r>
              <w:rPr>
                <w:rFonts w:hint="default"/>
              </w:rPr>
              <w:t>2</w:t>
            </w:r>
          </w:p>
        </w:tc>
      </w:tr>
      <w:tr w14:paraId="658BB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40196823">
            <w:pPr>
              <w:pStyle w:val="22"/>
              <w:keepNext w:val="0"/>
              <w:keepLines w:val="0"/>
              <w:suppressLineNumbers w:val="0"/>
              <w:spacing w:before="258" w:beforeAutospacing="0" w:after="0" w:afterAutospacing="0" w:line="175" w:lineRule="auto"/>
              <w:ind w:left="120" w:right="0"/>
              <w:rPr>
                <w:rFonts w:hint="default"/>
              </w:rPr>
            </w:pPr>
            <w:r>
              <w:rPr>
                <w:rFonts w:hint="default"/>
                <w:spacing w:val="-3"/>
              </w:rPr>
              <w:t>36.</w:t>
            </w:r>
          </w:p>
        </w:tc>
        <w:tc>
          <w:tcPr>
            <w:tcW w:w="1334" w:type="dxa"/>
            <w:vAlign w:val="top"/>
          </w:tcPr>
          <w:p w14:paraId="7C6DB06B">
            <w:pPr>
              <w:pStyle w:val="22"/>
              <w:keepNext w:val="0"/>
              <w:keepLines w:val="0"/>
              <w:suppressLineNumbers w:val="0"/>
              <w:spacing w:before="258" w:beforeAutospacing="0" w:after="0" w:afterAutospacing="0" w:line="175" w:lineRule="auto"/>
              <w:ind w:left="300" w:right="0"/>
              <w:rPr>
                <w:rFonts w:hint="default"/>
              </w:rPr>
            </w:pPr>
            <w:r>
              <w:rPr>
                <w:rFonts w:hint="default"/>
              </w:rPr>
              <w:t>V280102</w:t>
            </w:r>
          </w:p>
        </w:tc>
        <w:tc>
          <w:tcPr>
            <w:tcW w:w="1950" w:type="dxa"/>
            <w:vAlign w:val="top"/>
          </w:tcPr>
          <w:p w14:paraId="1D79BD14">
            <w:pPr>
              <w:pStyle w:val="22"/>
              <w:keepNext w:val="0"/>
              <w:keepLines w:val="0"/>
              <w:suppressLineNumbers w:val="0"/>
              <w:spacing w:before="223" w:beforeAutospacing="0" w:after="0" w:afterAutospacing="0" w:line="206" w:lineRule="auto"/>
              <w:ind w:left="113" w:right="0"/>
              <w:rPr>
                <w:rFonts w:hint="default"/>
              </w:rPr>
            </w:pPr>
            <w:r>
              <w:rPr>
                <w:rFonts w:hint="default"/>
                <w:spacing w:val="-1"/>
              </w:rPr>
              <w:t>低品双氧水储罐</w:t>
            </w:r>
          </w:p>
        </w:tc>
        <w:tc>
          <w:tcPr>
            <w:tcW w:w="2683" w:type="dxa"/>
            <w:vAlign w:val="top"/>
          </w:tcPr>
          <w:p w14:paraId="0A3250A5">
            <w:pPr>
              <w:pStyle w:val="22"/>
              <w:keepNext w:val="0"/>
              <w:keepLines w:val="0"/>
              <w:suppressLineNumbers w:val="0"/>
              <w:spacing w:before="231" w:beforeAutospacing="0" w:after="0" w:afterAutospacing="0" w:line="220" w:lineRule="auto"/>
              <w:ind w:left="317" w:right="0"/>
              <w:rPr>
                <w:rFonts w:hint="default"/>
                <w:sz w:val="19"/>
                <w:szCs w:val="19"/>
              </w:rPr>
            </w:pPr>
            <w:r>
              <w:rPr>
                <w:rFonts w:hint="default"/>
                <w:sz w:val="19"/>
                <w:szCs w:val="19"/>
              </w:rPr>
              <w:t>DN</w:t>
            </w:r>
            <w:r>
              <w:rPr>
                <w:rFonts w:hint="default"/>
                <w:spacing w:val="5"/>
                <w:sz w:val="19"/>
                <w:szCs w:val="19"/>
              </w:rPr>
              <w:t>4000×8000（100m</w:t>
            </w:r>
            <w:r>
              <w:rPr>
                <w:rFonts w:hint="default"/>
                <w:spacing w:val="5"/>
                <w:position w:val="9"/>
                <w:sz w:val="10"/>
                <w:szCs w:val="10"/>
              </w:rPr>
              <w:t>3</w:t>
            </w:r>
            <w:r>
              <w:rPr>
                <w:rFonts w:hint="default"/>
                <w:spacing w:val="5"/>
                <w:sz w:val="19"/>
                <w:szCs w:val="19"/>
              </w:rPr>
              <w:t>）</w:t>
            </w:r>
          </w:p>
        </w:tc>
        <w:tc>
          <w:tcPr>
            <w:tcW w:w="1782" w:type="dxa"/>
            <w:vAlign w:val="top"/>
          </w:tcPr>
          <w:p w14:paraId="32A62118">
            <w:pPr>
              <w:pStyle w:val="22"/>
              <w:keepNext w:val="0"/>
              <w:keepLines w:val="0"/>
              <w:suppressLineNumbers w:val="0"/>
              <w:spacing w:before="223" w:beforeAutospacing="0" w:after="0" w:afterAutospacing="0" w:line="206" w:lineRule="auto"/>
              <w:ind w:left="325" w:right="0"/>
              <w:rPr>
                <w:rFonts w:hint="default"/>
              </w:rPr>
            </w:pPr>
            <w:r>
              <w:rPr>
                <w:rFonts w:hint="default"/>
                <w:spacing w:val="-2"/>
              </w:rPr>
              <w:t>常压、100℃</w:t>
            </w:r>
          </w:p>
        </w:tc>
        <w:tc>
          <w:tcPr>
            <w:tcW w:w="1800" w:type="dxa"/>
            <w:vAlign w:val="top"/>
          </w:tcPr>
          <w:p w14:paraId="06CED56B">
            <w:pPr>
              <w:pStyle w:val="22"/>
              <w:keepNext w:val="0"/>
              <w:keepLines w:val="0"/>
              <w:suppressLineNumbers w:val="0"/>
              <w:spacing w:before="223" w:beforeAutospacing="0" w:after="0" w:afterAutospacing="0" w:line="206" w:lineRule="auto"/>
              <w:ind w:left="386" w:right="0"/>
              <w:rPr>
                <w:rFonts w:hint="default"/>
              </w:rPr>
            </w:pPr>
            <w:r>
              <w:rPr>
                <w:rFonts w:hint="default"/>
                <w:spacing w:val="-2"/>
              </w:rPr>
              <w:t>常压、常温</w:t>
            </w:r>
          </w:p>
        </w:tc>
        <w:tc>
          <w:tcPr>
            <w:tcW w:w="1583" w:type="dxa"/>
            <w:vAlign w:val="top"/>
          </w:tcPr>
          <w:p w14:paraId="172471A6">
            <w:pPr>
              <w:pStyle w:val="22"/>
              <w:keepNext w:val="0"/>
              <w:keepLines w:val="0"/>
              <w:suppressLineNumbers w:val="0"/>
              <w:spacing w:before="258" w:beforeAutospacing="0" w:after="0" w:afterAutospacing="0" w:line="175" w:lineRule="auto"/>
              <w:ind w:left="645" w:right="0"/>
              <w:rPr>
                <w:rFonts w:hint="default"/>
              </w:rPr>
            </w:pPr>
            <w:r>
              <w:rPr>
                <w:rFonts w:hint="default"/>
                <w:spacing w:val="-4"/>
              </w:rPr>
              <w:t>304</w:t>
            </w:r>
          </w:p>
        </w:tc>
        <w:tc>
          <w:tcPr>
            <w:tcW w:w="1716" w:type="dxa"/>
            <w:vAlign w:val="top"/>
          </w:tcPr>
          <w:p w14:paraId="5D666DC0">
            <w:pPr>
              <w:pStyle w:val="22"/>
              <w:keepNext w:val="0"/>
              <w:keepLines w:val="0"/>
              <w:suppressLineNumbers w:val="0"/>
              <w:spacing w:before="223" w:beforeAutospacing="0" w:after="0" w:afterAutospacing="0" w:line="206" w:lineRule="auto"/>
              <w:ind w:left="550" w:right="0"/>
              <w:rPr>
                <w:rFonts w:hint="default"/>
              </w:rPr>
            </w:pPr>
            <w:r>
              <w:rPr>
                <w:rFonts w:hint="default"/>
                <w:spacing w:val="-2"/>
              </w:rPr>
              <w:t>双氧水</w:t>
            </w:r>
          </w:p>
        </w:tc>
        <w:tc>
          <w:tcPr>
            <w:tcW w:w="1200" w:type="dxa"/>
            <w:vAlign w:val="top"/>
          </w:tcPr>
          <w:p w14:paraId="5B4AAFDF">
            <w:pPr>
              <w:pStyle w:val="22"/>
              <w:keepNext w:val="0"/>
              <w:keepLines w:val="0"/>
              <w:suppressLineNumbers w:val="0"/>
              <w:spacing w:before="258" w:beforeAutospacing="0" w:after="0" w:afterAutospacing="0" w:line="175" w:lineRule="auto"/>
              <w:ind w:left="569" w:right="0"/>
              <w:rPr>
                <w:rFonts w:hint="default"/>
              </w:rPr>
            </w:pPr>
            <w:r>
              <w:rPr>
                <w:rFonts w:hint="default"/>
              </w:rPr>
              <w:t>1</w:t>
            </w:r>
          </w:p>
        </w:tc>
      </w:tr>
      <w:tr w14:paraId="442B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6F0DEAAF">
            <w:pPr>
              <w:pStyle w:val="22"/>
              <w:keepNext w:val="0"/>
              <w:keepLines w:val="0"/>
              <w:suppressLineNumbers w:val="0"/>
              <w:spacing w:before="260" w:beforeAutospacing="0" w:after="0" w:afterAutospacing="0" w:line="174" w:lineRule="auto"/>
              <w:ind w:left="120" w:right="0"/>
              <w:rPr>
                <w:rFonts w:hint="default"/>
              </w:rPr>
            </w:pPr>
            <w:r>
              <w:rPr>
                <w:rFonts w:hint="default"/>
                <w:spacing w:val="-3"/>
              </w:rPr>
              <w:t>37.</w:t>
            </w:r>
          </w:p>
        </w:tc>
        <w:tc>
          <w:tcPr>
            <w:tcW w:w="1334" w:type="dxa"/>
            <w:vAlign w:val="top"/>
          </w:tcPr>
          <w:p w14:paraId="7B49C253">
            <w:pPr>
              <w:keepNext w:val="0"/>
              <w:keepLines w:val="0"/>
              <w:suppressLineNumbers w:val="0"/>
              <w:spacing w:before="0" w:beforeAutospacing="0" w:after="0" w:afterAutospacing="0"/>
              <w:ind w:left="0" w:right="0"/>
              <w:rPr>
                <w:rFonts w:hint="default" w:ascii="Arial"/>
                <w:sz w:val="21"/>
              </w:rPr>
            </w:pPr>
          </w:p>
        </w:tc>
        <w:tc>
          <w:tcPr>
            <w:tcW w:w="1950" w:type="dxa"/>
            <w:vAlign w:val="top"/>
          </w:tcPr>
          <w:p w14:paraId="240BA807">
            <w:pPr>
              <w:pStyle w:val="22"/>
              <w:keepNext w:val="0"/>
              <w:keepLines w:val="0"/>
              <w:suppressLineNumbers w:val="0"/>
              <w:spacing w:before="224" w:beforeAutospacing="0" w:after="0" w:afterAutospacing="0" w:line="205" w:lineRule="auto"/>
              <w:ind w:left="120" w:right="0"/>
              <w:rPr>
                <w:rFonts w:hint="default"/>
              </w:rPr>
            </w:pPr>
            <w:r>
              <w:rPr>
                <w:rFonts w:hint="default"/>
                <w:spacing w:val="-3"/>
              </w:rPr>
              <w:t>空压机</w:t>
            </w:r>
          </w:p>
        </w:tc>
        <w:tc>
          <w:tcPr>
            <w:tcW w:w="2683" w:type="dxa"/>
            <w:vAlign w:val="top"/>
          </w:tcPr>
          <w:p w14:paraId="000CA452">
            <w:pPr>
              <w:pStyle w:val="22"/>
              <w:keepNext w:val="0"/>
              <w:keepLines w:val="0"/>
              <w:suppressLineNumbers w:val="0"/>
              <w:spacing w:before="232" w:beforeAutospacing="0" w:after="0" w:afterAutospacing="0" w:line="219" w:lineRule="auto"/>
              <w:ind w:left="969" w:right="0"/>
              <w:rPr>
                <w:rFonts w:hint="default"/>
                <w:sz w:val="19"/>
                <w:szCs w:val="19"/>
              </w:rPr>
            </w:pPr>
            <w:r>
              <w:rPr>
                <w:rFonts w:hint="default"/>
                <w:spacing w:val="5"/>
                <w:sz w:val="19"/>
                <w:szCs w:val="19"/>
              </w:rPr>
              <w:t>500</w:t>
            </w:r>
            <w:r>
              <w:rPr>
                <w:rFonts w:hint="default"/>
                <w:sz w:val="19"/>
                <w:szCs w:val="19"/>
              </w:rPr>
              <w:t>Nm</w:t>
            </w:r>
            <w:r>
              <w:rPr>
                <w:rFonts w:hint="default" w:ascii="Times New Roman" w:hAnsi="Times New Roman" w:eastAsia="Times New Roman" w:cs="Times New Roman"/>
                <w:spacing w:val="5"/>
                <w:sz w:val="19"/>
                <w:szCs w:val="19"/>
              </w:rPr>
              <w:t>3</w:t>
            </w:r>
            <w:r>
              <w:rPr>
                <w:rFonts w:hint="default"/>
                <w:spacing w:val="5"/>
                <w:sz w:val="19"/>
                <w:szCs w:val="19"/>
              </w:rPr>
              <w:t>/h</w:t>
            </w:r>
          </w:p>
        </w:tc>
        <w:tc>
          <w:tcPr>
            <w:tcW w:w="1782" w:type="dxa"/>
            <w:vAlign w:val="top"/>
          </w:tcPr>
          <w:p w14:paraId="3414EDF8">
            <w:pPr>
              <w:pStyle w:val="22"/>
              <w:keepNext w:val="0"/>
              <w:keepLines w:val="0"/>
              <w:suppressLineNumbers w:val="0"/>
              <w:spacing w:before="224" w:beforeAutospacing="0" w:after="0" w:afterAutospacing="0" w:line="205" w:lineRule="auto"/>
              <w:ind w:left="283" w:right="0"/>
              <w:rPr>
                <w:rFonts w:hint="default"/>
              </w:rPr>
            </w:pPr>
            <w:r>
              <w:rPr>
                <w:rFonts w:hint="default"/>
                <w:spacing w:val="-4"/>
              </w:rPr>
              <w:t>1.0mpa，常温</w:t>
            </w:r>
          </w:p>
        </w:tc>
        <w:tc>
          <w:tcPr>
            <w:tcW w:w="1800" w:type="dxa"/>
            <w:vAlign w:val="top"/>
          </w:tcPr>
          <w:p w14:paraId="1F19C880">
            <w:pPr>
              <w:pStyle w:val="22"/>
              <w:keepNext w:val="0"/>
              <w:keepLines w:val="0"/>
              <w:suppressLineNumbers w:val="0"/>
              <w:spacing w:before="224" w:beforeAutospacing="0" w:after="0" w:afterAutospacing="0" w:line="205" w:lineRule="auto"/>
              <w:ind w:left="277" w:right="0"/>
              <w:rPr>
                <w:rFonts w:hint="default"/>
              </w:rPr>
            </w:pPr>
            <w:r>
              <w:rPr>
                <w:rFonts w:hint="default"/>
                <w:spacing w:val="-2"/>
              </w:rPr>
              <w:t>0.7mpa，常温</w:t>
            </w:r>
          </w:p>
        </w:tc>
        <w:tc>
          <w:tcPr>
            <w:tcW w:w="1583" w:type="dxa"/>
            <w:vAlign w:val="top"/>
          </w:tcPr>
          <w:p w14:paraId="79CD6D2F">
            <w:pPr>
              <w:keepNext w:val="0"/>
              <w:keepLines w:val="0"/>
              <w:suppressLineNumbers w:val="0"/>
              <w:spacing w:before="0" w:beforeAutospacing="0" w:after="0" w:afterAutospacing="0"/>
              <w:ind w:left="0" w:right="0"/>
              <w:rPr>
                <w:rFonts w:hint="default" w:ascii="Arial"/>
                <w:sz w:val="21"/>
              </w:rPr>
            </w:pPr>
          </w:p>
        </w:tc>
        <w:tc>
          <w:tcPr>
            <w:tcW w:w="1716" w:type="dxa"/>
            <w:vAlign w:val="top"/>
          </w:tcPr>
          <w:p w14:paraId="01664810">
            <w:pPr>
              <w:pStyle w:val="22"/>
              <w:keepNext w:val="0"/>
              <w:keepLines w:val="0"/>
              <w:suppressLineNumbers w:val="0"/>
              <w:spacing w:before="224" w:beforeAutospacing="0" w:after="0" w:afterAutospacing="0" w:line="205" w:lineRule="auto"/>
              <w:ind w:left="663" w:right="0"/>
              <w:rPr>
                <w:rFonts w:hint="default"/>
              </w:rPr>
            </w:pPr>
            <w:r>
              <w:rPr>
                <w:rFonts w:hint="default"/>
                <w:spacing w:val="-4"/>
              </w:rPr>
              <w:t>空气</w:t>
            </w:r>
          </w:p>
        </w:tc>
        <w:tc>
          <w:tcPr>
            <w:tcW w:w="1200" w:type="dxa"/>
            <w:vAlign w:val="top"/>
          </w:tcPr>
          <w:p w14:paraId="4EC42406">
            <w:pPr>
              <w:pStyle w:val="22"/>
              <w:keepNext w:val="0"/>
              <w:keepLines w:val="0"/>
              <w:suppressLineNumbers w:val="0"/>
              <w:spacing w:before="258" w:beforeAutospacing="0" w:after="0" w:afterAutospacing="0" w:line="175" w:lineRule="auto"/>
              <w:ind w:left="569" w:right="0"/>
              <w:rPr>
                <w:rFonts w:hint="default"/>
              </w:rPr>
            </w:pPr>
            <w:r>
              <w:rPr>
                <w:rFonts w:hint="default"/>
              </w:rPr>
              <w:t>1</w:t>
            </w:r>
          </w:p>
        </w:tc>
      </w:tr>
      <w:tr w14:paraId="538EE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1" w:type="dxa"/>
            <w:vAlign w:val="top"/>
          </w:tcPr>
          <w:p w14:paraId="00AC7DE8">
            <w:pPr>
              <w:pStyle w:val="22"/>
              <w:keepNext w:val="0"/>
              <w:keepLines w:val="0"/>
              <w:suppressLineNumbers w:val="0"/>
              <w:spacing w:before="260" w:beforeAutospacing="0" w:after="0" w:afterAutospacing="0" w:line="174" w:lineRule="auto"/>
              <w:ind w:left="120" w:right="0"/>
              <w:rPr>
                <w:rFonts w:hint="default"/>
              </w:rPr>
            </w:pPr>
            <w:r>
              <w:rPr>
                <w:rFonts w:hint="default"/>
                <w:spacing w:val="-3"/>
              </w:rPr>
              <w:t>38.</w:t>
            </w:r>
          </w:p>
        </w:tc>
        <w:tc>
          <w:tcPr>
            <w:tcW w:w="1334" w:type="dxa"/>
            <w:vAlign w:val="top"/>
          </w:tcPr>
          <w:p w14:paraId="75B215E2">
            <w:pPr>
              <w:keepNext w:val="0"/>
              <w:keepLines w:val="0"/>
              <w:suppressLineNumbers w:val="0"/>
              <w:spacing w:before="0" w:beforeAutospacing="0" w:after="0" w:afterAutospacing="0"/>
              <w:ind w:left="0" w:right="0"/>
              <w:rPr>
                <w:rFonts w:hint="default" w:ascii="Arial"/>
                <w:sz w:val="21"/>
              </w:rPr>
            </w:pPr>
          </w:p>
        </w:tc>
        <w:tc>
          <w:tcPr>
            <w:tcW w:w="1950" w:type="dxa"/>
            <w:vAlign w:val="top"/>
          </w:tcPr>
          <w:p w14:paraId="134AD1DD">
            <w:pPr>
              <w:pStyle w:val="22"/>
              <w:keepNext w:val="0"/>
              <w:keepLines w:val="0"/>
              <w:suppressLineNumbers w:val="0"/>
              <w:spacing w:before="223" w:beforeAutospacing="0" w:after="0" w:afterAutospacing="0" w:line="206" w:lineRule="auto"/>
              <w:ind w:left="115" w:right="0"/>
              <w:rPr>
                <w:rFonts w:hint="default"/>
              </w:rPr>
            </w:pPr>
            <w:r>
              <w:rPr>
                <w:rFonts w:hint="default"/>
                <w:spacing w:val="-1"/>
              </w:rPr>
              <w:t>仪表空气立式储罐</w:t>
            </w:r>
          </w:p>
        </w:tc>
        <w:tc>
          <w:tcPr>
            <w:tcW w:w="2683" w:type="dxa"/>
            <w:vAlign w:val="top"/>
          </w:tcPr>
          <w:p w14:paraId="6F91BDAA">
            <w:pPr>
              <w:pStyle w:val="22"/>
              <w:keepNext w:val="0"/>
              <w:keepLines w:val="0"/>
              <w:suppressLineNumbers w:val="0"/>
              <w:spacing w:before="219" w:beforeAutospacing="0" w:after="0" w:afterAutospacing="0" w:line="210" w:lineRule="auto"/>
              <w:ind w:left="1216" w:right="0"/>
              <w:rPr>
                <w:rFonts w:hint="default"/>
                <w:sz w:val="11"/>
                <w:szCs w:val="11"/>
              </w:rPr>
            </w:pPr>
            <w:r>
              <w:rPr>
                <w:rFonts w:hint="default"/>
                <w:spacing w:val="-3"/>
              </w:rPr>
              <w:t>8m</w:t>
            </w:r>
            <w:r>
              <w:rPr>
                <w:rFonts w:hint="default"/>
                <w:spacing w:val="-3"/>
                <w:position w:val="10"/>
                <w:sz w:val="11"/>
                <w:szCs w:val="11"/>
              </w:rPr>
              <w:t>3</w:t>
            </w:r>
          </w:p>
        </w:tc>
        <w:tc>
          <w:tcPr>
            <w:tcW w:w="1782" w:type="dxa"/>
            <w:vAlign w:val="top"/>
          </w:tcPr>
          <w:p w14:paraId="10CDC4C8">
            <w:pPr>
              <w:pStyle w:val="22"/>
              <w:keepNext w:val="0"/>
              <w:keepLines w:val="0"/>
              <w:suppressLineNumbers w:val="0"/>
              <w:spacing w:before="223" w:beforeAutospacing="0" w:after="0" w:afterAutospacing="0" w:line="206" w:lineRule="auto"/>
              <w:ind w:left="283" w:right="0"/>
              <w:rPr>
                <w:rFonts w:hint="default"/>
              </w:rPr>
            </w:pPr>
            <w:r>
              <w:rPr>
                <w:rFonts w:hint="default"/>
                <w:spacing w:val="-3"/>
              </w:rPr>
              <w:t>1.0mpa，常温</w:t>
            </w:r>
          </w:p>
        </w:tc>
        <w:tc>
          <w:tcPr>
            <w:tcW w:w="1800" w:type="dxa"/>
            <w:vAlign w:val="top"/>
          </w:tcPr>
          <w:p w14:paraId="7FA12786">
            <w:pPr>
              <w:pStyle w:val="22"/>
              <w:keepNext w:val="0"/>
              <w:keepLines w:val="0"/>
              <w:suppressLineNumbers w:val="0"/>
              <w:spacing w:before="223" w:beforeAutospacing="0" w:after="0" w:afterAutospacing="0" w:line="206" w:lineRule="auto"/>
              <w:ind w:left="277" w:right="0"/>
              <w:rPr>
                <w:rFonts w:hint="default"/>
              </w:rPr>
            </w:pPr>
            <w:r>
              <w:rPr>
                <w:rFonts w:hint="default"/>
                <w:spacing w:val="-2"/>
              </w:rPr>
              <w:t>0.7mpa，常温</w:t>
            </w:r>
          </w:p>
        </w:tc>
        <w:tc>
          <w:tcPr>
            <w:tcW w:w="1583" w:type="dxa"/>
            <w:vAlign w:val="top"/>
          </w:tcPr>
          <w:p w14:paraId="7E0AA861">
            <w:pPr>
              <w:pStyle w:val="22"/>
              <w:keepNext w:val="0"/>
              <w:keepLines w:val="0"/>
              <w:suppressLineNumbers w:val="0"/>
              <w:spacing w:before="223" w:beforeAutospacing="0" w:after="0" w:afterAutospacing="0" w:line="206" w:lineRule="auto"/>
              <w:ind w:left="588" w:right="0"/>
              <w:rPr>
                <w:rFonts w:hint="default"/>
              </w:rPr>
            </w:pPr>
            <w:r>
              <w:rPr>
                <w:rFonts w:hint="default"/>
                <w:spacing w:val="-2"/>
              </w:rPr>
              <w:t>碳钢</w:t>
            </w:r>
          </w:p>
        </w:tc>
        <w:tc>
          <w:tcPr>
            <w:tcW w:w="1716" w:type="dxa"/>
            <w:vAlign w:val="top"/>
          </w:tcPr>
          <w:p w14:paraId="1D91E80F">
            <w:pPr>
              <w:pStyle w:val="22"/>
              <w:keepNext w:val="0"/>
              <w:keepLines w:val="0"/>
              <w:suppressLineNumbers w:val="0"/>
              <w:spacing w:before="223" w:beforeAutospacing="0" w:after="0" w:afterAutospacing="0" w:line="206" w:lineRule="auto"/>
              <w:ind w:left="663" w:right="0"/>
              <w:rPr>
                <w:rFonts w:hint="default"/>
              </w:rPr>
            </w:pPr>
            <w:r>
              <w:rPr>
                <w:rFonts w:hint="default"/>
                <w:spacing w:val="-4"/>
              </w:rPr>
              <w:t>空气</w:t>
            </w:r>
          </w:p>
        </w:tc>
        <w:tc>
          <w:tcPr>
            <w:tcW w:w="1200" w:type="dxa"/>
            <w:vAlign w:val="top"/>
          </w:tcPr>
          <w:p w14:paraId="012BA01A">
            <w:pPr>
              <w:pStyle w:val="22"/>
              <w:keepNext w:val="0"/>
              <w:keepLines w:val="0"/>
              <w:suppressLineNumbers w:val="0"/>
              <w:spacing w:before="258" w:beforeAutospacing="0" w:after="0" w:afterAutospacing="0" w:line="175" w:lineRule="auto"/>
              <w:ind w:left="569" w:right="0"/>
              <w:rPr>
                <w:rFonts w:hint="default"/>
              </w:rPr>
            </w:pPr>
            <w:r>
              <w:rPr>
                <w:rFonts w:hint="default"/>
              </w:rPr>
              <w:t>1</w:t>
            </w:r>
          </w:p>
        </w:tc>
      </w:tr>
      <w:tr w14:paraId="2F1CA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1" w:type="dxa"/>
            <w:vAlign w:val="top"/>
          </w:tcPr>
          <w:p w14:paraId="302BF75A">
            <w:pPr>
              <w:pStyle w:val="22"/>
              <w:keepNext w:val="0"/>
              <w:keepLines w:val="0"/>
              <w:suppressLineNumbers w:val="0"/>
              <w:spacing w:before="259" w:beforeAutospacing="0" w:after="0" w:afterAutospacing="0" w:line="178" w:lineRule="auto"/>
              <w:ind w:left="120" w:right="0"/>
              <w:rPr>
                <w:rFonts w:hint="default"/>
              </w:rPr>
            </w:pPr>
            <w:r>
              <w:rPr>
                <w:rFonts w:hint="default"/>
                <w:spacing w:val="-3"/>
              </w:rPr>
              <w:t>39.</w:t>
            </w:r>
          </w:p>
        </w:tc>
        <w:tc>
          <w:tcPr>
            <w:tcW w:w="1334" w:type="dxa"/>
            <w:vAlign w:val="top"/>
          </w:tcPr>
          <w:p w14:paraId="3AB35195">
            <w:pPr>
              <w:keepNext w:val="0"/>
              <w:keepLines w:val="0"/>
              <w:suppressLineNumbers w:val="0"/>
              <w:spacing w:before="0" w:beforeAutospacing="0" w:after="0" w:afterAutospacing="0"/>
              <w:ind w:left="0" w:right="0"/>
              <w:rPr>
                <w:rFonts w:hint="default" w:ascii="Arial"/>
                <w:sz w:val="21"/>
              </w:rPr>
            </w:pPr>
          </w:p>
        </w:tc>
        <w:tc>
          <w:tcPr>
            <w:tcW w:w="1950" w:type="dxa"/>
            <w:vAlign w:val="top"/>
          </w:tcPr>
          <w:p w14:paraId="1F850C85">
            <w:pPr>
              <w:pStyle w:val="22"/>
              <w:keepNext w:val="0"/>
              <w:keepLines w:val="0"/>
              <w:suppressLineNumbers w:val="0"/>
              <w:spacing w:before="224" w:beforeAutospacing="0" w:after="0" w:afterAutospacing="0" w:line="209" w:lineRule="auto"/>
              <w:ind w:left="115" w:right="0"/>
              <w:rPr>
                <w:rFonts w:hint="default"/>
              </w:rPr>
            </w:pPr>
            <w:r>
              <w:rPr>
                <w:rFonts w:hint="default"/>
                <w:spacing w:val="-1"/>
              </w:rPr>
              <w:t>仪表空气立式储罐</w:t>
            </w:r>
          </w:p>
        </w:tc>
        <w:tc>
          <w:tcPr>
            <w:tcW w:w="2683" w:type="dxa"/>
            <w:vAlign w:val="top"/>
          </w:tcPr>
          <w:p w14:paraId="187473E1">
            <w:pPr>
              <w:pStyle w:val="22"/>
              <w:keepNext w:val="0"/>
              <w:keepLines w:val="0"/>
              <w:suppressLineNumbers w:val="0"/>
              <w:spacing w:before="218" w:beforeAutospacing="0" w:after="0" w:afterAutospacing="0" w:line="214" w:lineRule="auto"/>
              <w:ind w:left="1219" w:right="0"/>
              <w:rPr>
                <w:rFonts w:hint="default"/>
                <w:sz w:val="11"/>
                <w:szCs w:val="11"/>
              </w:rPr>
            </w:pPr>
            <w:r>
              <w:rPr>
                <w:rFonts w:hint="default"/>
                <w:spacing w:val="-4"/>
              </w:rPr>
              <w:t>5m</w:t>
            </w:r>
            <w:r>
              <w:rPr>
                <w:rFonts w:hint="default"/>
                <w:spacing w:val="-4"/>
                <w:position w:val="10"/>
                <w:sz w:val="11"/>
                <w:szCs w:val="11"/>
              </w:rPr>
              <w:t>3</w:t>
            </w:r>
          </w:p>
        </w:tc>
        <w:tc>
          <w:tcPr>
            <w:tcW w:w="1782" w:type="dxa"/>
            <w:vAlign w:val="top"/>
          </w:tcPr>
          <w:p w14:paraId="5B545843">
            <w:pPr>
              <w:pStyle w:val="22"/>
              <w:keepNext w:val="0"/>
              <w:keepLines w:val="0"/>
              <w:suppressLineNumbers w:val="0"/>
              <w:spacing w:before="224" w:beforeAutospacing="0" w:after="0" w:afterAutospacing="0" w:line="209" w:lineRule="auto"/>
              <w:ind w:left="283" w:right="0"/>
              <w:rPr>
                <w:rFonts w:hint="default"/>
              </w:rPr>
            </w:pPr>
            <w:r>
              <w:rPr>
                <w:rFonts w:hint="default"/>
                <w:spacing w:val="-4"/>
              </w:rPr>
              <w:t>1.0mpa，常温</w:t>
            </w:r>
          </w:p>
        </w:tc>
        <w:tc>
          <w:tcPr>
            <w:tcW w:w="1800" w:type="dxa"/>
            <w:vAlign w:val="top"/>
          </w:tcPr>
          <w:p w14:paraId="33652CFE">
            <w:pPr>
              <w:pStyle w:val="22"/>
              <w:keepNext w:val="0"/>
              <w:keepLines w:val="0"/>
              <w:suppressLineNumbers w:val="0"/>
              <w:spacing w:before="224" w:beforeAutospacing="0" w:after="0" w:afterAutospacing="0" w:line="209" w:lineRule="auto"/>
              <w:ind w:left="277" w:right="0"/>
              <w:rPr>
                <w:rFonts w:hint="default"/>
              </w:rPr>
            </w:pPr>
            <w:r>
              <w:rPr>
                <w:rFonts w:hint="default"/>
                <w:spacing w:val="-2"/>
              </w:rPr>
              <w:t>0.7mpa，常温</w:t>
            </w:r>
          </w:p>
        </w:tc>
        <w:tc>
          <w:tcPr>
            <w:tcW w:w="1583" w:type="dxa"/>
            <w:vAlign w:val="top"/>
          </w:tcPr>
          <w:p w14:paraId="61F26CD6">
            <w:pPr>
              <w:pStyle w:val="22"/>
              <w:keepNext w:val="0"/>
              <w:keepLines w:val="0"/>
              <w:suppressLineNumbers w:val="0"/>
              <w:spacing w:before="224" w:beforeAutospacing="0" w:after="0" w:afterAutospacing="0" w:line="209" w:lineRule="auto"/>
              <w:ind w:left="588" w:right="0"/>
              <w:rPr>
                <w:rFonts w:hint="default"/>
              </w:rPr>
            </w:pPr>
            <w:r>
              <w:rPr>
                <w:rFonts w:hint="default"/>
                <w:spacing w:val="-2"/>
              </w:rPr>
              <w:t>碳钢</w:t>
            </w:r>
          </w:p>
        </w:tc>
        <w:tc>
          <w:tcPr>
            <w:tcW w:w="1716" w:type="dxa"/>
            <w:vAlign w:val="top"/>
          </w:tcPr>
          <w:p w14:paraId="6F5762BF">
            <w:pPr>
              <w:pStyle w:val="22"/>
              <w:keepNext w:val="0"/>
              <w:keepLines w:val="0"/>
              <w:suppressLineNumbers w:val="0"/>
              <w:spacing w:before="224" w:beforeAutospacing="0" w:after="0" w:afterAutospacing="0" w:line="209" w:lineRule="auto"/>
              <w:ind w:left="663" w:right="0"/>
              <w:rPr>
                <w:rFonts w:hint="default"/>
              </w:rPr>
            </w:pPr>
            <w:r>
              <w:rPr>
                <w:rFonts w:hint="default"/>
                <w:spacing w:val="-4"/>
              </w:rPr>
              <w:t>空气</w:t>
            </w:r>
          </w:p>
        </w:tc>
        <w:tc>
          <w:tcPr>
            <w:tcW w:w="1200" w:type="dxa"/>
            <w:vAlign w:val="top"/>
          </w:tcPr>
          <w:p w14:paraId="6E586B89">
            <w:pPr>
              <w:pStyle w:val="22"/>
              <w:keepNext w:val="0"/>
              <w:keepLines w:val="0"/>
              <w:suppressLineNumbers w:val="0"/>
              <w:spacing w:before="259" w:beforeAutospacing="0" w:after="0" w:afterAutospacing="0" w:line="178" w:lineRule="auto"/>
              <w:ind w:left="556" w:right="0"/>
              <w:rPr>
                <w:rFonts w:hint="default"/>
              </w:rPr>
            </w:pPr>
            <w:r>
              <w:rPr>
                <w:rFonts w:hint="default"/>
              </w:rPr>
              <w:t>2</w:t>
            </w:r>
          </w:p>
        </w:tc>
      </w:tr>
    </w:tbl>
    <w:p w14:paraId="76BADED7">
      <w:pPr>
        <w:pStyle w:val="6"/>
      </w:pPr>
    </w:p>
    <w:p w14:paraId="2DB4A400">
      <w:pPr>
        <w:sectPr>
          <w:headerReference r:id="rId23" w:type="default"/>
          <w:footerReference r:id="rId24" w:type="default"/>
          <w:pgSz w:w="16839" w:h="11907"/>
          <w:pgMar w:top="1120" w:right="1303" w:bottom="946" w:left="1020" w:header="809" w:footer="685" w:gutter="0"/>
          <w:cols w:space="720" w:num="1"/>
        </w:sectPr>
      </w:pPr>
    </w:p>
    <w:p w14:paraId="32BCF6B3">
      <w:pPr>
        <w:pStyle w:val="6"/>
        <w:spacing w:line="412" w:lineRule="auto"/>
      </w:pPr>
    </w:p>
    <w:p w14:paraId="4ACFCBF8">
      <w:pPr>
        <w:spacing w:before="91" w:line="214" w:lineRule="auto"/>
        <w:ind w:left="4700"/>
        <w:rPr>
          <w:rFonts w:ascii="宋体" w:hAnsi="宋体" w:eastAsia="宋体" w:cs="宋体"/>
          <w:sz w:val="28"/>
          <w:szCs w:val="28"/>
        </w:rPr>
      </w:pPr>
      <w:r>
        <w:rPr>
          <w:rFonts w:ascii="宋体" w:hAnsi="宋体" w:eastAsia="宋体" w:cs="宋体"/>
          <w:spacing w:val="-1"/>
          <w:sz w:val="28"/>
          <w:szCs w:val="28"/>
        </w:rPr>
        <w:t>表</w:t>
      </w:r>
      <w:r>
        <w:rPr>
          <w:rFonts w:ascii="宋体" w:hAnsi="宋体" w:eastAsia="宋体" w:cs="宋体"/>
          <w:spacing w:val="-54"/>
          <w:sz w:val="28"/>
          <w:szCs w:val="28"/>
        </w:rPr>
        <w:t xml:space="preserve"> </w:t>
      </w:r>
      <w:r>
        <w:rPr>
          <w:rFonts w:ascii="Times New Roman" w:hAnsi="Times New Roman" w:eastAsia="Times New Roman" w:cs="Times New Roman"/>
          <w:spacing w:val="-1"/>
          <w:sz w:val="28"/>
          <w:szCs w:val="28"/>
        </w:rPr>
        <w:t xml:space="preserve">2.8-2    </w:t>
      </w:r>
      <w:r>
        <w:rPr>
          <w:rFonts w:ascii="宋体" w:hAnsi="宋体" w:eastAsia="宋体" w:cs="宋体"/>
          <w:spacing w:val="-1"/>
          <w:sz w:val="28"/>
          <w:szCs w:val="28"/>
        </w:rPr>
        <w:t>主要生产装置涉及的特种设备一览表</w:t>
      </w: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1286"/>
        <w:gridCol w:w="1492"/>
        <w:gridCol w:w="2117"/>
        <w:gridCol w:w="1727"/>
        <w:gridCol w:w="1797"/>
        <w:gridCol w:w="1159"/>
        <w:gridCol w:w="1667"/>
        <w:gridCol w:w="680"/>
        <w:gridCol w:w="1996"/>
      </w:tblGrid>
      <w:tr w14:paraId="61188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88" w:type="dxa"/>
            <w:textDirection w:val="tbRlV"/>
            <w:vAlign w:val="top"/>
          </w:tcPr>
          <w:p w14:paraId="52485859">
            <w:pPr>
              <w:pStyle w:val="22"/>
              <w:keepNext w:val="0"/>
              <w:keepLines w:val="0"/>
              <w:suppressLineNumbers w:val="0"/>
              <w:spacing w:before="187" w:beforeAutospacing="0" w:after="0" w:afterAutospacing="0" w:line="211" w:lineRule="auto"/>
              <w:ind w:left="0" w:right="34"/>
              <w:jc w:val="right"/>
              <w:rPr>
                <w:rFonts w:hint="default"/>
              </w:rPr>
            </w:pPr>
            <w:r>
              <w:rPr>
                <w:rFonts w:hint="default"/>
                <w:b/>
                <w:bCs/>
                <w:spacing w:val="-2"/>
              </w:rPr>
              <w:t>序</w:t>
            </w:r>
            <w:r>
              <w:rPr>
                <w:rFonts w:hint="default"/>
                <w:spacing w:val="-42"/>
              </w:rPr>
              <w:t xml:space="preserve"> </w:t>
            </w:r>
            <w:r>
              <w:rPr>
                <w:rFonts w:hint="default"/>
                <w:b/>
                <w:bCs/>
                <w:spacing w:val="-2"/>
              </w:rPr>
              <w:t>号</w:t>
            </w:r>
          </w:p>
        </w:tc>
        <w:tc>
          <w:tcPr>
            <w:tcW w:w="1286" w:type="dxa"/>
            <w:vAlign w:val="top"/>
          </w:tcPr>
          <w:p w14:paraId="101807A5">
            <w:pPr>
              <w:keepNext w:val="0"/>
              <w:keepLines w:val="0"/>
              <w:suppressLineNumbers w:val="0"/>
              <w:spacing w:before="0" w:beforeAutospacing="0" w:after="0" w:afterAutospacing="0" w:line="290" w:lineRule="auto"/>
              <w:ind w:left="0" w:right="0"/>
              <w:rPr>
                <w:rFonts w:hint="default" w:ascii="Arial"/>
                <w:sz w:val="21"/>
              </w:rPr>
            </w:pPr>
          </w:p>
          <w:p w14:paraId="524226D1">
            <w:pPr>
              <w:pStyle w:val="22"/>
              <w:keepNext w:val="0"/>
              <w:keepLines w:val="0"/>
              <w:suppressLineNumbers w:val="0"/>
              <w:spacing w:before="69" w:beforeAutospacing="0" w:after="0" w:afterAutospacing="0" w:line="222" w:lineRule="auto"/>
              <w:ind w:left="113" w:right="0"/>
              <w:rPr>
                <w:rFonts w:hint="default"/>
              </w:rPr>
            </w:pPr>
            <w:r>
              <w:rPr>
                <w:rFonts w:hint="default"/>
                <w:b/>
                <w:bCs/>
                <w:spacing w:val="-4"/>
              </w:rPr>
              <w:t>位号</w:t>
            </w:r>
          </w:p>
        </w:tc>
        <w:tc>
          <w:tcPr>
            <w:tcW w:w="1492" w:type="dxa"/>
            <w:vAlign w:val="top"/>
          </w:tcPr>
          <w:p w14:paraId="4E76D850">
            <w:pPr>
              <w:keepNext w:val="0"/>
              <w:keepLines w:val="0"/>
              <w:suppressLineNumbers w:val="0"/>
              <w:spacing w:before="0" w:beforeAutospacing="0" w:after="0" w:afterAutospacing="0" w:line="290" w:lineRule="auto"/>
              <w:ind w:left="0" w:right="0"/>
              <w:rPr>
                <w:rFonts w:hint="default" w:ascii="Arial"/>
                <w:sz w:val="21"/>
              </w:rPr>
            </w:pPr>
          </w:p>
          <w:p w14:paraId="483C06E3">
            <w:pPr>
              <w:pStyle w:val="22"/>
              <w:keepNext w:val="0"/>
              <w:keepLines w:val="0"/>
              <w:suppressLineNumbers w:val="0"/>
              <w:spacing w:before="69" w:beforeAutospacing="0" w:after="0" w:afterAutospacing="0" w:line="222" w:lineRule="auto"/>
              <w:ind w:left="115" w:right="0"/>
              <w:rPr>
                <w:rFonts w:hint="default"/>
              </w:rPr>
            </w:pPr>
            <w:r>
              <w:rPr>
                <w:rFonts w:hint="default"/>
                <w:b/>
                <w:bCs/>
                <w:spacing w:val="-4"/>
              </w:rPr>
              <w:t>设备名称</w:t>
            </w:r>
          </w:p>
        </w:tc>
        <w:tc>
          <w:tcPr>
            <w:tcW w:w="2117" w:type="dxa"/>
            <w:vAlign w:val="top"/>
          </w:tcPr>
          <w:p w14:paraId="2D4FE4C8">
            <w:pPr>
              <w:keepNext w:val="0"/>
              <w:keepLines w:val="0"/>
              <w:suppressLineNumbers w:val="0"/>
              <w:spacing w:before="0" w:beforeAutospacing="0" w:after="0" w:afterAutospacing="0" w:line="290" w:lineRule="auto"/>
              <w:ind w:left="0" w:right="0"/>
              <w:rPr>
                <w:rFonts w:hint="default" w:ascii="Arial"/>
                <w:sz w:val="21"/>
              </w:rPr>
            </w:pPr>
          </w:p>
          <w:p w14:paraId="0154E5F7">
            <w:pPr>
              <w:pStyle w:val="22"/>
              <w:keepNext w:val="0"/>
              <w:keepLines w:val="0"/>
              <w:suppressLineNumbers w:val="0"/>
              <w:spacing w:before="68" w:beforeAutospacing="0" w:after="0" w:afterAutospacing="0" w:line="221" w:lineRule="auto"/>
              <w:ind w:left="644" w:right="0"/>
              <w:rPr>
                <w:rFonts w:hint="default"/>
              </w:rPr>
            </w:pPr>
            <w:r>
              <w:rPr>
                <w:rFonts w:hint="default"/>
                <w:b/>
                <w:bCs/>
                <w:spacing w:val="-4"/>
              </w:rPr>
              <w:t>规格型号</w:t>
            </w:r>
          </w:p>
        </w:tc>
        <w:tc>
          <w:tcPr>
            <w:tcW w:w="1727" w:type="dxa"/>
            <w:vAlign w:val="top"/>
          </w:tcPr>
          <w:p w14:paraId="573840B3">
            <w:pPr>
              <w:pStyle w:val="22"/>
              <w:keepNext w:val="0"/>
              <w:keepLines w:val="0"/>
              <w:suppressLineNumbers w:val="0"/>
              <w:spacing w:before="223" w:beforeAutospacing="0" w:after="0" w:afterAutospacing="0" w:line="224" w:lineRule="auto"/>
              <w:ind w:left="135" w:right="150" w:hanging="16"/>
              <w:rPr>
                <w:rFonts w:hint="default"/>
              </w:rPr>
            </w:pPr>
            <w:r>
              <w:rPr>
                <w:rFonts w:hint="default"/>
                <w:b/>
                <w:bCs/>
                <w:spacing w:val="-5"/>
              </w:rPr>
              <w:t>设计压力（MPɑ)</w:t>
            </w:r>
            <w:r>
              <w:rPr>
                <w:rFonts w:hint="default"/>
                <w:spacing w:val="6"/>
              </w:rPr>
              <w:t xml:space="preserve"> </w:t>
            </w:r>
            <w:r>
              <w:rPr>
                <w:rFonts w:hint="default"/>
                <w:b/>
                <w:bCs/>
                <w:spacing w:val="10"/>
              </w:rPr>
              <w:t>设计温度(℃)</w:t>
            </w:r>
          </w:p>
        </w:tc>
        <w:tc>
          <w:tcPr>
            <w:tcW w:w="1797" w:type="dxa"/>
            <w:vAlign w:val="top"/>
          </w:tcPr>
          <w:p w14:paraId="77A84835">
            <w:pPr>
              <w:pStyle w:val="22"/>
              <w:keepNext w:val="0"/>
              <w:keepLines w:val="0"/>
              <w:suppressLineNumbers w:val="0"/>
              <w:spacing w:before="223" w:beforeAutospacing="0" w:after="0" w:afterAutospacing="0" w:line="224" w:lineRule="auto"/>
              <w:ind w:left="168" w:right="27" w:hanging="52"/>
              <w:rPr>
                <w:rFonts w:hint="default"/>
              </w:rPr>
            </w:pPr>
            <w:r>
              <w:rPr>
                <w:rFonts w:hint="default"/>
                <w:b/>
                <w:bCs/>
                <w:spacing w:val="-13"/>
              </w:rPr>
              <w:t>工作压力（MPɑ)</w:t>
            </w:r>
            <w:r>
              <w:rPr>
                <w:rFonts w:hint="default"/>
                <w:spacing w:val="-31"/>
              </w:rPr>
              <w:t xml:space="preserve"> </w:t>
            </w:r>
            <w:r>
              <w:rPr>
                <w:rFonts w:hint="default"/>
                <w:b/>
                <w:bCs/>
                <w:spacing w:val="-13"/>
              </w:rPr>
              <w:t>、</w:t>
            </w:r>
            <w:r>
              <w:rPr>
                <w:rFonts w:hint="default"/>
              </w:rPr>
              <w:t xml:space="preserve"> </w:t>
            </w:r>
            <w:r>
              <w:rPr>
                <w:rFonts w:hint="default"/>
                <w:b/>
                <w:bCs/>
                <w:spacing w:val="10"/>
              </w:rPr>
              <w:t>工作温度(℃)</w:t>
            </w:r>
          </w:p>
        </w:tc>
        <w:tc>
          <w:tcPr>
            <w:tcW w:w="1159" w:type="dxa"/>
            <w:vAlign w:val="top"/>
          </w:tcPr>
          <w:p w14:paraId="70E625C6">
            <w:pPr>
              <w:keepNext w:val="0"/>
              <w:keepLines w:val="0"/>
              <w:suppressLineNumbers w:val="0"/>
              <w:spacing w:before="0" w:beforeAutospacing="0" w:after="0" w:afterAutospacing="0" w:line="290" w:lineRule="auto"/>
              <w:ind w:left="0" w:right="0"/>
              <w:rPr>
                <w:rFonts w:hint="default" w:ascii="Arial"/>
                <w:sz w:val="21"/>
              </w:rPr>
            </w:pPr>
          </w:p>
          <w:p w14:paraId="446E1F44">
            <w:pPr>
              <w:pStyle w:val="22"/>
              <w:keepNext w:val="0"/>
              <w:keepLines w:val="0"/>
              <w:suppressLineNumbers w:val="0"/>
              <w:spacing w:before="68" w:beforeAutospacing="0" w:after="0" w:afterAutospacing="0" w:line="220" w:lineRule="auto"/>
              <w:ind w:left="376" w:right="0"/>
              <w:rPr>
                <w:rFonts w:hint="default"/>
              </w:rPr>
            </w:pPr>
            <w:r>
              <w:rPr>
                <w:rFonts w:hint="default"/>
                <w:b/>
                <w:bCs/>
                <w:spacing w:val="-4"/>
              </w:rPr>
              <w:t>材质</w:t>
            </w:r>
          </w:p>
        </w:tc>
        <w:tc>
          <w:tcPr>
            <w:tcW w:w="1667" w:type="dxa"/>
            <w:vAlign w:val="top"/>
          </w:tcPr>
          <w:p w14:paraId="42149DD7">
            <w:pPr>
              <w:keepNext w:val="0"/>
              <w:keepLines w:val="0"/>
              <w:suppressLineNumbers w:val="0"/>
              <w:spacing w:before="0" w:beforeAutospacing="0" w:after="0" w:afterAutospacing="0" w:line="290" w:lineRule="auto"/>
              <w:ind w:left="0" w:right="0"/>
              <w:rPr>
                <w:rFonts w:hint="default" w:ascii="Arial"/>
                <w:sz w:val="21"/>
              </w:rPr>
            </w:pPr>
          </w:p>
          <w:p w14:paraId="635F6C20">
            <w:pPr>
              <w:pStyle w:val="22"/>
              <w:keepNext w:val="0"/>
              <w:keepLines w:val="0"/>
              <w:suppressLineNumbers w:val="0"/>
              <w:spacing w:before="68" w:beforeAutospacing="0" w:after="0" w:afterAutospacing="0" w:line="220" w:lineRule="auto"/>
              <w:ind w:left="631" w:right="0"/>
              <w:rPr>
                <w:rFonts w:hint="default"/>
              </w:rPr>
            </w:pPr>
            <w:r>
              <w:rPr>
                <w:rFonts w:hint="default"/>
                <w:b/>
                <w:bCs/>
                <w:spacing w:val="-4"/>
              </w:rPr>
              <w:t>介质</w:t>
            </w:r>
          </w:p>
        </w:tc>
        <w:tc>
          <w:tcPr>
            <w:tcW w:w="680" w:type="dxa"/>
            <w:vAlign w:val="top"/>
          </w:tcPr>
          <w:p w14:paraId="663E9D6E">
            <w:pPr>
              <w:keepNext w:val="0"/>
              <w:keepLines w:val="0"/>
              <w:suppressLineNumbers w:val="0"/>
              <w:spacing w:before="0" w:beforeAutospacing="0" w:after="0" w:afterAutospacing="0" w:line="290" w:lineRule="auto"/>
              <w:ind w:left="0" w:right="0"/>
              <w:rPr>
                <w:rFonts w:hint="default" w:ascii="Arial"/>
                <w:sz w:val="21"/>
              </w:rPr>
            </w:pPr>
          </w:p>
          <w:p w14:paraId="4C18B55E">
            <w:pPr>
              <w:pStyle w:val="22"/>
              <w:keepNext w:val="0"/>
              <w:keepLines w:val="0"/>
              <w:suppressLineNumbers w:val="0"/>
              <w:spacing w:before="68" w:beforeAutospacing="0" w:after="0" w:afterAutospacing="0" w:line="221" w:lineRule="auto"/>
              <w:ind w:left="139" w:right="0"/>
              <w:rPr>
                <w:rFonts w:hint="default"/>
              </w:rPr>
            </w:pPr>
            <w:r>
              <w:rPr>
                <w:rFonts w:hint="default"/>
                <w:b/>
                <w:bCs/>
                <w:spacing w:val="-5"/>
              </w:rPr>
              <w:t>数量</w:t>
            </w:r>
          </w:p>
        </w:tc>
        <w:tc>
          <w:tcPr>
            <w:tcW w:w="1996" w:type="dxa"/>
            <w:vAlign w:val="top"/>
          </w:tcPr>
          <w:p w14:paraId="2EE1125F">
            <w:pPr>
              <w:keepNext w:val="0"/>
              <w:keepLines w:val="0"/>
              <w:suppressLineNumbers w:val="0"/>
              <w:spacing w:before="0" w:beforeAutospacing="0" w:after="0" w:afterAutospacing="0" w:line="290" w:lineRule="auto"/>
              <w:ind w:left="0" w:right="0"/>
              <w:rPr>
                <w:rFonts w:hint="default" w:ascii="Arial"/>
                <w:sz w:val="21"/>
              </w:rPr>
            </w:pPr>
          </w:p>
          <w:p w14:paraId="4DE7FAE1">
            <w:pPr>
              <w:pStyle w:val="22"/>
              <w:keepNext w:val="0"/>
              <w:keepLines w:val="0"/>
              <w:suppressLineNumbers w:val="0"/>
              <w:spacing w:before="68" w:beforeAutospacing="0" w:after="0" w:afterAutospacing="0" w:line="220" w:lineRule="auto"/>
              <w:ind w:left="588" w:right="0"/>
              <w:rPr>
                <w:rFonts w:hint="default"/>
              </w:rPr>
            </w:pPr>
            <w:r>
              <w:rPr>
                <w:rFonts w:hint="default"/>
                <w:b/>
                <w:bCs/>
                <w:spacing w:val="-4"/>
              </w:rPr>
              <w:t>安全附件</w:t>
            </w:r>
          </w:p>
        </w:tc>
      </w:tr>
      <w:tr w14:paraId="2E0B6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8" w:type="dxa"/>
            <w:vAlign w:val="top"/>
          </w:tcPr>
          <w:p w14:paraId="742A449E">
            <w:pPr>
              <w:keepNext w:val="0"/>
              <w:keepLines w:val="0"/>
              <w:suppressLineNumbers w:val="0"/>
              <w:spacing w:before="0" w:beforeAutospacing="0" w:after="0" w:afterAutospacing="0" w:line="320" w:lineRule="auto"/>
              <w:ind w:left="0" w:right="0"/>
              <w:rPr>
                <w:rFonts w:hint="default" w:ascii="Arial"/>
                <w:sz w:val="21"/>
              </w:rPr>
            </w:pPr>
          </w:p>
          <w:p w14:paraId="4C17FFC1">
            <w:pPr>
              <w:pStyle w:val="22"/>
              <w:keepNext w:val="0"/>
              <w:keepLines w:val="0"/>
              <w:suppressLineNumbers w:val="0"/>
              <w:spacing w:before="69" w:beforeAutospacing="0" w:after="0" w:afterAutospacing="0" w:line="183" w:lineRule="auto"/>
              <w:ind w:left="131" w:right="0"/>
              <w:rPr>
                <w:rFonts w:hint="default"/>
              </w:rPr>
            </w:pPr>
            <w:r>
              <w:rPr>
                <w:rFonts w:hint="default"/>
                <w:spacing w:val="-6"/>
              </w:rPr>
              <w:t>1.</w:t>
            </w:r>
          </w:p>
        </w:tc>
        <w:tc>
          <w:tcPr>
            <w:tcW w:w="1286" w:type="dxa"/>
            <w:vAlign w:val="top"/>
          </w:tcPr>
          <w:p w14:paraId="2F9E15E6">
            <w:pPr>
              <w:keepNext w:val="0"/>
              <w:keepLines w:val="0"/>
              <w:suppressLineNumbers w:val="0"/>
              <w:spacing w:before="0" w:beforeAutospacing="0" w:after="0" w:afterAutospacing="0" w:line="320" w:lineRule="auto"/>
              <w:ind w:left="0" w:right="0"/>
              <w:rPr>
                <w:rFonts w:hint="default" w:ascii="Arial"/>
                <w:sz w:val="21"/>
              </w:rPr>
            </w:pPr>
          </w:p>
          <w:p w14:paraId="2632F728">
            <w:pPr>
              <w:pStyle w:val="22"/>
              <w:keepNext w:val="0"/>
              <w:keepLines w:val="0"/>
              <w:suppressLineNumbers w:val="0"/>
              <w:spacing w:before="69" w:beforeAutospacing="0" w:after="0" w:afterAutospacing="0" w:line="183" w:lineRule="auto"/>
              <w:ind w:left="276" w:right="0"/>
              <w:rPr>
                <w:rFonts w:hint="default"/>
              </w:rPr>
            </w:pPr>
            <w:r>
              <w:rPr>
                <w:rFonts w:hint="default"/>
                <w:spacing w:val="-1"/>
              </w:rPr>
              <w:t>E110201</w:t>
            </w:r>
          </w:p>
        </w:tc>
        <w:tc>
          <w:tcPr>
            <w:tcW w:w="1492" w:type="dxa"/>
            <w:vAlign w:val="top"/>
          </w:tcPr>
          <w:p w14:paraId="1D228DFD">
            <w:pPr>
              <w:keepNext w:val="0"/>
              <w:keepLines w:val="0"/>
              <w:suppressLineNumbers w:val="0"/>
              <w:spacing w:before="0" w:beforeAutospacing="0" w:after="0" w:afterAutospacing="0" w:line="286" w:lineRule="auto"/>
              <w:ind w:left="0" w:right="0"/>
              <w:rPr>
                <w:rFonts w:hint="default" w:ascii="Arial"/>
                <w:sz w:val="21"/>
              </w:rPr>
            </w:pPr>
          </w:p>
          <w:p w14:paraId="7A4631B1">
            <w:pPr>
              <w:pStyle w:val="22"/>
              <w:keepNext w:val="0"/>
              <w:keepLines w:val="0"/>
              <w:suppressLineNumbers w:val="0"/>
              <w:spacing w:before="68" w:beforeAutospacing="0" w:after="0" w:afterAutospacing="0" w:line="221" w:lineRule="auto"/>
              <w:ind w:left="111" w:right="0"/>
              <w:rPr>
                <w:rFonts w:hint="default"/>
              </w:rPr>
            </w:pPr>
            <w:r>
              <w:rPr>
                <w:rFonts w:hint="default"/>
                <w:spacing w:val="-1"/>
              </w:rPr>
              <w:t>蚀刻液换热器</w:t>
            </w:r>
          </w:p>
        </w:tc>
        <w:tc>
          <w:tcPr>
            <w:tcW w:w="2117" w:type="dxa"/>
            <w:vAlign w:val="top"/>
          </w:tcPr>
          <w:p w14:paraId="570F6D5A">
            <w:pPr>
              <w:pStyle w:val="22"/>
              <w:keepNext w:val="0"/>
              <w:keepLines w:val="0"/>
              <w:suppressLineNumbers w:val="0"/>
              <w:spacing w:before="234" w:beforeAutospacing="0" w:after="0" w:afterAutospacing="0" w:line="241" w:lineRule="auto"/>
              <w:ind w:left="566" w:right="107" w:hanging="449"/>
              <w:rPr>
                <w:rFonts w:hint="default"/>
                <w:sz w:val="10"/>
                <w:szCs w:val="10"/>
              </w:rPr>
            </w:pPr>
            <w:r>
              <w:rPr>
                <w:rFonts w:hint="default"/>
                <w:spacing w:val="-2"/>
                <w:sz w:val="19"/>
                <w:szCs w:val="19"/>
              </w:rPr>
              <w:t>半焊式板式换热器，换</w:t>
            </w:r>
            <w:r>
              <w:rPr>
                <w:rFonts w:hint="default"/>
                <w:spacing w:val="6"/>
                <w:sz w:val="19"/>
                <w:szCs w:val="19"/>
              </w:rPr>
              <w:t xml:space="preserve"> </w:t>
            </w:r>
            <w:r>
              <w:rPr>
                <w:rFonts w:hint="default"/>
                <w:spacing w:val="3"/>
                <w:sz w:val="19"/>
                <w:szCs w:val="19"/>
              </w:rPr>
              <w:t>热面积</w:t>
            </w:r>
            <w:r>
              <w:rPr>
                <w:rFonts w:hint="default"/>
                <w:spacing w:val="-33"/>
                <w:sz w:val="19"/>
                <w:szCs w:val="19"/>
              </w:rPr>
              <w:t xml:space="preserve"> </w:t>
            </w:r>
            <w:r>
              <w:rPr>
                <w:rFonts w:hint="default"/>
                <w:spacing w:val="3"/>
                <w:sz w:val="19"/>
                <w:szCs w:val="19"/>
              </w:rPr>
              <w:t>20m</w:t>
            </w:r>
            <w:r>
              <w:rPr>
                <w:rFonts w:hint="default"/>
                <w:spacing w:val="3"/>
                <w:position w:val="9"/>
                <w:sz w:val="10"/>
                <w:szCs w:val="10"/>
              </w:rPr>
              <w:t>2</w:t>
            </w:r>
          </w:p>
        </w:tc>
        <w:tc>
          <w:tcPr>
            <w:tcW w:w="1727" w:type="dxa"/>
            <w:vAlign w:val="top"/>
          </w:tcPr>
          <w:p w14:paraId="09C9015A">
            <w:pPr>
              <w:pStyle w:val="22"/>
              <w:keepNext w:val="0"/>
              <w:keepLines w:val="0"/>
              <w:suppressLineNumbers w:val="0"/>
              <w:spacing w:before="219" w:beforeAutospacing="0" w:after="0" w:afterAutospacing="0" w:line="218" w:lineRule="auto"/>
              <w:ind w:left="120" w:right="0"/>
              <w:rPr>
                <w:rFonts w:hint="default"/>
              </w:rPr>
            </w:pPr>
            <w:r>
              <w:rPr>
                <w:rFonts w:hint="default"/>
                <w:spacing w:val="-5"/>
              </w:rPr>
              <w:t>管程：0.4,</w:t>
            </w:r>
            <w:r>
              <w:rPr>
                <w:rFonts w:hint="default"/>
                <w:spacing w:val="-26"/>
              </w:rPr>
              <w:t xml:space="preserve"> </w:t>
            </w:r>
            <w:r>
              <w:rPr>
                <w:rFonts w:hint="default"/>
                <w:spacing w:val="-5"/>
              </w:rPr>
              <w:t>60℃</w:t>
            </w:r>
          </w:p>
          <w:p w14:paraId="688CA0A1">
            <w:pPr>
              <w:pStyle w:val="22"/>
              <w:keepNext w:val="0"/>
              <w:keepLines w:val="0"/>
              <w:suppressLineNumbers w:val="0"/>
              <w:spacing w:before="25" w:beforeAutospacing="0" w:after="0" w:afterAutospacing="0" w:line="209" w:lineRule="auto"/>
              <w:ind w:left="121" w:right="0"/>
              <w:rPr>
                <w:rFonts w:hint="default"/>
              </w:rPr>
            </w:pPr>
            <w:r>
              <w:rPr>
                <w:rFonts w:hint="default"/>
                <w:spacing w:val="-6"/>
              </w:rPr>
              <w:t>壳程：0.4,</w:t>
            </w:r>
            <w:r>
              <w:rPr>
                <w:rFonts w:hint="default"/>
                <w:spacing w:val="-17"/>
              </w:rPr>
              <w:t xml:space="preserve"> </w:t>
            </w:r>
            <w:r>
              <w:rPr>
                <w:rFonts w:hint="default"/>
                <w:spacing w:val="-6"/>
              </w:rPr>
              <w:t>60℃</w:t>
            </w:r>
          </w:p>
        </w:tc>
        <w:tc>
          <w:tcPr>
            <w:tcW w:w="1797" w:type="dxa"/>
            <w:vAlign w:val="top"/>
          </w:tcPr>
          <w:p w14:paraId="1A442C60">
            <w:pPr>
              <w:pStyle w:val="22"/>
              <w:keepNext w:val="0"/>
              <w:keepLines w:val="0"/>
              <w:suppressLineNumbers w:val="0"/>
              <w:spacing w:before="219" w:beforeAutospacing="0" w:after="0" w:afterAutospacing="0" w:line="218" w:lineRule="auto"/>
              <w:ind w:left="121" w:right="0"/>
              <w:rPr>
                <w:rFonts w:hint="default"/>
              </w:rPr>
            </w:pPr>
            <w:r>
              <w:rPr>
                <w:rFonts w:hint="default"/>
                <w:spacing w:val="-1"/>
              </w:rPr>
              <w:t>管程：0.2, 40℃</w:t>
            </w:r>
          </w:p>
          <w:p w14:paraId="1C21B463">
            <w:pPr>
              <w:pStyle w:val="22"/>
              <w:keepNext w:val="0"/>
              <w:keepLines w:val="0"/>
              <w:suppressLineNumbers w:val="0"/>
              <w:spacing w:before="25" w:beforeAutospacing="0" w:after="0" w:afterAutospacing="0" w:line="209" w:lineRule="auto"/>
              <w:ind w:left="175" w:right="0"/>
              <w:rPr>
                <w:rFonts w:hint="default"/>
              </w:rPr>
            </w:pPr>
            <w:r>
              <w:rPr>
                <w:rFonts w:hint="default"/>
                <w:spacing w:val="-1"/>
              </w:rPr>
              <w:t>壳程：0.4, 5℃</w:t>
            </w:r>
          </w:p>
        </w:tc>
        <w:tc>
          <w:tcPr>
            <w:tcW w:w="1159" w:type="dxa"/>
            <w:vAlign w:val="top"/>
          </w:tcPr>
          <w:p w14:paraId="16656380">
            <w:pPr>
              <w:keepNext w:val="0"/>
              <w:keepLines w:val="0"/>
              <w:suppressLineNumbers w:val="0"/>
              <w:spacing w:before="0" w:beforeAutospacing="0" w:after="0" w:afterAutospacing="0" w:line="287" w:lineRule="auto"/>
              <w:ind w:left="0" w:right="0"/>
              <w:rPr>
                <w:rFonts w:hint="default" w:ascii="Arial"/>
                <w:sz w:val="21"/>
              </w:rPr>
            </w:pPr>
          </w:p>
          <w:p w14:paraId="1C9FAB30">
            <w:pPr>
              <w:pStyle w:val="22"/>
              <w:keepNext w:val="0"/>
              <w:keepLines w:val="0"/>
              <w:suppressLineNumbers w:val="0"/>
              <w:spacing w:before="68" w:beforeAutospacing="0" w:after="0" w:afterAutospacing="0" w:line="221" w:lineRule="auto"/>
              <w:ind w:left="482" w:right="0"/>
              <w:rPr>
                <w:rFonts w:hint="default"/>
              </w:rPr>
            </w:pPr>
            <w:r>
              <w:rPr>
                <w:rFonts w:hint="default"/>
              </w:rPr>
              <w:t>钛</w:t>
            </w:r>
          </w:p>
        </w:tc>
        <w:tc>
          <w:tcPr>
            <w:tcW w:w="1667" w:type="dxa"/>
            <w:vAlign w:val="top"/>
          </w:tcPr>
          <w:p w14:paraId="796962D1">
            <w:pPr>
              <w:keepNext w:val="0"/>
              <w:keepLines w:val="0"/>
              <w:suppressLineNumbers w:val="0"/>
              <w:spacing w:before="0" w:beforeAutospacing="0" w:after="0" w:afterAutospacing="0" w:line="286" w:lineRule="auto"/>
              <w:ind w:left="0" w:right="0"/>
              <w:rPr>
                <w:rFonts w:hint="default" w:ascii="Arial"/>
                <w:sz w:val="21"/>
              </w:rPr>
            </w:pPr>
          </w:p>
          <w:p w14:paraId="31E1F97C">
            <w:pPr>
              <w:pStyle w:val="22"/>
              <w:keepNext w:val="0"/>
              <w:keepLines w:val="0"/>
              <w:suppressLineNumbers w:val="0"/>
              <w:spacing w:before="68" w:beforeAutospacing="0" w:after="0" w:afterAutospacing="0" w:line="221" w:lineRule="auto"/>
              <w:ind w:left="160" w:right="0"/>
              <w:rPr>
                <w:rFonts w:hint="default"/>
              </w:rPr>
            </w:pPr>
            <w:r>
              <w:rPr>
                <w:rFonts w:hint="default"/>
                <w:spacing w:val="-1"/>
              </w:rPr>
              <w:t>蚀刻液/冷冻水</w:t>
            </w:r>
          </w:p>
        </w:tc>
        <w:tc>
          <w:tcPr>
            <w:tcW w:w="680" w:type="dxa"/>
            <w:vAlign w:val="top"/>
          </w:tcPr>
          <w:p w14:paraId="18BEB78B">
            <w:pPr>
              <w:keepNext w:val="0"/>
              <w:keepLines w:val="0"/>
              <w:suppressLineNumbers w:val="0"/>
              <w:spacing w:before="0" w:beforeAutospacing="0" w:after="0" w:afterAutospacing="0" w:line="320" w:lineRule="auto"/>
              <w:ind w:left="0" w:right="0"/>
              <w:rPr>
                <w:rFonts w:hint="default" w:ascii="Arial"/>
                <w:sz w:val="21"/>
              </w:rPr>
            </w:pPr>
          </w:p>
          <w:p w14:paraId="1EB1848C">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72545C7D">
            <w:pPr>
              <w:keepNext w:val="0"/>
              <w:keepLines w:val="0"/>
              <w:suppressLineNumbers w:val="0"/>
              <w:spacing w:before="0" w:beforeAutospacing="0" w:after="0" w:afterAutospacing="0" w:line="286" w:lineRule="auto"/>
              <w:ind w:left="0" w:right="0"/>
              <w:rPr>
                <w:rFonts w:hint="default" w:ascii="Arial"/>
                <w:sz w:val="21"/>
              </w:rPr>
            </w:pPr>
          </w:p>
          <w:p w14:paraId="6AF48D8B">
            <w:pPr>
              <w:pStyle w:val="22"/>
              <w:keepNext w:val="0"/>
              <w:keepLines w:val="0"/>
              <w:suppressLineNumbers w:val="0"/>
              <w:spacing w:before="68" w:beforeAutospacing="0" w:after="0" w:afterAutospacing="0" w:line="221" w:lineRule="auto"/>
              <w:ind w:left="271" w:right="0"/>
              <w:rPr>
                <w:rFonts w:hint="default"/>
              </w:rPr>
            </w:pPr>
            <w:r>
              <w:rPr>
                <w:rFonts w:hint="default"/>
                <w:spacing w:val="-3"/>
              </w:rPr>
              <w:t>温度计，压力表</w:t>
            </w:r>
          </w:p>
        </w:tc>
      </w:tr>
      <w:tr w14:paraId="7473F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588" w:type="dxa"/>
            <w:vAlign w:val="top"/>
          </w:tcPr>
          <w:p w14:paraId="7918B39A">
            <w:pPr>
              <w:keepNext w:val="0"/>
              <w:keepLines w:val="0"/>
              <w:suppressLineNumbers w:val="0"/>
              <w:spacing w:before="0" w:beforeAutospacing="0" w:after="0" w:afterAutospacing="0" w:line="456" w:lineRule="auto"/>
              <w:ind w:left="0" w:right="0"/>
              <w:rPr>
                <w:rFonts w:hint="default" w:ascii="Arial"/>
                <w:sz w:val="21"/>
              </w:rPr>
            </w:pPr>
          </w:p>
          <w:p w14:paraId="638F3CE1">
            <w:pPr>
              <w:pStyle w:val="22"/>
              <w:keepNext w:val="0"/>
              <w:keepLines w:val="0"/>
              <w:suppressLineNumbers w:val="0"/>
              <w:spacing w:before="68" w:beforeAutospacing="0" w:after="0" w:afterAutospacing="0" w:line="182" w:lineRule="auto"/>
              <w:ind w:left="118" w:right="0"/>
              <w:rPr>
                <w:rFonts w:hint="default"/>
              </w:rPr>
            </w:pPr>
            <w:r>
              <w:rPr>
                <w:rFonts w:hint="default"/>
                <w:spacing w:val="-3"/>
              </w:rPr>
              <w:t>2.</w:t>
            </w:r>
          </w:p>
        </w:tc>
        <w:tc>
          <w:tcPr>
            <w:tcW w:w="1286" w:type="dxa"/>
            <w:vAlign w:val="top"/>
          </w:tcPr>
          <w:p w14:paraId="5D087789">
            <w:pPr>
              <w:keepNext w:val="0"/>
              <w:keepLines w:val="0"/>
              <w:suppressLineNumbers w:val="0"/>
              <w:spacing w:before="0" w:beforeAutospacing="0" w:after="0" w:afterAutospacing="0" w:line="455" w:lineRule="auto"/>
              <w:ind w:left="0" w:right="0"/>
              <w:rPr>
                <w:rFonts w:hint="default" w:ascii="Arial"/>
                <w:sz w:val="21"/>
              </w:rPr>
            </w:pPr>
          </w:p>
          <w:p w14:paraId="4A1FBE2F">
            <w:pPr>
              <w:pStyle w:val="22"/>
              <w:keepNext w:val="0"/>
              <w:keepLines w:val="0"/>
              <w:suppressLineNumbers w:val="0"/>
              <w:spacing w:before="68" w:beforeAutospacing="0" w:after="0" w:afterAutospacing="0" w:line="183" w:lineRule="auto"/>
              <w:ind w:left="223" w:right="0"/>
              <w:rPr>
                <w:rFonts w:hint="default"/>
              </w:rPr>
            </w:pPr>
            <w:r>
              <w:rPr>
                <w:rFonts w:hint="default"/>
                <w:spacing w:val="-1"/>
              </w:rPr>
              <w:t>E120101A</w:t>
            </w:r>
          </w:p>
        </w:tc>
        <w:tc>
          <w:tcPr>
            <w:tcW w:w="1492" w:type="dxa"/>
            <w:vAlign w:val="top"/>
          </w:tcPr>
          <w:p w14:paraId="0F660238">
            <w:pPr>
              <w:keepNext w:val="0"/>
              <w:keepLines w:val="0"/>
              <w:suppressLineNumbers w:val="0"/>
              <w:spacing w:before="0" w:beforeAutospacing="0" w:after="0" w:afterAutospacing="0" w:line="421" w:lineRule="auto"/>
              <w:ind w:left="0" w:right="0"/>
              <w:rPr>
                <w:rFonts w:hint="default" w:ascii="Arial"/>
                <w:sz w:val="21"/>
              </w:rPr>
            </w:pPr>
          </w:p>
          <w:p w14:paraId="4216B36D">
            <w:pPr>
              <w:pStyle w:val="22"/>
              <w:keepNext w:val="0"/>
              <w:keepLines w:val="0"/>
              <w:suppressLineNumbers w:val="0"/>
              <w:spacing w:before="68" w:beforeAutospacing="0" w:after="0" w:afterAutospacing="0" w:line="221" w:lineRule="auto"/>
              <w:ind w:left="113" w:right="0"/>
              <w:rPr>
                <w:rFonts w:hint="default"/>
              </w:rPr>
            </w:pPr>
            <w:r>
              <w:rPr>
                <w:rFonts w:hint="default"/>
                <w:spacing w:val="-2"/>
              </w:rPr>
              <w:t>液氨汽化器</w:t>
            </w:r>
          </w:p>
        </w:tc>
        <w:tc>
          <w:tcPr>
            <w:tcW w:w="2117" w:type="dxa"/>
            <w:vAlign w:val="top"/>
          </w:tcPr>
          <w:p w14:paraId="368C61A6">
            <w:pPr>
              <w:keepNext w:val="0"/>
              <w:keepLines w:val="0"/>
              <w:suppressLineNumbers w:val="0"/>
              <w:spacing w:before="0" w:beforeAutospacing="0" w:after="0" w:afterAutospacing="0" w:line="435" w:lineRule="auto"/>
              <w:ind w:left="0" w:right="0"/>
              <w:rPr>
                <w:rFonts w:hint="default" w:ascii="Arial"/>
                <w:sz w:val="21"/>
              </w:rPr>
            </w:pPr>
          </w:p>
          <w:p w14:paraId="6D25AB67">
            <w:pPr>
              <w:pStyle w:val="22"/>
              <w:keepNext w:val="0"/>
              <w:keepLines w:val="0"/>
              <w:suppressLineNumbers w:val="0"/>
              <w:spacing w:before="62" w:beforeAutospacing="0" w:after="0" w:afterAutospacing="0" w:line="251" w:lineRule="exact"/>
              <w:ind w:left="204" w:right="0"/>
              <w:rPr>
                <w:rFonts w:hint="default"/>
                <w:sz w:val="19"/>
                <w:szCs w:val="19"/>
              </w:rPr>
            </w:pPr>
            <w:r>
              <w:rPr>
                <w:rFonts w:hint="default"/>
                <w:position w:val="1"/>
                <w:sz w:val="19"/>
                <w:szCs w:val="19"/>
              </w:rPr>
              <w:t>DN</w:t>
            </w:r>
            <w:r>
              <w:rPr>
                <w:rFonts w:hint="default"/>
                <w:spacing w:val="6"/>
                <w:position w:val="1"/>
                <w:sz w:val="19"/>
                <w:szCs w:val="19"/>
              </w:rPr>
              <w:t>1600</w:t>
            </w:r>
            <w:r>
              <w:rPr>
                <w:rFonts w:hint="default" w:ascii="Times New Roman" w:hAnsi="Times New Roman" w:eastAsia="Times New Roman" w:cs="Times New Roman"/>
                <w:spacing w:val="6"/>
                <w:position w:val="1"/>
                <w:sz w:val="19"/>
                <w:szCs w:val="19"/>
              </w:rPr>
              <w:t>×</w:t>
            </w:r>
            <w:r>
              <w:rPr>
                <w:rFonts w:hint="default"/>
                <w:spacing w:val="6"/>
                <w:position w:val="1"/>
                <w:sz w:val="19"/>
                <w:szCs w:val="19"/>
              </w:rPr>
              <w:t>3000(卧式)</w:t>
            </w:r>
          </w:p>
        </w:tc>
        <w:tc>
          <w:tcPr>
            <w:tcW w:w="1727" w:type="dxa"/>
            <w:vAlign w:val="top"/>
          </w:tcPr>
          <w:p w14:paraId="6386F387">
            <w:pPr>
              <w:pStyle w:val="22"/>
              <w:keepNext w:val="0"/>
              <w:keepLines w:val="0"/>
              <w:suppressLineNumbers w:val="0"/>
              <w:spacing w:before="220" w:beforeAutospacing="0" w:after="0" w:afterAutospacing="0" w:line="218" w:lineRule="auto"/>
              <w:ind w:left="348" w:right="0"/>
              <w:rPr>
                <w:rFonts w:hint="default"/>
              </w:rPr>
            </w:pPr>
            <w:r>
              <w:rPr>
                <w:rFonts w:hint="default"/>
                <w:spacing w:val="-2"/>
              </w:rPr>
              <w:t>管程：0.4,</w:t>
            </w:r>
          </w:p>
          <w:p w14:paraId="451C8CA3">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100℃壳程：0.5,</w:t>
            </w:r>
          </w:p>
          <w:p w14:paraId="5BDFEB9D">
            <w:pPr>
              <w:pStyle w:val="22"/>
              <w:keepNext w:val="0"/>
              <w:keepLines w:val="0"/>
              <w:suppressLineNumbers w:val="0"/>
              <w:spacing w:before="25" w:beforeAutospacing="0" w:after="0" w:afterAutospacing="0" w:line="206" w:lineRule="auto"/>
              <w:ind w:left="659" w:right="0"/>
              <w:rPr>
                <w:rFonts w:hint="default"/>
              </w:rPr>
            </w:pPr>
            <w:r>
              <w:rPr>
                <w:rFonts w:hint="default"/>
                <w:spacing w:val="-3"/>
              </w:rPr>
              <w:t>60℃</w:t>
            </w:r>
          </w:p>
        </w:tc>
        <w:tc>
          <w:tcPr>
            <w:tcW w:w="1797" w:type="dxa"/>
            <w:vAlign w:val="top"/>
          </w:tcPr>
          <w:p w14:paraId="1391EBA9">
            <w:pPr>
              <w:keepNext w:val="0"/>
              <w:keepLines w:val="0"/>
              <w:suppressLineNumbers w:val="0"/>
              <w:spacing w:before="0" w:beforeAutospacing="0" w:after="0" w:afterAutospacing="0" w:line="285" w:lineRule="auto"/>
              <w:ind w:left="0" w:right="0"/>
              <w:rPr>
                <w:rFonts w:hint="default" w:ascii="Arial"/>
                <w:sz w:val="21"/>
              </w:rPr>
            </w:pPr>
          </w:p>
          <w:p w14:paraId="61CBE48D">
            <w:pPr>
              <w:pStyle w:val="22"/>
              <w:keepNext w:val="0"/>
              <w:keepLines w:val="0"/>
              <w:suppressLineNumbers w:val="0"/>
              <w:spacing w:before="68" w:beforeAutospacing="0" w:after="0" w:afterAutospacing="0" w:line="218" w:lineRule="auto"/>
              <w:ind w:left="119" w:right="0"/>
              <w:rPr>
                <w:rFonts w:hint="default"/>
              </w:rPr>
            </w:pPr>
            <w:r>
              <w:rPr>
                <w:rFonts w:hint="default"/>
                <w:spacing w:val="-1"/>
              </w:rPr>
              <w:t>管程：0.2, 60℃</w:t>
            </w:r>
          </w:p>
          <w:p w14:paraId="5CDB469C">
            <w:pPr>
              <w:pStyle w:val="22"/>
              <w:keepNext w:val="0"/>
              <w:keepLines w:val="0"/>
              <w:suppressLineNumbers w:val="0"/>
              <w:spacing w:before="25" w:beforeAutospacing="0" w:after="0" w:afterAutospacing="0" w:line="218" w:lineRule="auto"/>
              <w:ind w:left="119" w:right="0"/>
              <w:rPr>
                <w:rFonts w:hint="default"/>
              </w:rPr>
            </w:pPr>
            <w:r>
              <w:rPr>
                <w:rFonts w:hint="default"/>
                <w:spacing w:val="-1"/>
              </w:rPr>
              <w:t>壳程：0.4, 60℃</w:t>
            </w:r>
          </w:p>
        </w:tc>
        <w:tc>
          <w:tcPr>
            <w:tcW w:w="1159" w:type="dxa"/>
            <w:vAlign w:val="top"/>
          </w:tcPr>
          <w:p w14:paraId="16C5FEDB">
            <w:pPr>
              <w:keepNext w:val="0"/>
              <w:keepLines w:val="0"/>
              <w:suppressLineNumbers w:val="0"/>
              <w:spacing w:before="0" w:beforeAutospacing="0" w:after="0" w:afterAutospacing="0" w:line="456" w:lineRule="auto"/>
              <w:ind w:left="0" w:right="0"/>
              <w:rPr>
                <w:rFonts w:hint="default" w:ascii="Arial"/>
                <w:sz w:val="21"/>
              </w:rPr>
            </w:pPr>
          </w:p>
          <w:p w14:paraId="083B4196">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75BFEC14">
            <w:pPr>
              <w:keepNext w:val="0"/>
              <w:keepLines w:val="0"/>
              <w:suppressLineNumbers w:val="0"/>
              <w:spacing w:before="0" w:beforeAutospacing="0" w:after="0" w:afterAutospacing="0" w:line="420" w:lineRule="auto"/>
              <w:ind w:left="0" w:right="0"/>
              <w:rPr>
                <w:rFonts w:hint="default" w:ascii="Arial"/>
                <w:sz w:val="21"/>
              </w:rPr>
            </w:pPr>
          </w:p>
          <w:p w14:paraId="2652731A">
            <w:pPr>
              <w:pStyle w:val="22"/>
              <w:keepNext w:val="0"/>
              <w:keepLines w:val="0"/>
              <w:suppressLineNumbers w:val="0"/>
              <w:spacing w:before="69" w:beforeAutospacing="0" w:after="0" w:afterAutospacing="0" w:line="221" w:lineRule="auto"/>
              <w:ind w:left="475" w:right="0"/>
              <w:rPr>
                <w:rFonts w:hint="default"/>
              </w:rPr>
            </w:pPr>
            <w:r>
              <w:rPr>
                <w:rFonts w:hint="default"/>
                <w:spacing w:val="-2"/>
              </w:rPr>
              <w:t>氨/热水</w:t>
            </w:r>
          </w:p>
        </w:tc>
        <w:tc>
          <w:tcPr>
            <w:tcW w:w="680" w:type="dxa"/>
            <w:vAlign w:val="top"/>
          </w:tcPr>
          <w:p w14:paraId="7E6C0EE8">
            <w:pPr>
              <w:keepNext w:val="0"/>
              <w:keepLines w:val="0"/>
              <w:suppressLineNumbers w:val="0"/>
              <w:spacing w:before="0" w:beforeAutospacing="0" w:after="0" w:afterAutospacing="0" w:line="455" w:lineRule="auto"/>
              <w:ind w:left="0" w:right="0"/>
              <w:rPr>
                <w:rFonts w:hint="default" w:ascii="Arial"/>
                <w:sz w:val="21"/>
              </w:rPr>
            </w:pPr>
          </w:p>
          <w:p w14:paraId="1022AF51">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0C181C52">
            <w:pPr>
              <w:pStyle w:val="22"/>
              <w:keepNext w:val="0"/>
              <w:keepLines w:val="0"/>
              <w:suppressLineNumbers w:val="0"/>
              <w:spacing w:before="221" w:beforeAutospacing="0" w:after="0" w:afterAutospacing="0" w:line="221" w:lineRule="auto"/>
              <w:ind w:left="165" w:right="0"/>
              <w:rPr>
                <w:rFonts w:hint="default"/>
              </w:rPr>
            </w:pPr>
            <w:r>
              <w:rPr>
                <w:rFonts w:hint="default"/>
                <w:spacing w:val="-1"/>
              </w:rPr>
              <w:t>液位计、温度计、</w:t>
            </w:r>
          </w:p>
          <w:p w14:paraId="0530FF11">
            <w:pPr>
              <w:pStyle w:val="22"/>
              <w:keepNext w:val="0"/>
              <w:keepLines w:val="0"/>
              <w:suppressLineNumbers w:val="0"/>
              <w:spacing w:before="19" w:beforeAutospacing="0" w:after="0" w:afterAutospacing="0" w:line="223" w:lineRule="auto"/>
              <w:ind w:left="498" w:right="178" w:hanging="307"/>
              <w:rPr>
                <w:rFonts w:hint="default"/>
              </w:rPr>
            </w:pPr>
            <w:r>
              <w:rPr>
                <w:rFonts w:hint="default"/>
                <w:spacing w:val="-2"/>
              </w:rPr>
              <w:t>压力表、1</w:t>
            </w:r>
            <w:r>
              <w:rPr>
                <w:rFonts w:hint="default"/>
                <w:spacing w:val="-45"/>
              </w:rPr>
              <w:t xml:space="preserve"> </w:t>
            </w:r>
            <w:r>
              <w:rPr>
                <w:rFonts w:hint="default"/>
                <w:spacing w:val="-2"/>
              </w:rPr>
              <w:t>个安全</w:t>
            </w:r>
            <w:r>
              <w:rPr>
                <w:rFonts w:hint="default"/>
              </w:rPr>
              <w:t xml:space="preserve"> </w:t>
            </w:r>
            <w:r>
              <w:rPr>
                <w:rFonts w:hint="default"/>
                <w:spacing w:val="-5"/>
              </w:rPr>
              <w:t>阀，切断阀</w:t>
            </w:r>
          </w:p>
        </w:tc>
      </w:tr>
      <w:tr w14:paraId="36EDF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8" w:type="dxa"/>
            <w:vAlign w:val="top"/>
          </w:tcPr>
          <w:p w14:paraId="3FB7FE8A">
            <w:pPr>
              <w:keepNext w:val="0"/>
              <w:keepLines w:val="0"/>
              <w:suppressLineNumbers w:val="0"/>
              <w:spacing w:before="0" w:beforeAutospacing="0" w:after="0" w:afterAutospacing="0" w:line="323" w:lineRule="auto"/>
              <w:ind w:left="0" w:right="0"/>
              <w:rPr>
                <w:rFonts w:hint="default" w:ascii="Arial"/>
                <w:sz w:val="21"/>
              </w:rPr>
            </w:pPr>
          </w:p>
          <w:p w14:paraId="3010793A">
            <w:pPr>
              <w:pStyle w:val="22"/>
              <w:keepNext w:val="0"/>
              <w:keepLines w:val="0"/>
              <w:suppressLineNumbers w:val="0"/>
              <w:spacing w:before="68" w:beforeAutospacing="0" w:after="0" w:afterAutospacing="0" w:line="182" w:lineRule="auto"/>
              <w:ind w:left="120" w:right="0"/>
              <w:rPr>
                <w:rFonts w:hint="default"/>
              </w:rPr>
            </w:pPr>
            <w:r>
              <w:rPr>
                <w:rFonts w:hint="default"/>
                <w:spacing w:val="-3"/>
              </w:rPr>
              <w:t>3.</w:t>
            </w:r>
          </w:p>
        </w:tc>
        <w:tc>
          <w:tcPr>
            <w:tcW w:w="1286" w:type="dxa"/>
            <w:vAlign w:val="top"/>
          </w:tcPr>
          <w:p w14:paraId="2CA7D333">
            <w:pPr>
              <w:keepNext w:val="0"/>
              <w:keepLines w:val="0"/>
              <w:suppressLineNumbers w:val="0"/>
              <w:spacing w:before="0" w:beforeAutospacing="0" w:after="0" w:afterAutospacing="0" w:line="321" w:lineRule="auto"/>
              <w:ind w:left="0" w:right="0"/>
              <w:rPr>
                <w:rFonts w:hint="default" w:ascii="Arial"/>
                <w:sz w:val="21"/>
              </w:rPr>
            </w:pPr>
          </w:p>
          <w:p w14:paraId="376FBB10">
            <w:pPr>
              <w:pStyle w:val="22"/>
              <w:keepNext w:val="0"/>
              <w:keepLines w:val="0"/>
              <w:suppressLineNumbers w:val="0"/>
              <w:spacing w:before="69" w:beforeAutospacing="0" w:after="0" w:afterAutospacing="0" w:line="183" w:lineRule="auto"/>
              <w:ind w:left="118" w:right="0"/>
              <w:rPr>
                <w:rFonts w:hint="default"/>
              </w:rPr>
            </w:pPr>
            <w:r>
              <w:rPr>
                <w:rFonts w:hint="default"/>
                <w:spacing w:val="-1"/>
              </w:rPr>
              <w:t>T120101A-C</w:t>
            </w:r>
          </w:p>
        </w:tc>
        <w:tc>
          <w:tcPr>
            <w:tcW w:w="1492" w:type="dxa"/>
            <w:vAlign w:val="top"/>
          </w:tcPr>
          <w:p w14:paraId="6D0B9727">
            <w:pPr>
              <w:pStyle w:val="22"/>
              <w:keepNext w:val="0"/>
              <w:keepLines w:val="0"/>
              <w:suppressLineNumbers w:val="0"/>
              <w:spacing w:before="221" w:beforeAutospacing="0" w:after="0" w:afterAutospacing="0" w:line="224" w:lineRule="auto"/>
              <w:ind w:left="112" w:right="120"/>
              <w:rPr>
                <w:rFonts w:hint="default"/>
              </w:rPr>
            </w:pPr>
            <w:r>
              <w:rPr>
                <w:rFonts w:hint="default"/>
                <w:spacing w:val="-2"/>
              </w:rPr>
              <w:t>气氨一级净化</w:t>
            </w:r>
            <w:r>
              <w:rPr>
                <w:rFonts w:hint="default"/>
                <w:spacing w:val="4"/>
              </w:rPr>
              <w:t xml:space="preserve"> </w:t>
            </w:r>
            <w:r>
              <w:rPr>
                <w:rFonts w:hint="default"/>
              </w:rPr>
              <w:t>塔</w:t>
            </w:r>
          </w:p>
        </w:tc>
        <w:tc>
          <w:tcPr>
            <w:tcW w:w="2117" w:type="dxa"/>
            <w:vAlign w:val="top"/>
          </w:tcPr>
          <w:p w14:paraId="626585C0">
            <w:pPr>
              <w:keepNext w:val="0"/>
              <w:keepLines w:val="0"/>
              <w:suppressLineNumbers w:val="0"/>
              <w:spacing w:before="0" w:beforeAutospacing="0" w:after="0" w:afterAutospacing="0" w:line="302" w:lineRule="auto"/>
              <w:ind w:left="0" w:right="0"/>
              <w:rPr>
                <w:rFonts w:hint="default" w:ascii="Arial"/>
                <w:sz w:val="21"/>
              </w:rPr>
            </w:pPr>
          </w:p>
          <w:p w14:paraId="5B3A3FED">
            <w:pPr>
              <w:pStyle w:val="22"/>
              <w:keepNext w:val="0"/>
              <w:keepLines w:val="0"/>
              <w:suppressLineNumbers w:val="0"/>
              <w:spacing w:before="62" w:beforeAutospacing="0" w:after="0" w:afterAutospacing="0" w:line="255" w:lineRule="exact"/>
              <w:ind w:left="511" w:right="0"/>
              <w:rPr>
                <w:rFonts w:hint="default"/>
                <w:sz w:val="19"/>
                <w:szCs w:val="19"/>
              </w:rPr>
            </w:pPr>
            <w:r>
              <w:rPr>
                <w:rFonts w:hint="default"/>
                <w:position w:val="1"/>
                <w:sz w:val="19"/>
                <w:szCs w:val="19"/>
              </w:rPr>
              <w:t>DN</w:t>
            </w:r>
            <w:r>
              <w:rPr>
                <w:rFonts w:hint="default"/>
                <w:spacing w:val="6"/>
                <w:position w:val="1"/>
                <w:sz w:val="19"/>
                <w:szCs w:val="19"/>
              </w:rPr>
              <w:t>500×6000</w:t>
            </w:r>
          </w:p>
        </w:tc>
        <w:tc>
          <w:tcPr>
            <w:tcW w:w="1727" w:type="dxa"/>
            <w:vAlign w:val="top"/>
          </w:tcPr>
          <w:p w14:paraId="1B0D99C8">
            <w:pPr>
              <w:keepNext w:val="0"/>
              <w:keepLines w:val="0"/>
              <w:suppressLineNumbers w:val="0"/>
              <w:spacing w:before="0" w:beforeAutospacing="0" w:after="0" w:afterAutospacing="0" w:line="287" w:lineRule="auto"/>
              <w:ind w:left="0" w:right="0"/>
              <w:rPr>
                <w:rFonts w:hint="default" w:ascii="Arial"/>
                <w:sz w:val="21"/>
              </w:rPr>
            </w:pPr>
          </w:p>
          <w:p w14:paraId="47F26903">
            <w:pPr>
              <w:pStyle w:val="22"/>
              <w:keepNext w:val="0"/>
              <w:keepLines w:val="0"/>
              <w:suppressLineNumbers w:val="0"/>
              <w:spacing w:before="68" w:beforeAutospacing="0" w:after="0" w:afterAutospacing="0" w:line="218" w:lineRule="auto"/>
              <w:ind w:left="450" w:right="0"/>
              <w:rPr>
                <w:rFonts w:hint="default"/>
              </w:rPr>
            </w:pPr>
            <w:r>
              <w:rPr>
                <w:rFonts w:hint="default"/>
                <w:spacing w:val="-1"/>
              </w:rPr>
              <w:t>0.3,80℃</w:t>
            </w:r>
          </w:p>
        </w:tc>
        <w:tc>
          <w:tcPr>
            <w:tcW w:w="1797" w:type="dxa"/>
            <w:vAlign w:val="top"/>
          </w:tcPr>
          <w:p w14:paraId="685EC56A">
            <w:pPr>
              <w:keepNext w:val="0"/>
              <w:keepLines w:val="0"/>
              <w:suppressLineNumbers w:val="0"/>
              <w:spacing w:before="0" w:beforeAutospacing="0" w:after="0" w:afterAutospacing="0" w:line="287" w:lineRule="auto"/>
              <w:ind w:left="0" w:right="0"/>
              <w:rPr>
                <w:rFonts w:hint="default" w:ascii="Arial"/>
                <w:sz w:val="21"/>
              </w:rPr>
            </w:pPr>
          </w:p>
          <w:p w14:paraId="2FD84DFD">
            <w:pPr>
              <w:pStyle w:val="22"/>
              <w:keepNext w:val="0"/>
              <w:keepLines w:val="0"/>
              <w:suppressLineNumbers w:val="0"/>
              <w:spacing w:before="68" w:beforeAutospacing="0" w:after="0" w:afterAutospacing="0" w:line="218" w:lineRule="auto"/>
              <w:ind w:left="432" w:right="0"/>
              <w:rPr>
                <w:rFonts w:hint="default"/>
              </w:rPr>
            </w:pPr>
            <w:r>
              <w:rPr>
                <w:rFonts w:hint="default"/>
                <w:spacing w:val="-1"/>
              </w:rPr>
              <w:t>0.15,50℃</w:t>
            </w:r>
          </w:p>
        </w:tc>
        <w:tc>
          <w:tcPr>
            <w:tcW w:w="1159" w:type="dxa"/>
            <w:vAlign w:val="top"/>
          </w:tcPr>
          <w:p w14:paraId="7923134D">
            <w:pPr>
              <w:keepNext w:val="0"/>
              <w:keepLines w:val="0"/>
              <w:suppressLineNumbers w:val="0"/>
              <w:spacing w:before="0" w:beforeAutospacing="0" w:after="0" w:afterAutospacing="0" w:line="323" w:lineRule="auto"/>
              <w:ind w:left="0" w:right="0"/>
              <w:rPr>
                <w:rFonts w:hint="default" w:ascii="Arial"/>
                <w:sz w:val="21"/>
              </w:rPr>
            </w:pPr>
          </w:p>
          <w:p w14:paraId="0ABF51D1">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133A10F5">
            <w:pPr>
              <w:keepNext w:val="0"/>
              <w:keepLines w:val="0"/>
              <w:suppressLineNumbers w:val="0"/>
              <w:spacing w:before="0" w:beforeAutospacing="0" w:after="0" w:afterAutospacing="0" w:line="288" w:lineRule="auto"/>
              <w:ind w:left="0" w:right="0"/>
              <w:rPr>
                <w:rFonts w:hint="default" w:ascii="Arial"/>
                <w:sz w:val="21"/>
              </w:rPr>
            </w:pPr>
          </w:p>
          <w:p w14:paraId="081B0F23">
            <w:pPr>
              <w:pStyle w:val="22"/>
              <w:keepNext w:val="0"/>
              <w:keepLines w:val="0"/>
              <w:suppressLineNumbers w:val="0"/>
              <w:spacing w:before="68" w:beforeAutospacing="0" w:after="0" w:afterAutospacing="0" w:line="221" w:lineRule="auto"/>
              <w:ind w:left="634" w:right="0"/>
              <w:rPr>
                <w:rFonts w:hint="default"/>
              </w:rPr>
            </w:pPr>
            <w:r>
              <w:rPr>
                <w:rFonts w:hint="default"/>
                <w:spacing w:val="-2"/>
              </w:rPr>
              <w:t>气氨</w:t>
            </w:r>
          </w:p>
        </w:tc>
        <w:tc>
          <w:tcPr>
            <w:tcW w:w="680" w:type="dxa"/>
            <w:vAlign w:val="top"/>
          </w:tcPr>
          <w:p w14:paraId="34CF18B5">
            <w:pPr>
              <w:keepNext w:val="0"/>
              <w:keepLines w:val="0"/>
              <w:suppressLineNumbers w:val="0"/>
              <w:spacing w:before="0" w:beforeAutospacing="0" w:after="0" w:afterAutospacing="0" w:line="323" w:lineRule="auto"/>
              <w:ind w:left="0" w:right="0"/>
              <w:rPr>
                <w:rFonts w:hint="default" w:ascii="Arial"/>
                <w:sz w:val="21"/>
              </w:rPr>
            </w:pPr>
          </w:p>
          <w:p w14:paraId="762844EF">
            <w:pPr>
              <w:pStyle w:val="22"/>
              <w:keepNext w:val="0"/>
              <w:keepLines w:val="0"/>
              <w:suppressLineNumbers w:val="0"/>
              <w:spacing w:before="68" w:beforeAutospacing="0" w:after="0" w:afterAutospacing="0" w:line="182" w:lineRule="auto"/>
              <w:ind w:left="300" w:right="0"/>
              <w:rPr>
                <w:rFonts w:hint="default"/>
              </w:rPr>
            </w:pPr>
            <w:r>
              <w:rPr>
                <w:rFonts w:hint="default"/>
              </w:rPr>
              <w:t>3</w:t>
            </w:r>
          </w:p>
        </w:tc>
        <w:tc>
          <w:tcPr>
            <w:tcW w:w="1996" w:type="dxa"/>
            <w:vAlign w:val="top"/>
          </w:tcPr>
          <w:p w14:paraId="3D2D1F88">
            <w:pPr>
              <w:keepNext w:val="0"/>
              <w:keepLines w:val="0"/>
              <w:suppressLineNumbers w:val="0"/>
              <w:spacing w:before="0" w:beforeAutospacing="0" w:after="0" w:afterAutospacing="0" w:line="288" w:lineRule="auto"/>
              <w:ind w:left="0" w:right="0"/>
              <w:rPr>
                <w:rFonts w:hint="default" w:ascii="Arial"/>
                <w:sz w:val="21"/>
              </w:rPr>
            </w:pPr>
          </w:p>
          <w:p w14:paraId="5A99C76F">
            <w:pPr>
              <w:pStyle w:val="22"/>
              <w:keepNext w:val="0"/>
              <w:keepLines w:val="0"/>
              <w:suppressLineNumbers w:val="0"/>
              <w:spacing w:before="68" w:beforeAutospacing="0" w:after="0" w:afterAutospacing="0" w:line="221" w:lineRule="auto"/>
              <w:ind w:left="271" w:right="0"/>
              <w:rPr>
                <w:rFonts w:hint="default"/>
              </w:rPr>
            </w:pPr>
            <w:r>
              <w:rPr>
                <w:rFonts w:hint="default"/>
                <w:spacing w:val="-1"/>
              </w:rPr>
              <w:t>温度计、液位计</w:t>
            </w:r>
          </w:p>
        </w:tc>
      </w:tr>
      <w:tr w14:paraId="5303A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588" w:type="dxa"/>
            <w:vAlign w:val="top"/>
          </w:tcPr>
          <w:p w14:paraId="0D1CB461">
            <w:pPr>
              <w:keepNext w:val="0"/>
              <w:keepLines w:val="0"/>
              <w:suppressLineNumbers w:val="0"/>
              <w:spacing w:before="0" w:beforeAutospacing="0" w:after="0" w:afterAutospacing="0" w:line="457" w:lineRule="auto"/>
              <w:ind w:left="0" w:right="0"/>
              <w:rPr>
                <w:rFonts w:hint="default" w:ascii="Arial"/>
                <w:sz w:val="21"/>
              </w:rPr>
            </w:pPr>
          </w:p>
          <w:p w14:paraId="7E9EA4D9">
            <w:pPr>
              <w:pStyle w:val="22"/>
              <w:keepNext w:val="0"/>
              <w:keepLines w:val="0"/>
              <w:suppressLineNumbers w:val="0"/>
              <w:spacing w:before="68" w:beforeAutospacing="0" w:after="0" w:afterAutospacing="0" w:line="182" w:lineRule="auto"/>
              <w:ind w:left="115" w:right="0"/>
              <w:rPr>
                <w:rFonts w:hint="default"/>
              </w:rPr>
            </w:pPr>
            <w:r>
              <w:rPr>
                <w:rFonts w:hint="default"/>
                <w:spacing w:val="-2"/>
              </w:rPr>
              <w:t>4.</w:t>
            </w:r>
          </w:p>
        </w:tc>
        <w:tc>
          <w:tcPr>
            <w:tcW w:w="1286" w:type="dxa"/>
            <w:vAlign w:val="top"/>
          </w:tcPr>
          <w:p w14:paraId="18C55C4E">
            <w:pPr>
              <w:keepNext w:val="0"/>
              <w:keepLines w:val="0"/>
              <w:suppressLineNumbers w:val="0"/>
              <w:spacing w:before="0" w:beforeAutospacing="0" w:after="0" w:afterAutospacing="0" w:line="455" w:lineRule="auto"/>
              <w:ind w:left="0" w:right="0"/>
              <w:rPr>
                <w:rFonts w:hint="default" w:ascii="Arial"/>
                <w:sz w:val="21"/>
              </w:rPr>
            </w:pPr>
          </w:p>
          <w:p w14:paraId="69132E35">
            <w:pPr>
              <w:pStyle w:val="22"/>
              <w:keepNext w:val="0"/>
              <w:keepLines w:val="0"/>
              <w:suppressLineNumbers w:val="0"/>
              <w:spacing w:before="69" w:beforeAutospacing="0" w:after="0" w:afterAutospacing="0" w:line="183" w:lineRule="auto"/>
              <w:ind w:left="223" w:right="0"/>
              <w:rPr>
                <w:rFonts w:hint="default"/>
              </w:rPr>
            </w:pPr>
            <w:r>
              <w:rPr>
                <w:rFonts w:hint="default"/>
                <w:spacing w:val="-1"/>
              </w:rPr>
              <w:t>E120102A</w:t>
            </w:r>
          </w:p>
        </w:tc>
        <w:tc>
          <w:tcPr>
            <w:tcW w:w="1492" w:type="dxa"/>
            <w:vAlign w:val="top"/>
          </w:tcPr>
          <w:p w14:paraId="73FD127F">
            <w:pPr>
              <w:keepNext w:val="0"/>
              <w:keepLines w:val="0"/>
              <w:suppressLineNumbers w:val="0"/>
              <w:spacing w:before="0" w:beforeAutospacing="0" w:after="0" w:afterAutospacing="0" w:line="286" w:lineRule="auto"/>
              <w:ind w:left="0" w:right="0"/>
              <w:rPr>
                <w:rFonts w:hint="default" w:ascii="Arial"/>
                <w:sz w:val="21"/>
              </w:rPr>
            </w:pPr>
          </w:p>
          <w:p w14:paraId="545EF9E6">
            <w:pPr>
              <w:pStyle w:val="22"/>
              <w:keepNext w:val="0"/>
              <w:keepLines w:val="0"/>
              <w:suppressLineNumbers w:val="0"/>
              <w:spacing w:before="68" w:beforeAutospacing="0" w:after="0" w:afterAutospacing="0" w:line="233" w:lineRule="auto"/>
              <w:ind w:left="112" w:right="120"/>
              <w:rPr>
                <w:rFonts w:hint="default"/>
              </w:rPr>
            </w:pPr>
            <w:r>
              <w:rPr>
                <w:rFonts w:hint="default"/>
                <w:spacing w:val="-2"/>
              </w:rPr>
              <w:t>气氨一级冷却</w:t>
            </w:r>
            <w:r>
              <w:rPr>
                <w:rFonts w:hint="default"/>
                <w:spacing w:val="4"/>
              </w:rPr>
              <w:t xml:space="preserve"> </w:t>
            </w:r>
            <w:r>
              <w:rPr>
                <w:rFonts w:hint="default"/>
              </w:rPr>
              <w:t>器</w:t>
            </w:r>
          </w:p>
        </w:tc>
        <w:tc>
          <w:tcPr>
            <w:tcW w:w="2117" w:type="dxa"/>
            <w:vAlign w:val="top"/>
          </w:tcPr>
          <w:p w14:paraId="62FDAAC2">
            <w:pPr>
              <w:keepNext w:val="0"/>
              <w:keepLines w:val="0"/>
              <w:suppressLineNumbers w:val="0"/>
              <w:spacing w:before="0" w:beforeAutospacing="0" w:after="0" w:afterAutospacing="0" w:line="469" w:lineRule="auto"/>
              <w:ind w:left="0" w:right="0"/>
              <w:rPr>
                <w:rFonts w:hint="default" w:ascii="Arial"/>
                <w:sz w:val="21"/>
              </w:rPr>
            </w:pPr>
          </w:p>
          <w:p w14:paraId="2CD57776">
            <w:pPr>
              <w:pStyle w:val="22"/>
              <w:keepNext w:val="0"/>
              <w:keepLines w:val="0"/>
              <w:suppressLineNumbers w:val="0"/>
              <w:spacing w:before="61" w:beforeAutospacing="0" w:after="0" w:afterAutospacing="0" w:line="231" w:lineRule="auto"/>
              <w:ind w:left="554" w:right="0"/>
              <w:rPr>
                <w:rFonts w:hint="default"/>
                <w:sz w:val="19"/>
                <w:szCs w:val="19"/>
              </w:rPr>
            </w:pPr>
            <w:r>
              <w:rPr>
                <w:rFonts w:hint="default"/>
                <w:sz w:val="19"/>
                <w:szCs w:val="19"/>
              </w:rPr>
              <w:t>DN</w:t>
            </w:r>
            <w:r>
              <w:rPr>
                <w:rFonts w:hint="default"/>
                <w:spacing w:val="5"/>
                <w:sz w:val="19"/>
                <w:szCs w:val="19"/>
              </w:rPr>
              <w:t>300</w:t>
            </w:r>
            <w:r>
              <w:rPr>
                <w:rFonts w:hint="default" w:ascii="Times New Roman" w:hAnsi="Times New Roman" w:eastAsia="Times New Roman" w:cs="Times New Roman"/>
                <w:spacing w:val="5"/>
                <w:sz w:val="19"/>
                <w:szCs w:val="19"/>
              </w:rPr>
              <w:t>×</w:t>
            </w:r>
            <w:r>
              <w:rPr>
                <w:rFonts w:hint="default"/>
                <w:spacing w:val="5"/>
                <w:sz w:val="19"/>
                <w:szCs w:val="19"/>
              </w:rPr>
              <w:t>3500</w:t>
            </w:r>
          </w:p>
        </w:tc>
        <w:tc>
          <w:tcPr>
            <w:tcW w:w="1727" w:type="dxa"/>
            <w:vAlign w:val="top"/>
          </w:tcPr>
          <w:p w14:paraId="7EBD7B09">
            <w:pPr>
              <w:pStyle w:val="22"/>
              <w:keepNext w:val="0"/>
              <w:keepLines w:val="0"/>
              <w:suppressLineNumbers w:val="0"/>
              <w:spacing w:before="221" w:beforeAutospacing="0" w:after="0" w:afterAutospacing="0" w:line="218" w:lineRule="auto"/>
              <w:ind w:left="348" w:right="0"/>
              <w:rPr>
                <w:rFonts w:hint="default"/>
              </w:rPr>
            </w:pPr>
            <w:r>
              <w:rPr>
                <w:rFonts w:hint="default"/>
                <w:spacing w:val="-2"/>
              </w:rPr>
              <w:t>管程：0.4,</w:t>
            </w:r>
          </w:p>
          <w:p w14:paraId="3E5958B7">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100℃壳程：0.5,</w:t>
            </w:r>
          </w:p>
          <w:p w14:paraId="6482C184">
            <w:pPr>
              <w:pStyle w:val="22"/>
              <w:keepNext w:val="0"/>
              <w:keepLines w:val="0"/>
              <w:suppressLineNumbers w:val="0"/>
              <w:spacing w:before="26" w:beforeAutospacing="0" w:after="0" w:afterAutospacing="0" w:line="205" w:lineRule="auto"/>
              <w:ind w:left="659" w:right="0"/>
              <w:rPr>
                <w:rFonts w:hint="default"/>
              </w:rPr>
            </w:pPr>
            <w:r>
              <w:rPr>
                <w:rFonts w:hint="default"/>
                <w:spacing w:val="-3"/>
              </w:rPr>
              <w:t>60℃</w:t>
            </w:r>
          </w:p>
        </w:tc>
        <w:tc>
          <w:tcPr>
            <w:tcW w:w="1797" w:type="dxa"/>
            <w:vAlign w:val="top"/>
          </w:tcPr>
          <w:p w14:paraId="076E7D39">
            <w:pPr>
              <w:keepNext w:val="0"/>
              <w:keepLines w:val="0"/>
              <w:suppressLineNumbers w:val="0"/>
              <w:spacing w:before="0" w:beforeAutospacing="0" w:after="0" w:afterAutospacing="0" w:line="285" w:lineRule="auto"/>
              <w:ind w:left="0" w:right="0"/>
              <w:rPr>
                <w:rFonts w:hint="default" w:ascii="Arial"/>
                <w:sz w:val="21"/>
              </w:rPr>
            </w:pPr>
          </w:p>
          <w:p w14:paraId="334E074F">
            <w:pPr>
              <w:pStyle w:val="22"/>
              <w:keepNext w:val="0"/>
              <w:keepLines w:val="0"/>
              <w:suppressLineNumbers w:val="0"/>
              <w:spacing w:before="68" w:beforeAutospacing="0" w:after="0" w:afterAutospacing="0" w:line="218" w:lineRule="auto"/>
              <w:ind w:left="119" w:right="0"/>
              <w:rPr>
                <w:rFonts w:hint="default"/>
              </w:rPr>
            </w:pPr>
            <w:r>
              <w:rPr>
                <w:rFonts w:hint="default"/>
                <w:spacing w:val="-1"/>
              </w:rPr>
              <w:t>管程：0.2, 60℃</w:t>
            </w:r>
          </w:p>
          <w:p w14:paraId="42B6B0B7">
            <w:pPr>
              <w:pStyle w:val="22"/>
              <w:keepNext w:val="0"/>
              <w:keepLines w:val="0"/>
              <w:suppressLineNumbers w:val="0"/>
              <w:spacing w:before="25" w:beforeAutospacing="0" w:after="0" w:afterAutospacing="0" w:line="218" w:lineRule="auto"/>
              <w:ind w:left="119" w:right="0"/>
              <w:rPr>
                <w:rFonts w:hint="default"/>
              </w:rPr>
            </w:pPr>
            <w:r>
              <w:rPr>
                <w:rFonts w:hint="default"/>
                <w:spacing w:val="-1"/>
              </w:rPr>
              <w:t>壳程：0.4, 5℃</w:t>
            </w:r>
          </w:p>
        </w:tc>
        <w:tc>
          <w:tcPr>
            <w:tcW w:w="1159" w:type="dxa"/>
            <w:vAlign w:val="top"/>
          </w:tcPr>
          <w:p w14:paraId="78699525">
            <w:pPr>
              <w:keepNext w:val="0"/>
              <w:keepLines w:val="0"/>
              <w:suppressLineNumbers w:val="0"/>
              <w:spacing w:before="0" w:beforeAutospacing="0" w:after="0" w:afterAutospacing="0" w:line="457" w:lineRule="auto"/>
              <w:ind w:left="0" w:right="0"/>
              <w:rPr>
                <w:rFonts w:hint="default" w:ascii="Arial"/>
                <w:sz w:val="21"/>
              </w:rPr>
            </w:pPr>
          </w:p>
          <w:p w14:paraId="63B96942">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4EDDEC4A">
            <w:pPr>
              <w:keepNext w:val="0"/>
              <w:keepLines w:val="0"/>
              <w:suppressLineNumbers w:val="0"/>
              <w:spacing w:before="0" w:beforeAutospacing="0" w:after="0" w:afterAutospacing="0" w:line="421" w:lineRule="auto"/>
              <w:ind w:left="0" w:right="0"/>
              <w:rPr>
                <w:rFonts w:hint="default" w:ascii="Arial"/>
                <w:sz w:val="21"/>
              </w:rPr>
            </w:pPr>
          </w:p>
          <w:p w14:paraId="24414FC9">
            <w:pPr>
              <w:pStyle w:val="22"/>
              <w:keepNext w:val="0"/>
              <w:keepLines w:val="0"/>
              <w:suppressLineNumbers w:val="0"/>
              <w:spacing w:before="68" w:beforeAutospacing="0" w:after="0" w:afterAutospacing="0" w:line="221" w:lineRule="auto"/>
              <w:ind w:left="266" w:right="0"/>
              <w:rPr>
                <w:rFonts w:hint="default"/>
              </w:rPr>
            </w:pPr>
            <w:r>
              <w:rPr>
                <w:rFonts w:hint="default"/>
                <w:spacing w:val="-1"/>
              </w:rPr>
              <w:t>氨水/冷冻水</w:t>
            </w:r>
          </w:p>
        </w:tc>
        <w:tc>
          <w:tcPr>
            <w:tcW w:w="680" w:type="dxa"/>
            <w:vAlign w:val="top"/>
          </w:tcPr>
          <w:p w14:paraId="741D34F8">
            <w:pPr>
              <w:keepNext w:val="0"/>
              <w:keepLines w:val="0"/>
              <w:suppressLineNumbers w:val="0"/>
              <w:spacing w:before="0" w:beforeAutospacing="0" w:after="0" w:afterAutospacing="0" w:line="457" w:lineRule="auto"/>
              <w:ind w:left="0" w:right="0"/>
              <w:rPr>
                <w:rFonts w:hint="default" w:ascii="Arial"/>
                <w:sz w:val="21"/>
              </w:rPr>
            </w:pPr>
          </w:p>
          <w:p w14:paraId="2F13E368">
            <w:pPr>
              <w:pStyle w:val="22"/>
              <w:keepNext w:val="0"/>
              <w:keepLines w:val="0"/>
              <w:suppressLineNumbers w:val="0"/>
              <w:spacing w:before="68" w:beforeAutospacing="0" w:after="0" w:afterAutospacing="0" w:line="182" w:lineRule="auto"/>
              <w:ind w:left="300" w:right="0"/>
              <w:rPr>
                <w:rFonts w:hint="default"/>
              </w:rPr>
            </w:pPr>
            <w:r>
              <w:rPr>
                <w:rFonts w:hint="default"/>
              </w:rPr>
              <w:t>3</w:t>
            </w:r>
          </w:p>
        </w:tc>
        <w:tc>
          <w:tcPr>
            <w:tcW w:w="1996" w:type="dxa"/>
            <w:vAlign w:val="top"/>
          </w:tcPr>
          <w:p w14:paraId="75D2F245">
            <w:pPr>
              <w:keepNext w:val="0"/>
              <w:keepLines w:val="0"/>
              <w:suppressLineNumbers w:val="0"/>
              <w:spacing w:before="0" w:beforeAutospacing="0" w:after="0" w:afterAutospacing="0" w:line="422" w:lineRule="auto"/>
              <w:ind w:left="0" w:right="0"/>
              <w:rPr>
                <w:rFonts w:hint="default" w:ascii="Arial"/>
                <w:sz w:val="21"/>
              </w:rPr>
            </w:pPr>
          </w:p>
          <w:p w14:paraId="17D5DE16">
            <w:pPr>
              <w:pStyle w:val="22"/>
              <w:keepNext w:val="0"/>
              <w:keepLines w:val="0"/>
              <w:suppressLineNumbers w:val="0"/>
              <w:spacing w:before="68" w:beforeAutospacing="0" w:after="0" w:afterAutospacing="0" w:line="221" w:lineRule="auto"/>
              <w:ind w:left="271" w:right="0"/>
              <w:rPr>
                <w:rFonts w:hint="default"/>
              </w:rPr>
            </w:pPr>
            <w:r>
              <w:rPr>
                <w:rFonts w:hint="default"/>
                <w:spacing w:val="-1"/>
              </w:rPr>
              <w:t>温度计、液位计</w:t>
            </w:r>
          </w:p>
        </w:tc>
      </w:tr>
      <w:tr w14:paraId="21A78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88" w:type="dxa"/>
            <w:vAlign w:val="top"/>
          </w:tcPr>
          <w:p w14:paraId="79C48845">
            <w:pPr>
              <w:keepNext w:val="0"/>
              <w:keepLines w:val="0"/>
              <w:suppressLineNumbers w:val="0"/>
              <w:spacing w:before="0" w:beforeAutospacing="0" w:after="0" w:afterAutospacing="0" w:line="325" w:lineRule="auto"/>
              <w:ind w:left="0" w:right="0"/>
              <w:rPr>
                <w:rFonts w:hint="default" w:ascii="Arial"/>
                <w:sz w:val="21"/>
              </w:rPr>
            </w:pPr>
          </w:p>
          <w:p w14:paraId="3276A174">
            <w:pPr>
              <w:pStyle w:val="22"/>
              <w:keepNext w:val="0"/>
              <w:keepLines w:val="0"/>
              <w:suppressLineNumbers w:val="0"/>
              <w:spacing w:before="68" w:beforeAutospacing="0" w:after="0" w:afterAutospacing="0" w:line="181" w:lineRule="auto"/>
              <w:ind w:left="120" w:right="0"/>
              <w:rPr>
                <w:rFonts w:hint="default"/>
              </w:rPr>
            </w:pPr>
            <w:r>
              <w:rPr>
                <w:rFonts w:hint="default"/>
                <w:spacing w:val="-3"/>
              </w:rPr>
              <w:t>5.</w:t>
            </w:r>
          </w:p>
        </w:tc>
        <w:tc>
          <w:tcPr>
            <w:tcW w:w="1286" w:type="dxa"/>
            <w:vAlign w:val="top"/>
          </w:tcPr>
          <w:p w14:paraId="00C4CC82">
            <w:pPr>
              <w:keepNext w:val="0"/>
              <w:keepLines w:val="0"/>
              <w:suppressLineNumbers w:val="0"/>
              <w:spacing w:before="0" w:beforeAutospacing="0" w:after="0" w:afterAutospacing="0" w:line="322" w:lineRule="auto"/>
              <w:ind w:left="0" w:right="0"/>
              <w:rPr>
                <w:rFonts w:hint="default" w:ascii="Arial"/>
                <w:sz w:val="21"/>
              </w:rPr>
            </w:pPr>
          </w:p>
          <w:p w14:paraId="6C1481E0">
            <w:pPr>
              <w:pStyle w:val="22"/>
              <w:keepNext w:val="0"/>
              <w:keepLines w:val="0"/>
              <w:suppressLineNumbers w:val="0"/>
              <w:spacing w:before="69" w:beforeAutospacing="0" w:after="0" w:afterAutospacing="0" w:line="183" w:lineRule="auto"/>
              <w:ind w:left="118" w:right="0"/>
              <w:rPr>
                <w:rFonts w:hint="default"/>
              </w:rPr>
            </w:pPr>
            <w:r>
              <w:rPr>
                <w:rFonts w:hint="default"/>
                <w:spacing w:val="-1"/>
              </w:rPr>
              <w:t>T120102A-C</w:t>
            </w:r>
          </w:p>
        </w:tc>
        <w:tc>
          <w:tcPr>
            <w:tcW w:w="1492" w:type="dxa"/>
            <w:vAlign w:val="top"/>
          </w:tcPr>
          <w:p w14:paraId="064D177B">
            <w:pPr>
              <w:pStyle w:val="22"/>
              <w:keepNext w:val="0"/>
              <w:keepLines w:val="0"/>
              <w:suppressLineNumbers w:val="0"/>
              <w:spacing w:before="224" w:beforeAutospacing="0" w:after="0" w:afterAutospacing="0" w:line="223" w:lineRule="auto"/>
              <w:ind w:left="112" w:right="120"/>
              <w:rPr>
                <w:rFonts w:hint="default"/>
              </w:rPr>
            </w:pPr>
            <w:r>
              <w:rPr>
                <w:rFonts w:hint="default"/>
                <w:spacing w:val="-2"/>
              </w:rPr>
              <w:t>气氨二级净化</w:t>
            </w:r>
            <w:r>
              <w:rPr>
                <w:rFonts w:hint="default"/>
                <w:spacing w:val="4"/>
              </w:rPr>
              <w:t xml:space="preserve"> </w:t>
            </w:r>
            <w:r>
              <w:rPr>
                <w:rFonts w:hint="default"/>
              </w:rPr>
              <w:t>塔</w:t>
            </w:r>
          </w:p>
        </w:tc>
        <w:tc>
          <w:tcPr>
            <w:tcW w:w="2117" w:type="dxa"/>
            <w:vAlign w:val="top"/>
          </w:tcPr>
          <w:p w14:paraId="478CED7E">
            <w:pPr>
              <w:keepNext w:val="0"/>
              <w:keepLines w:val="0"/>
              <w:suppressLineNumbers w:val="0"/>
              <w:spacing w:before="0" w:beforeAutospacing="0" w:after="0" w:afterAutospacing="0" w:line="303" w:lineRule="auto"/>
              <w:ind w:left="0" w:right="0"/>
              <w:rPr>
                <w:rFonts w:hint="default" w:ascii="Arial"/>
                <w:sz w:val="21"/>
              </w:rPr>
            </w:pPr>
          </w:p>
          <w:p w14:paraId="68DCA7B3">
            <w:pPr>
              <w:pStyle w:val="22"/>
              <w:keepNext w:val="0"/>
              <w:keepLines w:val="0"/>
              <w:suppressLineNumbers w:val="0"/>
              <w:spacing w:before="62" w:beforeAutospacing="0" w:after="0" w:afterAutospacing="0" w:line="255" w:lineRule="exact"/>
              <w:ind w:left="511" w:right="0"/>
              <w:rPr>
                <w:rFonts w:hint="default"/>
                <w:sz w:val="19"/>
                <w:szCs w:val="19"/>
              </w:rPr>
            </w:pPr>
            <w:r>
              <w:rPr>
                <w:rFonts w:hint="default"/>
                <w:position w:val="1"/>
                <w:sz w:val="19"/>
                <w:szCs w:val="19"/>
              </w:rPr>
              <w:t>DN</w:t>
            </w:r>
            <w:r>
              <w:rPr>
                <w:rFonts w:hint="default"/>
                <w:spacing w:val="6"/>
                <w:position w:val="1"/>
                <w:sz w:val="19"/>
                <w:szCs w:val="19"/>
              </w:rPr>
              <w:t>500×6000</w:t>
            </w:r>
          </w:p>
        </w:tc>
        <w:tc>
          <w:tcPr>
            <w:tcW w:w="1727" w:type="dxa"/>
            <w:vAlign w:val="top"/>
          </w:tcPr>
          <w:p w14:paraId="515219AA">
            <w:pPr>
              <w:keepNext w:val="0"/>
              <w:keepLines w:val="0"/>
              <w:suppressLineNumbers w:val="0"/>
              <w:spacing w:before="0" w:beforeAutospacing="0" w:after="0" w:afterAutospacing="0" w:line="288" w:lineRule="auto"/>
              <w:ind w:left="0" w:right="0"/>
              <w:rPr>
                <w:rFonts w:hint="default" w:ascii="Arial"/>
                <w:sz w:val="21"/>
              </w:rPr>
            </w:pPr>
          </w:p>
          <w:p w14:paraId="6E972AE1">
            <w:pPr>
              <w:pStyle w:val="22"/>
              <w:keepNext w:val="0"/>
              <w:keepLines w:val="0"/>
              <w:suppressLineNumbers w:val="0"/>
              <w:spacing w:before="68" w:beforeAutospacing="0" w:after="0" w:afterAutospacing="0" w:line="218" w:lineRule="auto"/>
              <w:ind w:left="450" w:right="0"/>
              <w:rPr>
                <w:rFonts w:hint="default"/>
              </w:rPr>
            </w:pPr>
            <w:r>
              <w:rPr>
                <w:rFonts w:hint="default"/>
                <w:spacing w:val="-1"/>
              </w:rPr>
              <w:t>0.3,80℃</w:t>
            </w:r>
          </w:p>
        </w:tc>
        <w:tc>
          <w:tcPr>
            <w:tcW w:w="1797" w:type="dxa"/>
            <w:vAlign w:val="top"/>
          </w:tcPr>
          <w:p w14:paraId="0A2E6EFF">
            <w:pPr>
              <w:keepNext w:val="0"/>
              <w:keepLines w:val="0"/>
              <w:suppressLineNumbers w:val="0"/>
              <w:spacing w:before="0" w:beforeAutospacing="0" w:after="0" w:afterAutospacing="0" w:line="288" w:lineRule="auto"/>
              <w:ind w:left="0" w:right="0"/>
              <w:rPr>
                <w:rFonts w:hint="default" w:ascii="Arial"/>
                <w:sz w:val="21"/>
              </w:rPr>
            </w:pPr>
          </w:p>
          <w:p w14:paraId="6F5E1835">
            <w:pPr>
              <w:pStyle w:val="22"/>
              <w:keepNext w:val="0"/>
              <w:keepLines w:val="0"/>
              <w:suppressLineNumbers w:val="0"/>
              <w:spacing w:before="68" w:beforeAutospacing="0" w:after="0" w:afterAutospacing="0" w:line="218" w:lineRule="auto"/>
              <w:ind w:left="432" w:right="0"/>
              <w:rPr>
                <w:rFonts w:hint="default"/>
              </w:rPr>
            </w:pPr>
            <w:r>
              <w:rPr>
                <w:rFonts w:hint="default"/>
                <w:spacing w:val="-1"/>
              </w:rPr>
              <w:t>0.15,50℃</w:t>
            </w:r>
          </w:p>
        </w:tc>
        <w:tc>
          <w:tcPr>
            <w:tcW w:w="1159" w:type="dxa"/>
            <w:vAlign w:val="top"/>
          </w:tcPr>
          <w:p w14:paraId="4F64AEAE">
            <w:pPr>
              <w:keepNext w:val="0"/>
              <w:keepLines w:val="0"/>
              <w:suppressLineNumbers w:val="0"/>
              <w:spacing w:before="0" w:beforeAutospacing="0" w:after="0" w:afterAutospacing="0" w:line="324" w:lineRule="auto"/>
              <w:ind w:left="0" w:right="0"/>
              <w:rPr>
                <w:rFonts w:hint="default" w:ascii="Arial"/>
                <w:sz w:val="21"/>
              </w:rPr>
            </w:pPr>
          </w:p>
          <w:p w14:paraId="64D451E8">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0613672A">
            <w:pPr>
              <w:keepNext w:val="0"/>
              <w:keepLines w:val="0"/>
              <w:suppressLineNumbers w:val="0"/>
              <w:spacing w:before="0" w:beforeAutospacing="0" w:after="0" w:afterAutospacing="0" w:line="289" w:lineRule="auto"/>
              <w:ind w:left="0" w:right="0"/>
              <w:rPr>
                <w:rFonts w:hint="default" w:ascii="Arial"/>
                <w:sz w:val="21"/>
              </w:rPr>
            </w:pPr>
          </w:p>
          <w:p w14:paraId="04C26542">
            <w:pPr>
              <w:pStyle w:val="22"/>
              <w:keepNext w:val="0"/>
              <w:keepLines w:val="0"/>
              <w:suppressLineNumbers w:val="0"/>
              <w:spacing w:before="68" w:beforeAutospacing="0" w:after="0" w:afterAutospacing="0" w:line="221" w:lineRule="auto"/>
              <w:ind w:left="634" w:right="0"/>
              <w:rPr>
                <w:rFonts w:hint="default"/>
              </w:rPr>
            </w:pPr>
            <w:r>
              <w:rPr>
                <w:rFonts w:hint="default"/>
                <w:spacing w:val="-2"/>
              </w:rPr>
              <w:t>气氨</w:t>
            </w:r>
          </w:p>
        </w:tc>
        <w:tc>
          <w:tcPr>
            <w:tcW w:w="680" w:type="dxa"/>
            <w:vAlign w:val="top"/>
          </w:tcPr>
          <w:p w14:paraId="5F8A0273">
            <w:pPr>
              <w:keepNext w:val="0"/>
              <w:keepLines w:val="0"/>
              <w:suppressLineNumbers w:val="0"/>
              <w:spacing w:before="0" w:beforeAutospacing="0" w:after="0" w:afterAutospacing="0" w:line="324" w:lineRule="auto"/>
              <w:ind w:left="0" w:right="0"/>
              <w:rPr>
                <w:rFonts w:hint="default" w:ascii="Arial"/>
                <w:sz w:val="21"/>
              </w:rPr>
            </w:pPr>
          </w:p>
          <w:p w14:paraId="19138AFA">
            <w:pPr>
              <w:pStyle w:val="22"/>
              <w:keepNext w:val="0"/>
              <w:keepLines w:val="0"/>
              <w:suppressLineNumbers w:val="0"/>
              <w:spacing w:before="68" w:beforeAutospacing="0" w:after="0" w:afterAutospacing="0" w:line="182" w:lineRule="auto"/>
              <w:ind w:left="300" w:right="0"/>
              <w:rPr>
                <w:rFonts w:hint="default"/>
              </w:rPr>
            </w:pPr>
            <w:r>
              <w:rPr>
                <w:rFonts w:hint="default"/>
              </w:rPr>
              <w:t>3</w:t>
            </w:r>
          </w:p>
        </w:tc>
        <w:tc>
          <w:tcPr>
            <w:tcW w:w="1996" w:type="dxa"/>
            <w:vAlign w:val="top"/>
          </w:tcPr>
          <w:p w14:paraId="0A78C8BD">
            <w:pPr>
              <w:keepNext w:val="0"/>
              <w:keepLines w:val="0"/>
              <w:suppressLineNumbers w:val="0"/>
              <w:spacing w:before="0" w:beforeAutospacing="0" w:after="0" w:afterAutospacing="0" w:line="289" w:lineRule="auto"/>
              <w:ind w:left="0" w:right="0"/>
              <w:rPr>
                <w:rFonts w:hint="default" w:ascii="Arial"/>
                <w:sz w:val="21"/>
              </w:rPr>
            </w:pPr>
          </w:p>
          <w:p w14:paraId="555502DA">
            <w:pPr>
              <w:pStyle w:val="22"/>
              <w:keepNext w:val="0"/>
              <w:keepLines w:val="0"/>
              <w:suppressLineNumbers w:val="0"/>
              <w:spacing w:before="68" w:beforeAutospacing="0" w:after="0" w:afterAutospacing="0" w:line="221" w:lineRule="auto"/>
              <w:ind w:left="271" w:right="0"/>
              <w:rPr>
                <w:rFonts w:hint="default"/>
              </w:rPr>
            </w:pPr>
            <w:r>
              <w:rPr>
                <w:rFonts w:hint="default"/>
                <w:spacing w:val="-1"/>
              </w:rPr>
              <w:t>温度计、液位计</w:t>
            </w:r>
          </w:p>
        </w:tc>
      </w:tr>
      <w:tr w14:paraId="5B654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8" w:type="dxa"/>
            <w:vAlign w:val="top"/>
          </w:tcPr>
          <w:p w14:paraId="0BD56C57">
            <w:pPr>
              <w:pStyle w:val="22"/>
              <w:keepNext w:val="0"/>
              <w:keepLines w:val="0"/>
              <w:suppressLineNumbers w:val="0"/>
              <w:spacing w:before="257" w:beforeAutospacing="0" w:after="0" w:afterAutospacing="0" w:line="174" w:lineRule="auto"/>
              <w:ind w:left="117" w:right="0"/>
              <w:rPr>
                <w:rFonts w:hint="default"/>
              </w:rPr>
            </w:pPr>
            <w:r>
              <w:rPr>
                <w:rFonts w:hint="default"/>
                <w:spacing w:val="-3"/>
              </w:rPr>
              <w:t>6.</w:t>
            </w:r>
          </w:p>
        </w:tc>
        <w:tc>
          <w:tcPr>
            <w:tcW w:w="1286" w:type="dxa"/>
            <w:vAlign w:val="top"/>
          </w:tcPr>
          <w:p w14:paraId="62F34C50">
            <w:pPr>
              <w:pStyle w:val="22"/>
              <w:keepNext w:val="0"/>
              <w:keepLines w:val="0"/>
              <w:suppressLineNumbers w:val="0"/>
              <w:spacing w:before="255" w:beforeAutospacing="0" w:after="0" w:afterAutospacing="0" w:line="175" w:lineRule="auto"/>
              <w:ind w:left="118" w:right="0"/>
              <w:rPr>
                <w:rFonts w:hint="default"/>
              </w:rPr>
            </w:pPr>
            <w:r>
              <w:rPr>
                <w:rFonts w:hint="default"/>
                <w:spacing w:val="-1"/>
              </w:rPr>
              <w:t>T120103A-C</w:t>
            </w:r>
          </w:p>
        </w:tc>
        <w:tc>
          <w:tcPr>
            <w:tcW w:w="1492" w:type="dxa"/>
            <w:vAlign w:val="top"/>
          </w:tcPr>
          <w:p w14:paraId="5067B0FC">
            <w:pPr>
              <w:pStyle w:val="22"/>
              <w:keepNext w:val="0"/>
              <w:keepLines w:val="0"/>
              <w:suppressLineNumbers w:val="0"/>
              <w:spacing w:before="221" w:beforeAutospacing="0" w:after="0" w:afterAutospacing="0" w:line="205" w:lineRule="auto"/>
              <w:ind w:left="112" w:right="0"/>
              <w:rPr>
                <w:rFonts w:hint="default"/>
              </w:rPr>
            </w:pPr>
            <w:r>
              <w:rPr>
                <w:rFonts w:hint="default"/>
                <w:spacing w:val="-2"/>
              </w:rPr>
              <w:t>气氨吸收塔</w:t>
            </w:r>
          </w:p>
        </w:tc>
        <w:tc>
          <w:tcPr>
            <w:tcW w:w="2117" w:type="dxa"/>
            <w:vAlign w:val="top"/>
          </w:tcPr>
          <w:p w14:paraId="7B184FE4">
            <w:pPr>
              <w:pStyle w:val="22"/>
              <w:keepNext w:val="0"/>
              <w:keepLines w:val="0"/>
              <w:suppressLineNumbers w:val="0"/>
              <w:spacing w:before="229" w:beforeAutospacing="0" w:after="0" w:afterAutospacing="0" w:line="219" w:lineRule="auto"/>
              <w:ind w:left="110" w:right="0"/>
              <w:rPr>
                <w:rFonts w:hint="default"/>
                <w:sz w:val="19"/>
                <w:szCs w:val="19"/>
              </w:rPr>
            </w:pPr>
            <w:r>
              <w:rPr>
                <w:rFonts w:hint="default"/>
                <w:sz w:val="19"/>
                <w:szCs w:val="19"/>
              </w:rPr>
              <w:t>DN</w:t>
            </w:r>
            <w:r>
              <w:rPr>
                <w:rFonts w:hint="default"/>
                <w:spacing w:val="6"/>
                <w:sz w:val="19"/>
                <w:szCs w:val="19"/>
              </w:rPr>
              <w:t>1000/</w:t>
            </w:r>
            <w:r>
              <w:rPr>
                <w:rFonts w:hint="default"/>
                <w:sz w:val="19"/>
                <w:szCs w:val="19"/>
              </w:rPr>
              <w:t>DN</w:t>
            </w:r>
            <w:r>
              <w:rPr>
                <w:rFonts w:hint="default"/>
                <w:spacing w:val="6"/>
                <w:sz w:val="19"/>
                <w:szCs w:val="19"/>
              </w:rPr>
              <w:t>400×12500</w:t>
            </w:r>
          </w:p>
        </w:tc>
        <w:tc>
          <w:tcPr>
            <w:tcW w:w="1727" w:type="dxa"/>
            <w:vAlign w:val="top"/>
          </w:tcPr>
          <w:p w14:paraId="0CED9560">
            <w:pPr>
              <w:pStyle w:val="22"/>
              <w:keepNext w:val="0"/>
              <w:keepLines w:val="0"/>
              <w:suppressLineNumbers w:val="0"/>
              <w:spacing w:before="221" w:beforeAutospacing="0" w:after="0" w:afterAutospacing="0" w:line="205" w:lineRule="auto"/>
              <w:ind w:left="450" w:right="0"/>
              <w:rPr>
                <w:rFonts w:hint="default"/>
              </w:rPr>
            </w:pPr>
            <w:r>
              <w:rPr>
                <w:rFonts w:hint="default"/>
                <w:spacing w:val="-1"/>
              </w:rPr>
              <w:t>0.3,80℃</w:t>
            </w:r>
          </w:p>
        </w:tc>
        <w:tc>
          <w:tcPr>
            <w:tcW w:w="1797" w:type="dxa"/>
            <w:vAlign w:val="top"/>
          </w:tcPr>
          <w:p w14:paraId="661C5E62">
            <w:pPr>
              <w:pStyle w:val="22"/>
              <w:keepNext w:val="0"/>
              <w:keepLines w:val="0"/>
              <w:suppressLineNumbers w:val="0"/>
              <w:spacing w:before="221" w:beforeAutospacing="0" w:after="0" w:afterAutospacing="0" w:line="205" w:lineRule="auto"/>
              <w:ind w:left="432" w:right="0"/>
              <w:rPr>
                <w:rFonts w:hint="default"/>
              </w:rPr>
            </w:pPr>
            <w:r>
              <w:rPr>
                <w:rFonts w:hint="default"/>
                <w:spacing w:val="-1"/>
              </w:rPr>
              <w:t>0.15,50℃</w:t>
            </w:r>
          </w:p>
        </w:tc>
        <w:tc>
          <w:tcPr>
            <w:tcW w:w="1159" w:type="dxa"/>
            <w:vAlign w:val="top"/>
          </w:tcPr>
          <w:p w14:paraId="48CB8CE2">
            <w:pPr>
              <w:pStyle w:val="22"/>
              <w:keepNext w:val="0"/>
              <w:keepLines w:val="0"/>
              <w:suppressLineNumbers w:val="0"/>
              <w:spacing w:before="257" w:beforeAutospacing="0" w:after="0" w:afterAutospacing="0" w:line="174" w:lineRule="auto"/>
              <w:ind w:left="433" w:right="0"/>
              <w:rPr>
                <w:rFonts w:hint="default"/>
              </w:rPr>
            </w:pPr>
            <w:r>
              <w:rPr>
                <w:rFonts w:hint="default"/>
                <w:spacing w:val="-4"/>
              </w:rPr>
              <w:t>304</w:t>
            </w:r>
          </w:p>
        </w:tc>
        <w:tc>
          <w:tcPr>
            <w:tcW w:w="1667" w:type="dxa"/>
            <w:vAlign w:val="top"/>
          </w:tcPr>
          <w:p w14:paraId="6B19FD5E">
            <w:pPr>
              <w:pStyle w:val="22"/>
              <w:keepNext w:val="0"/>
              <w:keepLines w:val="0"/>
              <w:suppressLineNumbers w:val="0"/>
              <w:spacing w:before="221" w:beforeAutospacing="0" w:after="0" w:afterAutospacing="0" w:line="205" w:lineRule="auto"/>
              <w:ind w:left="634" w:right="0"/>
              <w:rPr>
                <w:rFonts w:hint="default"/>
              </w:rPr>
            </w:pPr>
            <w:r>
              <w:rPr>
                <w:rFonts w:hint="default"/>
                <w:spacing w:val="-2"/>
              </w:rPr>
              <w:t>气氨</w:t>
            </w:r>
          </w:p>
        </w:tc>
        <w:tc>
          <w:tcPr>
            <w:tcW w:w="680" w:type="dxa"/>
            <w:vAlign w:val="top"/>
          </w:tcPr>
          <w:p w14:paraId="40E92B01">
            <w:pPr>
              <w:pStyle w:val="22"/>
              <w:keepNext w:val="0"/>
              <w:keepLines w:val="0"/>
              <w:suppressLineNumbers w:val="0"/>
              <w:spacing w:before="257" w:beforeAutospacing="0" w:after="0" w:afterAutospacing="0" w:line="174" w:lineRule="auto"/>
              <w:ind w:left="300" w:right="0"/>
              <w:rPr>
                <w:rFonts w:hint="default"/>
              </w:rPr>
            </w:pPr>
            <w:r>
              <w:rPr>
                <w:rFonts w:hint="default"/>
              </w:rPr>
              <w:t>3</w:t>
            </w:r>
          </w:p>
        </w:tc>
        <w:tc>
          <w:tcPr>
            <w:tcW w:w="1996" w:type="dxa"/>
            <w:vAlign w:val="top"/>
          </w:tcPr>
          <w:p w14:paraId="350B2D3F">
            <w:pPr>
              <w:pStyle w:val="22"/>
              <w:keepNext w:val="0"/>
              <w:keepLines w:val="0"/>
              <w:suppressLineNumbers w:val="0"/>
              <w:spacing w:before="221" w:beforeAutospacing="0" w:after="0" w:afterAutospacing="0" w:line="205" w:lineRule="auto"/>
              <w:ind w:left="271" w:right="0"/>
              <w:rPr>
                <w:rFonts w:hint="default"/>
              </w:rPr>
            </w:pPr>
            <w:r>
              <w:rPr>
                <w:rFonts w:hint="default"/>
                <w:spacing w:val="-1"/>
              </w:rPr>
              <w:t>温度计、液位计</w:t>
            </w:r>
          </w:p>
        </w:tc>
      </w:tr>
      <w:tr w14:paraId="6A959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588" w:type="dxa"/>
            <w:vAlign w:val="top"/>
          </w:tcPr>
          <w:p w14:paraId="7E524A27">
            <w:pPr>
              <w:keepNext w:val="0"/>
              <w:keepLines w:val="0"/>
              <w:suppressLineNumbers w:val="0"/>
              <w:spacing w:before="0" w:beforeAutospacing="0" w:after="0" w:afterAutospacing="0" w:line="461" w:lineRule="auto"/>
              <w:ind w:left="0" w:right="0"/>
              <w:rPr>
                <w:rFonts w:hint="default" w:ascii="Arial"/>
                <w:sz w:val="21"/>
              </w:rPr>
            </w:pPr>
          </w:p>
          <w:p w14:paraId="196A25E2">
            <w:pPr>
              <w:pStyle w:val="22"/>
              <w:keepNext w:val="0"/>
              <w:keepLines w:val="0"/>
              <w:suppressLineNumbers w:val="0"/>
              <w:spacing w:before="68" w:beforeAutospacing="0" w:after="0" w:afterAutospacing="0" w:line="181" w:lineRule="auto"/>
              <w:ind w:left="121" w:right="0"/>
              <w:rPr>
                <w:rFonts w:hint="default"/>
              </w:rPr>
            </w:pPr>
            <w:r>
              <w:rPr>
                <w:rFonts w:hint="default"/>
                <w:spacing w:val="-4"/>
              </w:rPr>
              <w:t>7.</w:t>
            </w:r>
          </w:p>
        </w:tc>
        <w:tc>
          <w:tcPr>
            <w:tcW w:w="1286" w:type="dxa"/>
            <w:vAlign w:val="top"/>
          </w:tcPr>
          <w:p w14:paraId="0399A452">
            <w:pPr>
              <w:keepNext w:val="0"/>
              <w:keepLines w:val="0"/>
              <w:suppressLineNumbers w:val="0"/>
              <w:spacing w:before="0" w:beforeAutospacing="0" w:after="0" w:afterAutospacing="0" w:line="458" w:lineRule="auto"/>
              <w:ind w:left="0" w:right="0"/>
              <w:rPr>
                <w:rFonts w:hint="default" w:ascii="Arial"/>
                <w:sz w:val="21"/>
              </w:rPr>
            </w:pPr>
          </w:p>
          <w:p w14:paraId="528A4EC0">
            <w:pPr>
              <w:pStyle w:val="22"/>
              <w:keepNext w:val="0"/>
              <w:keepLines w:val="0"/>
              <w:suppressLineNumbers w:val="0"/>
              <w:spacing w:before="68" w:beforeAutospacing="0" w:after="0" w:afterAutospacing="0" w:line="183" w:lineRule="auto"/>
              <w:ind w:left="118" w:right="0"/>
              <w:rPr>
                <w:rFonts w:hint="default"/>
              </w:rPr>
            </w:pPr>
            <w:r>
              <w:rPr>
                <w:rFonts w:hint="default"/>
                <w:spacing w:val="-1"/>
              </w:rPr>
              <w:t>E120103A-C</w:t>
            </w:r>
          </w:p>
        </w:tc>
        <w:tc>
          <w:tcPr>
            <w:tcW w:w="1492" w:type="dxa"/>
            <w:vAlign w:val="top"/>
          </w:tcPr>
          <w:p w14:paraId="53188262">
            <w:pPr>
              <w:keepNext w:val="0"/>
              <w:keepLines w:val="0"/>
              <w:suppressLineNumbers w:val="0"/>
              <w:spacing w:before="0" w:beforeAutospacing="0" w:after="0" w:afterAutospacing="0" w:line="424" w:lineRule="auto"/>
              <w:ind w:left="0" w:right="0"/>
              <w:rPr>
                <w:rFonts w:hint="default" w:ascii="Arial"/>
                <w:sz w:val="21"/>
              </w:rPr>
            </w:pPr>
          </w:p>
          <w:p w14:paraId="557F5242">
            <w:pPr>
              <w:pStyle w:val="22"/>
              <w:keepNext w:val="0"/>
              <w:keepLines w:val="0"/>
              <w:suppressLineNumbers w:val="0"/>
              <w:spacing w:before="68" w:beforeAutospacing="0" w:after="0" w:afterAutospacing="0" w:line="221" w:lineRule="auto"/>
              <w:ind w:left="120" w:right="0"/>
              <w:rPr>
                <w:rFonts w:hint="default"/>
              </w:rPr>
            </w:pPr>
            <w:r>
              <w:rPr>
                <w:rFonts w:hint="default"/>
                <w:spacing w:val="-3"/>
              </w:rPr>
              <w:t>吸收塔冷却器</w:t>
            </w:r>
          </w:p>
        </w:tc>
        <w:tc>
          <w:tcPr>
            <w:tcW w:w="2117" w:type="dxa"/>
            <w:vAlign w:val="top"/>
          </w:tcPr>
          <w:p w14:paraId="60FA53B1">
            <w:pPr>
              <w:keepNext w:val="0"/>
              <w:keepLines w:val="0"/>
              <w:suppressLineNumbers w:val="0"/>
              <w:spacing w:before="0" w:beforeAutospacing="0" w:after="0" w:afterAutospacing="0" w:line="471" w:lineRule="auto"/>
              <w:ind w:left="0" w:right="0"/>
              <w:rPr>
                <w:rFonts w:hint="default" w:ascii="Arial"/>
                <w:sz w:val="21"/>
              </w:rPr>
            </w:pPr>
          </w:p>
          <w:p w14:paraId="0E3E2678">
            <w:pPr>
              <w:pStyle w:val="22"/>
              <w:keepNext w:val="0"/>
              <w:keepLines w:val="0"/>
              <w:suppressLineNumbers w:val="0"/>
              <w:spacing w:before="62" w:beforeAutospacing="0" w:after="0" w:afterAutospacing="0" w:line="231" w:lineRule="auto"/>
              <w:ind w:left="554" w:right="0"/>
              <w:rPr>
                <w:rFonts w:hint="default"/>
                <w:sz w:val="19"/>
                <w:szCs w:val="19"/>
              </w:rPr>
            </w:pPr>
            <w:r>
              <w:rPr>
                <w:rFonts w:hint="default"/>
                <w:sz w:val="19"/>
                <w:szCs w:val="19"/>
              </w:rPr>
              <w:t>DN</w:t>
            </w:r>
            <w:r>
              <w:rPr>
                <w:rFonts w:hint="default"/>
                <w:spacing w:val="5"/>
                <w:sz w:val="19"/>
                <w:szCs w:val="19"/>
              </w:rPr>
              <w:t>300</w:t>
            </w:r>
            <w:r>
              <w:rPr>
                <w:rFonts w:hint="default" w:ascii="Times New Roman" w:hAnsi="Times New Roman" w:eastAsia="Times New Roman" w:cs="Times New Roman"/>
                <w:spacing w:val="5"/>
                <w:sz w:val="19"/>
                <w:szCs w:val="19"/>
              </w:rPr>
              <w:t>×</w:t>
            </w:r>
            <w:r>
              <w:rPr>
                <w:rFonts w:hint="default"/>
                <w:spacing w:val="5"/>
                <w:sz w:val="19"/>
                <w:szCs w:val="19"/>
              </w:rPr>
              <w:t>3500</w:t>
            </w:r>
          </w:p>
        </w:tc>
        <w:tc>
          <w:tcPr>
            <w:tcW w:w="1727" w:type="dxa"/>
            <w:vAlign w:val="top"/>
          </w:tcPr>
          <w:p w14:paraId="19C2A5D3">
            <w:pPr>
              <w:pStyle w:val="22"/>
              <w:keepNext w:val="0"/>
              <w:keepLines w:val="0"/>
              <w:suppressLineNumbers w:val="0"/>
              <w:spacing w:before="224" w:beforeAutospacing="0" w:after="0" w:afterAutospacing="0" w:line="218" w:lineRule="auto"/>
              <w:ind w:left="348" w:right="0"/>
              <w:rPr>
                <w:rFonts w:hint="default"/>
              </w:rPr>
            </w:pPr>
            <w:r>
              <w:rPr>
                <w:rFonts w:hint="default"/>
                <w:spacing w:val="-2"/>
              </w:rPr>
              <w:t>管程：0.4,</w:t>
            </w:r>
          </w:p>
          <w:p w14:paraId="4F08AEC7">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100℃壳程：0.5,</w:t>
            </w:r>
          </w:p>
          <w:p w14:paraId="684AC89F">
            <w:pPr>
              <w:pStyle w:val="22"/>
              <w:keepNext w:val="0"/>
              <w:keepLines w:val="0"/>
              <w:suppressLineNumbers w:val="0"/>
              <w:spacing w:before="25" w:beforeAutospacing="0" w:after="0" w:afterAutospacing="0" w:line="205" w:lineRule="auto"/>
              <w:ind w:left="659" w:right="0"/>
              <w:rPr>
                <w:rFonts w:hint="default"/>
              </w:rPr>
            </w:pPr>
            <w:r>
              <w:rPr>
                <w:rFonts w:hint="default"/>
                <w:spacing w:val="-3"/>
              </w:rPr>
              <w:t>60℃</w:t>
            </w:r>
          </w:p>
        </w:tc>
        <w:tc>
          <w:tcPr>
            <w:tcW w:w="1797" w:type="dxa"/>
            <w:vAlign w:val="top"/>
          </w:tcPr>
          <w:p w14:paraId="0D319815">
            <w:pPr>
              <w:keepNext w:val="0"/>
              <w:keepLines w:val="0"/>
              <w:suppressLineNumbers w:val="0"/>
              <w:spacing w:before="0" w:beforeAutospacing="0" w:after="0" w:afterAutospacing="0" w:line="288" w:lineRule="auto"/>
              <w:ind w:left="0" w:right="0"/>
              <w:rPr>
                <w:rFonts w:hint="default" w:ascii="Arial"/>
                <w:sz w:val="21"/>
              </w:rPr>
            </w:pPr>
          </w:p>
          <w:p w14:paraId="69ACE75A">
            <w:pPr>
              <w:pStyle w:val="22"/>
              <w:keepNext w:val="0"/>
              <w:keepLines w:val="0"/>
              <w:suppressLineNumbers w:val="0"/>
              <w:spacing w:before="68" w:beforeAutospacing="0" w:after="0" w:afterAutospacing="0" w:line="218" w:lineRule="auto"/>
              <w:ind w:left="119" w:right="0"/>
              <w:rPr>
                <w:rFonts w:hint="default"/>
              </w:rPr>
            </w:pPr>
            <w:r>
              <w:rPr>
                <w:rFonts w:hint="default"/>
                <w:spacing w:val="-1"/>
              </w:rPr>
              <w:t>管程：0.2, 60℃</w:t>
            </w:r>
          </w:p>
          <w:p w14:paraId="6EEC4379">
            <w:pPr>
              <w:pStyle w:val="22"/>
              <w:keepNext w:val="0"/>
              <w:keepLines w:val="0"/>
              <w:suppressLineNumbers w:val="0"/>
              <w:spacing w:before="25" w:beforeAutospacing="0" w:after="0" w:afterAutospacing="0" w:line="218" w:lineRule="auto"/>
              <w:ind w:left="119" w:right="0"/>
              <w:rPr>
                <w:rFonts w:hint="default"/>
              </w:rPr>
            </w:pPr>
            <w:r>
              <w:rPr>
                <w:rFonts w:hint="default"/>
                <w:spacing w:val="-1"/>
              </w:rPr>
              <w:t>壳程：0.4, 5℃</w:t>
            </w:r>
          </w:p>
        </w:tc>
        <w:tc>
          <w:tcPr>
            <w:tcW w:w="1159" w:type="dxa"/>
            <w:vAlign w:val="top"/>
          </w:tcPr>
          <w:p w14:paraId="65AC801E">
            <w:pPr>
              <w:keepNext w:val="0"/>
              <w:keepLines w:val="0"/>
              <w:suppressLineNumbers w:val="0"/>
              <w:spacing w:before="0" w:beforeAutospacing="0" w:after="0" w:afterAutospacing="0" w:line="459" w:lineRule="auto"/>
              <w:ind w:left="0" w:right="0"/>
              <w:rPr>
                <w:rFonts w:hint="default" w:ascii="Arial"/>
                <w:sz w:val="21"/>
              </w:rPr>
            </w:pPr>
          </w:p>
          <w:p w14:paraId="255F51A8">
            <w:pPr>
              <w:pStyle w:val="22"/>
              <w:keepNext w:val="0"/>
              <w:keepLines w:val="0"/>
              <w:suppressLineNumbers w:val="0"/>
              <w:spacing w:before="69" w:beforeAutospacing="0" w:after="0" w:afterAutospacing="0" w:line="182" w:lineRule="auto"/>
              <w:ind w:left="433" w:right="0"/>
              <w:rPr>
                <w:rFonts w:hint="default"/>
              </w:rPr>
            </w:pPr>
            <w:r>
              <w:rPr>
                <w:rFonts w:hint="default"/>
                <w:spacing w:val="-4"/>
              </w:rPr>
              <w:t>304</w:t>
            </w:r>
          </w:p>
        </w:tc>
        <w:tc>
          <w:tcPr>
            <w:tcW w:w="1667" w:type="dxa"/>
            <w:vAlign w:val="top"/>
          </w:tcPr>
          <w:p w14:paraId="1AEA203E">
            <w:pPr>
              <w:keepNext w:val="0"/>
              <w:keepLines w:val="0"/>
              <w:suppressLineNumbers w:val="0"/>
              <w:spacing w:before="0" w:beforeAutospacing="0" w:after="0" w:afterAutospacing="0" w:line="424" w:lineRule="auto"/>
              <w:ind w:left="0" w:right="0"/>
              <w:rPr>
                <w:rFonts w:hint="default" w:ascii="Arial"/>
                <w:sz w:val="21"/>
              </w:rPr>
            </w:pPr>
          </w:p>
          <w:p w14:paraId="22B20D4D">
            <w:pPr>
              <w:pStyle w:val="22"/>
              <w:keepNext w:val="0"/>
              <w:keepLines w:val="0"/>
              <w:suppressLineNumbers w:val="0"/>
              <w:spacing w:before="68" w:beforeAutospacing="0" w:after="0" w:afterAutospacing="0" w:line="221" w:lineRule="auto"/>
              <w:ind w:left="266" w:right="0"/>
              <w:rPr>
                <w:rFonts w:hint="default"/>
              </w:rPr>
            </w:pPr>
            <w:r>
              <w:rPr>
                <w:rFonts w:hint="default"/>
                <w:spacing w:val="-1"/>
              </w:rPr>
              <w:t>氨水/冷冻水</w:t>
            </w:r>
          </w:p>
        </w:tc>
        <w:tc>
          <w:tcPr>
            <w:tcW w:w="680" w:type="dxa"/>
            <w:vAlign w:val="top"/>
          </w:tcPr>
          <w:p w14:paraId="19AAF15B">
            <w:pPr>
              <w:keepNext w:val="0"/>
              <w:keepLines w:val="0"/>
              <w:suppressLineNumbers w:val="0"/>
              <w:spacing w:before="0" w:beforeAutospacing="0" w:after="0" w:afterAutospacing="0" w:line="459" w:lineRule="auto"/>
              <w:ind w:left="0" w:right="0"/>
              <w:rPr>
                <w:rFonts w:hint="default" w:ascii="Arial"/>
                <w:sz w:val="21"/>
              </w:rPr>
            </w:pPr>
          </w:p>
          <w:p w14:paraId="590AF225">
            <w:pPr>
              <w:pStyle w:val="22"/>
              <w:keepNext w:val="0"/>
              <w:keepLines w:val="0"/>
              <w:suppressLineNumbers w:val="0"/>
              <w:spacing w:before="69" w:beforeAutospacing="0" w:after="0" w:afterAutospacing="0" w:line="182" w:lineRule="auto"/>
              <w:ind w:left="300" w:right="0"/>
              <w:rPr>
                <w:rFonts w:hint="default"/>
              </w:rPr>
            </w:pPr>
            <w:r>
              <w:rPr>
                <w:rFonts w:hint="default"/>
              </w:rPr>
              <w:t>3</w:t>
            </w:r>
          </w:p>
        </w:tc>
        <w:tc>
          <w:tcPr>
            <w:tcW w:w="1996" w:type="dxa"/>
            <w:vAlign w:val="top"/>
          </w:tcPr>
          <w:p w14:paraId="05EA0368">
            <w:pPr>
              <w:keepNext w:val="0"/>
              <w:keepLines w:val="0"/>
              <w:suppressLineNumbers w:val="0"/>
              <w:spacing w:before="0" w:beforeAutospacing="0" w:after="0" w:afterAutospacing="0" w:line="425" w:lineRule="auto"/>
              <w:ind w:left="0" w:right="0"/>
              <w:rPr>
                <w:rFonts w:hint="default" w:ascii="Arial"/>
                <w:sz w:val="21"/>
              </w:rPr>
            </w:pPr>
          </w:p>
          <w:p w14:paraId="3354E356">
            <w:pPr>
              <w:pStyle w:val="22"/>
              <w:keepNext w:val="0"/>
              <w:keepLines w:val="0"/>
              <w:suppressLineNumbers w:val="0"/>
              <w:spacing w:before="68" w:beforeAutospacing="0" w:after="0" w:afterAutospacing="0" w:line="221" w:lineRule="auto"/>
              <w:ind w:left="271" w:right="0"/>
              <w:rPr>
                <w:rFonts w:hint="default"/>
              </w:rPr>
            </w:pPr>
            <w:r>
              <w:rPr>
                <w:rFonts w:hint="default"/>
                <w:spacing w:val="-1"/>
              </w:rPr>
              <w:t>温度计、液位计</w:t>
            </w:r>
          </w:p>
        </w:tc>
      </w:tr>
      <w:tr w14:paraId="53507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88" w:type="dxa"/>
            <w:vAlign w:val="top"/>
          </w:tcPr>
          <w:p w14:paraId="438929BF">
            <w:pPr>
              <w:pStyle w:val="22"/>
              <w:keepNext w:val="0"/>
              <w:keepLines w:val="0"/>
              <w:suppressLineNumbers w:val="0"/>
              <w:spacing w:before="257" w:beforeAutospacing="0" w:after="0" w:afterAutospacing="0" w:line="176" w:lineRule="auto"/>
              <w:ind w:left="116" w:right="0"/>
              <w:rPr>
                <w:rFonts w:hint="default"/>
              </w:rPr>
            </w:pPr>
            <w:r>
              <w:rPr>
                <w:rFonts w:hint="default"/>
                <w:spacing w:val="-2"/>
              </w:rPr>
              <w:t>8.</w:t>
            </w:r>
          </w:p>
        </w:tc>
        <w:tc>
          <w:tcPr>
            <w:tcW w:w="1286" w:type="dxa"/>
            <w:vAlign w:val="top"/>
          </w:tcPr>
          <w:p w14:paraId="2E386436">
            <w:pPr>
              <w:pStyle w:val="22"/>
              <w:keepNext w:val="0"/>
              <w:keepLines w:val="0"/>
              <w:suppressLineNumbers w:val="0"/>
              <w:spacing w:before="256" w:beforeAutospacing="0" w:after="0" w:afterAutospacing="0" w:line="177" w:lineRule="auto"/>
              <w:ind w:left="276" w:right="0"/>
              <w:rPr>
                <w:rFonts w:hint="default"/>
              </w:rPr>
            </w:pPr>
            <w:r>
              <w:rPr>
                <w:rFonts w:hint="default"/>
                <w:spacing w:val="-1"/>
              </w:rPr>
              <w:t>T120104</w:t>
            </w:r>
          </w:p>
        </w:tc>
        <w:tc>
          <w:tcPr>
            <w:tcW w:w="1492" w:type="dxa"/>
            <w:vAlign w:val="top"/>
          </w:tcPr>
          <w:p w14:paraId="6533E924">
            <w:pPr>
              <w:pStyle w:val="22"/>
              <w:keepNext w:val="0"/>
              <w:keepLines w:val="0"/>
              <w:suppressLineNumbers w:val="0"/>
              <w:spacing w:before="222" w:beforeAutospacing="0" w:after="0" w:afterAutospacing="0" w:line="207" w:lineRule="auto"/>
              <w:ind w:left="112" w:right="0"/>
              <w:rPr>
                <w:rFonts w:hint="default"/>
              </w:rPr>
            </w:pPr>
            <w:r>
              <w:rPr>
                <w:rFonts w:hint="default"/>
                <w:spacing w:val="-1"/>
              </w:rPr>
              <w:t>尾气吸收塔</w:t>
            </w:r>
          </w:p>
        </w:tc>
        <w:tc>
          <w:tcPr>
            <w:tcW w:w="2117" w:type="dxa"/>
            <w:vAlign w:val="top"/>
          </w:tcPr>
          <w:p w14:paraId="53FEB64A">
            <w:pPr>
              <w:pStyle w:val="22"/>
              <w:keepNext w:val="0"/>
              <w:keepLines w:val="0"/>
              <w:suppressLineNumbers w:val="0"/>
              <w:spacing w:before="230" w:beforeAutospacing="0" w:after="0" w:afterAutospacing="0" w:line="221" w:lineRule="auto"/>
              <w:ind w:left="211" w:right="0"/>
              <w:rPr>
                <w:rFonts w:hint="default"/>
                <w:sz w:val="19"/>
                <w:szCs w:val="19"/>
              </w:rPr>
            </w:pPr>
            <w:r>
              <w:rPr>
                <w:rFonts w:hint="default"/>
                <w:sz w:val="19"/>
                <w:szCs w:val="19"/>
              </w:rPr>
              <w:t>DN</w:t>
            </w:r>
            <w:r>
              <w:rPr>
                <w:rFonts w:hint="default"/>
                <w:spacing w:val="6"/>
                <w:sz w:val="19"/>
                <w:szCs w:val="19"/>
              </w:rPr>
              <w:t>800/</w:t>
            </w:r>
            <w:r>
              <w:rPr>
                <w:rFonts w:hint="default"/>
                <w:sz w:val="19"/>
                <w:szCs w:val="19"/>
              </w:rPr>
              <w:t>DN</w:t>
            </w:r>
            <w:r>
              <w:rPr>
                <w:rFonts w:hint="default"/>
                <w:spacing w:val="6"/>
                <w:sz w:val="19"/>
                <w:szCs w:val="19"/>
              </w:rPr>
              <w:t>400×6500</w:t>
            </w:r>
          </w:p>
        </w:tc>
        <w:tc>
          <w:tcPr>
            <w:tcW w:w="1727" w:type="dxa"/>
            <w:vAlign w:val="top"/>
          </w:tcPr>
          <w:p w14:paraId="160EBA6A">
            <w:pPr>
              <w:pStyle w:val="22"/>
              <w:keepNext w:val="0"/>
              <w:keepLines w:val="0"/>
              <w:suppressLineNumbers w:val="0"/>
              <w:spacing w:before="222" w:beforeAutospacing="0" w:after="0" w:afterAutospacing="0" w:line="207" w:lineRule="auto"/>
              <w:ind w:left="450" w:right="0"/>
              <w:rPr>
                <w:rFonts w:hint="default"/>
              </w:rPr>
            </w:pPr>
            <w:r>
              <w:rPr>
                <w:rFonts w:hint="default"/>
                <w:spacing w:val="-1"/>
              </w:rPr>
              <w:t>0.3,80℃</w:t>
            </w:r>
          </w:p>
        </w:tc>
        <w:tc>
          <w:tcPr>
            <w:tcW w:w="1797" w:type="dxa"/>
            <w:vAlign w:val="top"/>
          </w:tcPr>
          <w:p w14:paraId="03173F82">
            <w:pPr>
              <w:pStyle w:val="22"/>
              <w:keepNext w:val="0"/>
              <w:keepLines w:val="0"/>
              <w:suppressLineNumbers w:val="0"/>
              <w:spacing w:before="222" w:beforeAutospacing="0" w:after="0" w:afterAutospacing="0" w:line="207" w:lineRule="auto"/>
              <w:ind w:left="432" w:right="0"/>
              <w:rPr>
                <w:rFonts w:hint="default"/>
              </w:rPr>
            </w:pPr>
            <w:r>
              <w:rPr>
                <w:rFonts w:hint="default"/>
                <w:spacing w:val="-1"/>
              </w:rPr>
              <w:t>0.15,50℃</w:t>
            </w:r>
          </w:p>
        </w:tc>
        <w:tc>
          <w:tcPr>
            <w:tcW w:w="1159" w:type="dxa"/>
            <w:vAlign w:val="top"/>
          </w:tcPr>
          <w:p w14:paraId="0D3BE095">
            <w:pPr>
              <w:pStyle w:val="22"/>
              <w:keepNext w:val="0"/>
              <w:keepLines w:val="0"/>
              <w:suppressLineNumbers w:val="0"/>
              <w:spacing w:before="257" w:beforeAutospacing="0" w:after="0" w:afterAutospacing="0" w:line="176" w:lineRule="auto"/>
              <w:ind w:left="433" w:right="0"/>
              <w:rPr>
                <w:rFonts w:hint="default"/>
              </w:rPr>
            </w:pPr>
            <w:r>
              <w:rPr>
                <w:rFonts w:hint="default"/>
                <w:spacing w:val="-4"/>
              </w:rPr>
              <w:t>304</w:t>
            </w:r>
          </w:p>
        </w:tc>
        <w:tc>
          <w:tcPr>
            <w:tcW w:w="1667" w:type="dxa"/>
            <w:vAlign w:val="top"/>
          </w:tcPr>
          <w:p w14:paraId="53364399">
            <w:pPr>
              <w:pStyle w:val="22"/>
              <w:keepNext w:val="0"/>
              <w:keepLines w:val="0"/>
              <w:suppressLineNumbers w:val="0"/>
              <w:spacing w:before="222" w:beforeAutospacing="0" w:after="0" w:afterAutospacing="0" w:line="207" w:lineRule="auto"/>
              <w:ind w:left="634" w:right="0"/>
              <w:rPr>
                <w:rFonts w:hint="default"/>
              </w:rPr>
            </w:pPr>
            <w:r>
              <w:rPr>
                <w:rFonts w:hint="default"/>
                <w:spacing w:val="-2"/>
              </w:rPr>
              <w:t>气氨</w:t>
            </w:r>
          </w:p>
        </w:tc>
        <w:tc>
          <w:tcPr>
            <w:tcW w:w="680" w:type="dxa"/>
            <w:vAlign w:val="top"/>
          </w:tcPr>
          <w:p w14:paraId="732398B5">
            <w:pPr>
              <w:pStyle w:val="22"/>
              <w:keepNext w:val="0"/>
              <w:keepLines w:val="0"/>
              <w:suppressLineNumbers w:val="0"/>
              <w:spacing w:before="257" w:beforeAutospacing="0" w:after="0" w:afterAutospacing="0" w:line="176" w:lineRule="auto"/>
              <w:ind w:left="300" w:right="0"/>
              <w:rPr>
                <w:rFonts w:hint="default"/>
              </w:rPr>
            </w:pPr>
            <w:r>
              <w:rPr>
                <w:rFonts w:hint="default"/>
              </w:rPr>
              <w:t>3</w:t>
            </w:r>
          </w:p>
        </w:tc>
        <w:tc>
          <w:tcPr>
            <w:tcW w:w="1996" w:type="dxa"/>
            <w:vAlign w:val="top"/>
          </w:tcPr>
          <w:p w14:paraId="19EB72D8">
            <w:pPr>
              <w:pStyle w:val="22"/>
              <w:keepNext w:val="0"/>
              <w:keepLines w:val="0"/>
              <w:suppressLineNumbers w:val="0"/>
              <w:spacing w:before="222" w:beforeAutospacing="0" w:after="0" w:afterAutospacing="0" w:line="207" w:lineRule="auto"/>
              <w:ind w:left="271" w:right="0"/>
              <w:rPr>
                <w:rFonts w:hint="default"/>
              </w:rPr>
            </w:pPr>
            <w:r>
              <w:rPr>
                <w:rFonts w:hint="default"/>
                <w:spacing w:val="-1"/>
              </w:rPr>
              <w:t>温度计、液位计</w:t>
            </w:r>
          </w:p>
        </w:tc>
      </w:tr>
      <w:tr w14:paraId="02005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588" w:type="dxa"/>
            <w:vAlign w:val="top"/>
          </w:tcPr>
          <w:p w14:paraId="0A321DC3">
            <w:pPr>
              <w:keepNext w:val="0"/>
              <w:keepLines w:val="0"/>
              <w:suppressLineNumbers w:val="0"/>
              <w:spacing w:before="0" w:beforeAutospacing="0" w:after="0" w:afterAutospacing="0" w:line="460" w:lineRule="auto"/>
              <w:ind w:left="0" w:right="0"/>
              <w:rPr>
                <w:rFonts w:hint="default" w:ascii="Arial"/>
                <w:sz w:val="21"/>
              </w:rPr>
            </w:pPr>
          </w:p>
          <w:p w14:paraId="4623266E">
            <w:pPr>
              <w:pStyle w:val="22"/>
              <w:keepNext w:val="0"/>
              <w:keepLines w:val="0"/>
              <w:suppressLineNumbers w:val="0"/>
              <w:spacing w:before="69" w:beforeAutospacing="0" w:after="0" w:afterAutospacing="0" w:line="182" w:lineRule="auto"/>
              <w:ind w:left="116" w:right="0"/>
              <w:rPr>
                <w:rFonts w:hint="default"/>
              </w:rPr>
            </w:pPr>
            <w:r>
              <w:rPr>
                <w:rFonts w:hint="default"/>
                <w:spacing w:val="-2"/>
              </w:rPr>
              <w:t>9.</w:t>
            </w:r>
          </w:p>
        </w:tc>
        <w:tc>
          <w:tcPr>
            <w:tcW w:w="1286" w:type="dxa"/>
            <w:vAlign w:val="top"/>
          </w:tcPr>
          <w:p w14:paraId="18C2925D">
            <w:pPr>
              <w:keepNext w:val="0"/>
              <w:keepLines w:val="0"/>
              <w:suppressLineNumbers w:val="0"/>
              <w:spacing w:before="0" w:beforeAutospacing="0" w:after="0" w:afterAutospacing="0" w:line="459" w:lineRule="auto"/>
              <w:ind w:left="0" w:right="0"/>
              <w:rPr>
                <w:rFonts w:hint="default" w:ascii="Arial"/>
                <w:sz w:val="21"/>
              </w:rPr>
            </w:pPr>
          </w:p>
          <w:p w14:paraId="45385D82">
            <w:pPr>
              <w:pStyle w:val="22"/>
              <w:keepNext w:val="0"/>
              <w:keepLines w:val="0"/>
              <w:suppressLineNumbers w:val="0"/>
              <w:spacing w:before="68" w:beforeAutospacing="0" w:after="0" w:afterAutospacing="0" w:line="183" w:lineRule="auto"/>
              <w:ind w:left="276" w:right="0"/>
              <w:rPr>
                <w:rFonts w:hint="default"/>
              </w:rPr>
            </w:pPr>
            <w:r>
              <w:rPr>
                <w:rFonts w:hint="default"/>
                <w:spacing w:val="-1"/>
              </w:rPr>
              <w:t>E120104</w:t>
            </w:r>
          </w:p>
        </w:tc>
        <w:tc>
          <w:tcPr>
            <w:tcW w:w="1492" w:type="dxa"/>
            <w:vAlign w:val="top"/>
          </w:tcPr>
          <w:p w14:paraId="747D8826">
            <w:pPr>
              <w:keepNext w:val="0"/>
              <w:keepLines w:val="0"/>
              <w:suppressLineNumbers w:val="0"/>
              <w:spacing w:before="0" w:beforeAutospacing="0" w:after="0" w:afterAutospacing="0" w:line="289" w:lineRule="auto"/>
              <w:ind w:left="0" w:right="0"/>
              <w:rPr>
                <w:rFonts w:hint="default" w:ascii="Arial"/>
                <w:sz w:val="21"/>
              </w:rPr>
            </w:pPr>
          </w:p>
          <w:p w14:paraId="4467B10E">
            <w:pPr>
              <w:pStyle w:val="22"/>
              <w:keepNext w:val="0"/>
              <w:keepLines w:val="0"/>
              <w:suppressLineNumbers w:val="0"/>
              <w:spacing w:before="69" w:beforeAutospacing="0" w:after="0" w:afterAutospacing="0" w:line="233" w:lineRule="auto"/>
              <w:ind w:left="112" w:right="120"/>
              <w:rPr>
                <w:rFonts w:hint="default"/>
              </w:rPr>
            </w:pPr>
            <w:r>
              <w:rPr>
                <w:rFonts w:hint="default"/>
                <w:spacing w:val="-1"/>
              </w:rPr>
              <w:t>尾气吸收冷却</w:t>
            </w:r>
            <w:r>
              <w:rPr>
                <w:rFonts w:hint="default"/>
              </w:rPr>
              <w:t xml:space="preserve"> 器</w:t>
            </w:r>
          </w:p>
        </w:tc>
        <w:tc>
          <w:tcPr>
            <w:tcW w:w="2117" w:type="dxa"/>
            <w:vAlign w:val="top"/>
          </w:tcPr>
          <w:p w14:paraId="3260AC46">
            <w:pPr>
              <w:keepNext w:val="0"/>
              <w:keepLines w:val="0"/>
              <w:suppressLineNumbers w:val="0"/>
              <w:spacing w:before="0" w:beforeAutospacing="0" w:after="0" w:afterAutospacing="0" w:line="470" w:lineRule="auto"/>
              <w:ind w:left="0" w:right="0"/>
              <w:rPr>
                <w:rFonts w:hint="default" w:ascii="Arial"/>
                <w:sz w:val="21"/>
              </w:rPr>
            </w:pPr>
          </w:p>
          <w:p w14:paraId="41476660">
            <w:pPr>
              <w:pStyle w:val="22"/>
              <w:keepNext w:val="0"/>
              <w:keepLines w:val="0"/>
              <w:suppressLineNumbers w:val="0"/>
              <w:spacing w:before="62" w:beforeAutospacing="0" w:after="0" w:afterAutospacing="0" w:line="231" w:lineRule="auto"/>
              <w:ind w:left="554" w:right="0"/>
              <w:rPr>
                <w:rFonts w:hint="default"/>
                <w:sz w:val="19"/>
                <w:szCs w:val="19"/>
              </w:rPr>
            </w:pPr>
            <w:r>
              <w:rPr>
                <w:rFonts w:hint="default"/>
                <w:sz w:val="19"/>
                <w:szCs w:val="19"/>
              </w:rPr>
              <w:t>DN</w:t>
            </w:r>
            <w:r>
              <w:rPr>
                <w:rFonts w:hint="default"/>
                <w:spacing w:val="5"/>
                <w:sz w:val="19"/>
                <w:szCs w:val="19"/>
              </w:rPr>
              <w:t>400</w:t>
            </w:r>
            <w:r>
              <w:rPr>
                <w:rFonts w:hint="default" w:ascii="Times New Roman" w:hAnsi="Times New Roman" w:eastAsia="Times New Roman" w:cs="Times New Roman"/>
                <w:spacing w:val="5"/>
                <w:sz w:val="19"/>
                <w:szCs w:val="19"/>
              </w:rPr>
              <w:t>×</w:t>
            </w:r>
            <w:r>
              <w:rPr>
                <w:rFonts w:hint="default"/>
                <w:spacing w:val="5"/>
                <w:sz w:val="19"/>
                <w:szCs w:val="19"/>
              </w:rPr>
              <w:t>3300</w:t>
            </w:r>
          </w:p>
        </w:tc>
        <w:tc>
          <w:tcPr>
            <w:tcW w:w="1727" w:type="dxa"/>
            <w:vAlign w:val="top"/>
          </w:tcPr>
          <w:p w14:paraId="548148FA">
            <w:pPr>
              <w:pStyle w:val="22"/>
              <w:keepNext w:val="0"/>
              <w:keepLines w:val="0"/>
              <w:suppressLineNumbers w:val="0"/>
              <w:spacing w:before="222" w:beforeAutospacing="0" w:after="0" w:afterAutospacing="0" w:line="218" w:lineRule="auto"/>
              <w:ind w:left="348" w:right="0"/>
              <w:rPr>
                <w:rFonts w:hint="default"/>
              </w:rPr>
            </w:pPr>
            <w:r>
              <w:rPr>
                <w:rFonts w:hint="default"/>
                <w:spacing w:val="-2"/>
              </w:rPr>
              <w:t>管程：0.4,</w:t>
            </w:r>
          </w:p>
          <w:p w14:paraId="6500FC5C">
            <w:pPr>
              <w:pStyle w:val="22"/>
              <w:keepNext w:val="0"/>
              <w:keepLines w:val="0"/>
              <w:suppressLineNumbers w:val="0"/>
              <w:spacing w:before="25" w:beforeAutospacing="0" w:after="0" w:afterAutospacing="0" w:line="218" w:lineRule="auto"/>
              <w:ind w:left="131" w:right="0"/>
              <w:rPr>
                <w:rFonts w:hint="default"/>
              </w:rPr>
            </w:pPr>
            <w:r>
              <w:rPr>
                <w:rFonts w:hint="default"/>
                <w:spacing w:val="-8"/>
              </w:rPr>
              <w:t>100℃壳程：0.5,</w:t>
            </w:r>
          </w:p>
          <w:p w14:paraId="194C2857">
            <w:pPr>
              <w:pStyle w:val="22"/>
              <w:keepNext w:val="0"/>
              <w:keepLines w:val="0"/>
              <w:suppressLineNumbers w:val="0"/>
              <w:spacing w:before="23" w:beforeAutospacing="0" w:after="0" w:afterAutospacing="0" w:line="206" w:lineRule="auto"/>
              <w:ind w:left="659" w:right="0"/>
              <w:rPr>
                <w:rFonts w:hint="default"/>
              </w:rPr>
            </w:pPr>
            <w:r>
              <w:rPr>
                <w:rFonts w:hint="default"/>
                <w:spacing w:val="-3"/>
              </w:rPr>
              <w:t>60℃</w:t>
            </w:r>
          </w:p>
        </w:tc>
        <w:tc>
          <w:tcPr>
            <w:tcW w:w="1797" w:type="dxa"/>
            <w:vAlign w:val="top"/>
          </w:tcPr>
          <w:p w14:paraId="6478CFBD">
            <w:pPr>
              <w:keepNext w:val="0"/>
              <w:keepLines w:val="0"/>
              <w:suppressLineNumbers w:val="0"/>
              <w:spacing w:before="0" w:beforeAutospacing="0" w:after="0" w:afterAutospacing="0" w:line="289" w:lineRule="auto"/>
              <w:ind w:left="0" w:right="0"/>
              <w:rPr>
                <w:rFonts w:hint="default" w:ascii="Arial"/>
                <w:sz w:val="21"/>
              </w:rPr>
            </w:pPr>
          </w:p>
          <w:p w14:paraId="29734EAD">
            <w:pPr>
              <w:pStyle w:val="22"/>
              <w:keepNext w:val="0"/>
              <w:keepLines w:val="0"/>
              <w:suppressLineNumbers w:val="0"/>
              <w:spacing w:before="68" w:beforeAutospacing="0" w:after="0" w:afterAutospacing="0" w:line="218" w:lineRule="auto"/>
              <w:ind w:left="119" w:right="0"/>
              <w:rPr>
                <w:rFonts w:hint="default"/>
              </w:rPr>
            </w:pPr>
            <w:r>
              <w:rPr>
                <w:rFonts w:hint="default"/>
                <w:spacing w:val="-1"/>
              </w:rPr>
              <w:t>管程：0.2, 60℃</w:t>
            </w:r>
          </w:p>
          <w:p w14:paraId="4FE202B2">
            <w:pPr>
              <w:pStyle w:val="22"/>
              <w:keepNext w:val="0"/>
              <w:keepLines w:val="0"/>
              <w:suppressLineNumbers w:val="0"/>
              <w:spacing w:before="25" w:beforeAutospacing="0" w:after="0" w:afterAutospacing="0" w:line="218" w:lineRule="auto"/>
              <w:ind w:left="119" w:right="0"/>
              <w:rPr>
                <w:rFonts w:hint="default"/>
              </w:rPr>
            </w:pPr>
            <w:r>
              <w:rPr>
                <w:rFonts w:hint="default"/>
                <w:spacing w:val="-1"/>
              </w:rPr>
              <w:t>壳程：0.4, 5℃</w:t>
            </w:r>
          </w:p>
        </w:tc>
        <w:tc>
          <w:tcPr>
            <w:tcW w:w="1159" w:type="dxa"/>
            <w:vAlign w:val="top"/>
          </w:tcPr>
          <w:p w14:paraId="64C6C0F2">
            <w:pPr>
              <w:keepNext w:val="0"/>
              <w:keepLines w:val="0"/>
              <w:suppressLineNumbers w:val="0"/>
              <w:spacing w:before="0" w:beforeAutospacing="0" w:after="0" w:afterAutospacing="0" w:line="460" w:lineRule="auto"/>
              <w:ind w:left="0" w:right="0"/>
              <w:rPr>
                <w:rFonts w:hint="default" w:ascii="Arial"/>
                <w:sz w:val="21"/>
              </w:rPr>
            </w:pPr>
          </w:p>
          <w:p w14:paraId="58BAB500">
            <w:pPr>
              <w:pStyle w:val="22"/>
              <w:keepNext w:val="0"/>
              <w:keepLines w:val="0"/>
              <w:suppressLineNumbers w:val="0"/>
              <w:spacing w:before="69" w:beforeAutospacing="0" w:after="0" w:afterAutospacing="0" w:line="182" w:lineRule="auto"/>
              <w:ind w:left="433" w:right="0"/>
              <w:rPr>
                <w:rFonts w:hint="default"/>
              </w:rPr>
            </w:pPr>
            <w:r>
              <w:rPr>
                <w:rFonts w:hint="default"/>
                <w:spacing w:val="-4"/>
              </w:rPr>
              <w:t>304</w:t>
            </w:r>
          </w:p>
        </w:tc>
        <w:tc>
          <w:tcPr>
            <w:tcW w:w="1667" w:type="dxa"/>
            <w:vAlign w:val="top"/>
          </w:tcPr>
          <w:p w14:paraId="4CF4C0A3">
            <w:pPr>
              <w:keepNext w:val="0"/>
              <w:keepLines w:val="0"/>
              <w:suppressLineNumbers w:val="0"/>
              <w:spacing w:before="0" w:beforeAutospacing="0" w:after="0" w:afterAutospacing="0" w:line="425" w:lineRule="auto"/>
              <w:ind w:left="0" w:right="0"/>
              <w:rPr>
                <w:rFonts w:hint="default" w:ascii="Arial"/>
                <w:sz w:val="21"/>
              </w:rPr>
            </w:pPr>
          </w:p>
          <w:p w14:paraId="407AC0B1">
            <w:pPr>
              <w:pStyle w:val="22"/>
              <w:keepNext w:val="0"/>
              <w:keepLines w:val="0"/>
              <w:suppressLineNumbers w:val="0"/>
              <w:spacing w:before="68" w:beforeAutospacing="0" w:after="0" w:afterAutospacing="0" w:line="221" w:lineRule="auto"/>
              <w:ind w:left="266" w:right="0"/>
              <w:rPr>
                <w:rFonts w:hint="default"/>
              </w:rPr>
            </w:pPr>
            <w:r>
              <w:rPr>
                <w:rFonts w:hint="default"/>
                <w:spacing w:val="-1"/>
              </w:rPr>
              <w:t>氨水/冷冻水</w:t>
            </w:r>
          </w:p>
        </w:tc>
        <w:tc>
          <w:tcPr>
            <w:tcW w:w="680" w:type="dxa"/>
            <w:vAlign w:val="top"/>
          </w:tcPr>
          <w:p w14:paraId="1DC52676">
            <w:pPr>
              <w:keepNext w:val="0"/>
              <w:keepLines w:val="0"/>
              <w:suppressLineNumbers w:val="0"/>
              <w:spacing w:before="0" w:beforeAutospacing="0" w:after="0" w:afterAutospacing="0" w:line="460" w:lineRule="auto"/>
              <w:ind w:left="0" w:right="0"/>
              <w:rPr>
                <w:rFonts w:hint="default" w:ascii="Arial"/>
                <w:sz w:val="21"/>
              </w:rPr>
            </w:pPr>
          </w:p>
          <w:p w14:paraId="621DE7FE">
            <w:pPr>
              <w:pStyle w:val="22"/>
              <w:keepNext w:val="0"/>
              <w:keepLines w:val="0"/>
              <w:suppressLineNumbers w:val="0"/>
              <w:spacing w:before="69" w:beforeAutospacing="0" w:after="0" w:afterAutospacing="0" w:line="182" w:lineRule="auto"/>
              <w:ind w:left="300" w:right="0"/>
              <w:rPr>
                <w:rFonts w:hint="default"/>
              </w:rPr>
            </w:pPr>
            <w:r>
              <w:rPr>
                <w:rFonts w:hint="default"/>
              </w:rPr>
              <w:t>3</w:t>
            </w:r>
          </w:p>
        </w:tc>
        <w:tc>
          <w:tcPr>
            <w:tcW w:w="1996" w:type="dxa"/>
            <w:vAlign w:val="top"/>
          </w:tcPr>
          <w:p w14:paraId="08A5D1FB">
            <w:pPr>
              <w:keepNext w:val="0"/>
              <w:keepLines w:val="0"/>
              <w:suppressLineNumbers w:val="0"/>
              <w:spacing w:before="0" w:beforeAutospacing="0" w:after="0" w:afterAutospacing="0" w:line="426" w:lineRule="auto"/>
              <w:ind w:left="0" w:right="0"/>
              <w:rPr>
                <w:rFonts w:hint="default" w:ascii="Arial"/>
                <w:sz w:val="21"/>
              </w:rPr>
            </w:pPr>
          </w:p>
          <w:p w14:paraId="04A0AFC4">
            <w:pPr>
              <w:pStyle w:val="22"/>
              <w:keepNext w:val="0"/>
              <w:keepLines w:val="0"/>
              <w:suppressLineNumbers w:val="0"/>
              <w:spacing w:before="68" w:beforeAutospacing="0" w:after="0" w:afterAutospacing="0" w:line="221" w:lineRule="auto"/>
              <w:ind w:left="691" w:right="0"/>
              <w:rPr>
                <w:rFonts w:hint="default"/>
              </w:rPr>
            </w:pPr>
            <w:r>
              <w:rPr>
                <w:rFonts w:hint="default"/>
                <w:spacing w:val="-2"/>
              </w:rPr>
              <w:t>液位计</w:t>
            </w:r>
          </w:p>
        </w:tc>
      </w:tr>
      <w:tr w14:paraId="43A4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88" w:type="dxa"/>
            <w:vAlign w:val="top"/>
          </w:tcPr>
          <w:p w14:paraId="694B3724">
            <w:pPr>
              <w:keepNext w:val="0"/>
              <w:keepLines w:val="0"/>
              <w:suppressLineNumbers w:val="0"/>
              <w:spacing w:before="0" w:beforeAutospacing="0" w:after="0" w:afterAutospacing="0" w:line="324" w:lineRule="auto"/>
              <w:ind w:left="0" w:right="0"/>
              <w:rPr>
                <w:rFonts w:hint="default" w:ascii="Arial"/>
                <w:sz w:val="21"/>
              </w:rPr>
            </w:pPr>
          </w:p>
          <w:p w14:paraId="488047CF">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10.</w:t>
            </w:r>
          </w:p>
        </w:tc>
        <w:tc>
          <w:tcPr>
            <w:tcW w:w="1286" w:type="dxa"/>
            <w:vAlign w:val="top"/>
          </w:tcPr>
          <w:p w14:paraId="1B59D9DA">
            <w:pPr>
              <w:keepNext w:val="0"/>
              <w:keepLines w:val="0"/>
              <w:suppressLineNumbers w:val="0"/>
              <w:spacing w:before="0" w:beforeAutospacing="0" w:after="0" w:afterAutospacing="0" w:line="324" w:lineRule="auto"/>
              <w:ind w:left="0" w:right="0"/>
              <w:rPr>
                <w:rFonts w:hint="default" w:ascii="Arial"/>
                <w:sz w:val="21"/>
              </w:rPr>
            </w:pPr>
          </w:p>
          <w:p w14:paraId="3725605B">
            <w:pPr>
              <w:pStyle w:val="22"/>
              <w:keepNext w:val="0"/>
              <w:keepLines w:val="0"/>
              <w:suppressLineNumbers w:val="0"/>
              <w:spacing w:before="68" w:beforeAutospacing="0" w:after="0" w:afterAutospacing="0" w:line="183" w:lineRule="auto"/>
              <w:ind w:left="276" w:right="0"/>
              <w:rPr>
                <w:rFonts w:hint="default"/>
              </w:rPr>
            </w:pPr>
            <w:r>
              <w:rPr>
                <w:rFonts w:hint="default"/>
                <w:spacing w:val="-1"/>
              </w:rPr>
              <w:t>E120201</w:t>
            </w:r>
          </w:p>
        </w:tc>
        <w:tc>
          <w:tcPr>
            <w:tcW w:w="1492" w:type="dxa"/>
            <w:vAlign w:val="top"/>
          </w:tcPr>
          <w:p w14:paraId="0373B373">
            <w:pPr>
              <w:keepNext w:val="0"/>
              <w:keepLines w:val="0"/>
              <w:suppressLineNumbers w:val="0"/>
              <w:spacing w:before="0" w:beforeAutospacing="0" w:after="0" w:afterAutospacing="0" w:line="290" w:lineRule="auto"/>
              <w:ind w:left="0" w:right="0"/>
              <w:rPr>
                <w:rFonts w:hint="default" w:ascii="Arial"/>
                <w:sz w:val="21"/>
              </w:rPr>
            </w:pPr>
          </w:p>
          <w:p w14:paraId="2C3C3D31">
            <w:pPr>
              <w:pStyle w:val="22"/>
              <w:keepNext w:val="0"/>
              <w:keepLines w:val="0"/>
              <w:suppressLineNumbers w:val="0"/>
              <w:spacing w:before="68" w:beforeAutospacing="0" w:after="0" w:afterAutospacing="0" w:line="221" w:lineRule="auto"/>
              <w:ind w:left="113" w:right="0"/>
              <w:rPr>
                <w:rFonts w:hint="default"/>
              </w:rPr>
            </w:pPr>
            <w:r>
              <w:rPr>
                <w:rFonts w:hint="default"/>
                <w:spacing w:val="-2"/>
              </w:rPr>
              <w:t>预处理蒸发器</w:t>
            </w:r>
          </w:p>
        </w:tc>
        <w:tc>
          <w:tcPr>
            <w:tcW w:w="2117" w:type="dxa"/>
            <w:vAlign w:val="top"/>
          </w:tcPr>
          <w:p w14:paraId="2BB62DF8">
            <w:pPr>
              <w:keepNext w:val="0"/>
              <w:keepLines w:val="0"/>
              <w:suppressLineNumbers w:val="0"/>
              <w:spacing w:before="0" w:beforeAutospacing="0" w:after="0" w:afterAutospacing="0" w:line="335" w:lineRule="auto"/>
              <w:ind w:left="0" w:right="0"/>
              <w:rPr>
                <w:rFonts w:hint="default" w:ascii="Arial"/>
                <w:sz w:val="21"/>
              </w:rPr>
            </w:pPr>
          </w:p>
          <w:p w14:paraId="584B26A5">
            <w:pPr>
              <w:pStyle w:val="22"/>
              <w:keepNext w:val="0"/>
              <w:keepLines w:val="0"/>
              <w:suppressLineNumbers w:val="0"/>
              <w:spacing w:before="61" w:beforeAutospacing="0" w:after="0" w:afterAutospacing="0" w:line="231" w:lineRule="auto"/>
              <w:ind w:left="504" w:right="0"/>
              <w:rPr>
                <w:rFonts w:hint="default"/>
                <w:sz w:val="19"/>
                <w:szCs w:val="19"/>
              </w:rPr>
            </w:pPr>
            <w:r>
              <w:rPr>
                <w:rFonts w:hint="default"/>
                <w:sz w:val="19"/>
                <w:szCs w:val="19"/>
              </w:rPr>
              <w:t>DN</w:t>
            </w:r>
            <w:r>
              <w:rPr>
                <w:rFonts w:hint="default"/>
                <w:spacing w:val="5"/>
                <w:sz w:val="19"/>
                <w:szCs w:val="19"/>
              </w:rPr>
              <w:t>1200</w:t>
            </w:r>
            <w:r>
              <w:rPr>
                <w:rFonts w:hint="default" w:ascii="Times New Roman" w:hAnsi="Times New Roman" w:eastAsia="Times New Roman" w:cs="Times New Roman"/>
                <w:spacing w:val="5"/>
                <w:sz w:val="19"/>
                <w:szCs w:val="19"/>
              </w:rPr>
              <w:t>×</w:t>
            </w:r>
            <w:r>
              <w:rPr>
                <w:rFonts w:hint="default"/>
                <w:spacing w:val="5"/>
                <w:sz w:val="19"/>
                <w:szCs w:val="19"/>
              </w:rPr>
              <w:t>2000</w:t>
            </w:r>
          </w:p>
        </w:tc>
        <w:tc>
          <w:tcPr>
            <w:tcW w:w="1727" w:type="dxa"/>
            <w:vAlign w:val="top"/>
          </w:tcPr>
          <w:p w14:paraId="20661D39">
            <w:pPr>
              <w:pStyle w:val="22"/>
              <w:keepNext w:val="0"/>
              <w:keepLines w:val="0"/>
              <w:suppressLineNumbers w:val="0"/>
              <w:spacing w:before="223" w:beforeAutospacing="0" w:after="0" w:afterAutospacing="0" w:line="218" w:lineRule="auto"/>
              <w:ind w:left="348" w:right="0"/>
              <w:rPr>
                <w:rFonts w:hint="default"/>
              </w:rPr>
            </w:pPr>
            <w:r>
              <w:rPr>
                <w:rFonts w:hint="default"/>
                <w:spacing w:val="-2"/>
              </w:rPr>
              <w:t>管程：0.8,</w:t>
            </w:r>
          </w:p>
          <w:p w14:paraId="47768ED4">
            <w:pPr>
              <w:pStyle w:val="22"/>
              <w:keepNext w:val="0"/>
              <w:keepLines w:val="0"/>
              <w:suppressLineNumbers w:val="0"/>
              <w:spacing w:before="26" w:beforeAutospacing="0" w:after="0" w:afterAutospacing="0" w:line="207" w:lineRule="auto"/>
              <w:ind w:left="131" w:right="0"/>
              <w:rPr>
                <w:rFonts w:hint="default"/>
              </w:rPr>
            </w:pPr>
            <w:r>
              <w:rPr>
                <w:rFonts w:hint="default"/>
                <w:spacing w:val="-8"/>
              </w:rPr>
              <w:t>190℃壳程：0.3,</w:t>
            </w:r>
          </w:p>
        </w:tc>
        <w:tc>
          <w:tcPr>
            <w:tcW w:w="1797" w:type="dxa"/>
            <w:vAlign w:val="top"/>
          </w:tcPr>
          <w:p w14:paraId="142D37A3">
            <w:pPr>
              <w:pStyle w:val="22"/>
              <w:keepNext w:val="0"/>
              <w:keepLines w:val="0"/>
              <w:suppressLineNumbers w:val="0"/>
              <w:spacing w:before="223" w:beforeAutospacing="0" w:after="0" w:afterAutospacing="0" w:line="218" w:lineRule="auto"/>
              <w:ind w:left="119" w:right="0"/>
              <w:rPr>
                <w:rFonts w:hint="default"/>
              </w:rPr>
            </w:pPr>
            <w:r>
              <w:rPr>
                <w:rFonts w:hint="default"/>
                <w:spacing w:val="-7"/>
              </w:rPr>
              <w:t>管程：0.5,</w:t>
            </w:r>
            <w:r>
              <w:rPr>
                <w:rFonts w:hint="default"/>
                <w:spacing w:val="-31"/>
              </w:rPr>
              <w:t xml:space="preserve"> </w:t>
            </w:r>
            <w:r>
              <w:rPr>
                <w:rFonts w:hint="default"/>
                <w:spacing w:val="-7"/>
              </w:rPr>
              <w:t>160℃</w:t>
            </w:r>
          </w:p>
          <w:p w14:paraId="5B72B42D">
            <w:pPr>
              <w:pStyle w:val="22"/>
              <w:keepNext w:val="0"/>
              <w:keepLines w:val="0"/>
              <w:suppressLineNumbers w:val="0"/>
              <w:spacing w:before="26" w:beforeAutospacing="0" w:after="0" w:afterAutospacing="0" w:line="207" w:lineRule="auto"/>
              <w:ind w:left="119" w:right="0"/>
              <w:rPr>
                <w:rFonts w:hint="default"/>
              </w:rPr>
            </w:pPr>
            <w:r>
              <w:rPr>
                <w:rFonts w:hint="default"/>
                <w:spacing w:val="-8"/>
              </w:rPr>
              <w:t>壳程：0.1,</w:t>
            </w:r>
            <w:r>
              <w:rPr>
                <w:rFonts w:hint="default"/>
                <w:spacing w:val="-22"/>
              </w:rPr>
              <w:t xml:space="preserve"> </w:t>
            </w:r>
            <w:r>
              <w:rPr>
                <w:rFonts w:hint="default"/>
                <w:spacing w:val="-8"/>
              </w:rPr>
              <w:t>125℃</w:t>
            </w:r>
          </w:p>
        </w:tc>
        <w:tc>
          <w:tcPr>
            <w:tcW w:w="1159" w:type="dxa"/>
            <w:vAlign w:val="top"/>
          </w:tcPr>
          <w:p w14:paraId="72784962">
            <w:pPr>
              <w:keepNext w:val="0"/>
              <w:keepLines w:val="0"/>
              <w:suppressLineNumbers w:val="0"/>
              <w:spacing w:before="0" w:beforeAutospacing="0" w:after="0" w:afterAutospacing="0" w:line="325" w:lineRule="auto"/>
              <w:ind w:left="0" w:right="0"/>
              <w:rPr>
                <w:rFonts w:hint="default" w:ascii="Arial"/>
                <w:sz w:val="21"/>
              </w:rPr>
            </w:pPr>
          </w:p>
          <w:p w14:paraId="3F1364EC">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56BF30E0">
            <w:pPr>
              <w:keepNext w:val="0"/>
              <w:keepLines w:val="0"/>
              <w:suppressLineNumbers w:val="0"/>
              <w:spacing w:before="0" w:beforeAutospacing="0" w:after="0" w:afterAutospacing="0" w:line="289" w:lineRule="auto"/>
              <w:ind w:left="0" w:right="0"/>
              <w:rPr>
                <w:rFonts w:hint="default" w:ascii="Arial"/>
                <w:sz w:val="21"/>
              </w:rPr>
            </w:pPr>
          </w:p>
          <w:p w14:paraId="13D4A130">
            <w:pPr>
              <w:pStyle w:val="22"/>
              <w:keepNext w:val="0"/>
              <w:keepLines w:val="0"/>
              <w:suppressLineNumbers w:val="0"/>
              <w:spacing w:before="69" w:beforeAutospacing="0" w:after="0" w:afterAutospacing="0" w:line="221" w:lineRule="auto"/>
              <w:ind w:left="269" w:right="0"/>
              <w:rPr>
                <w:rFonts w:hint="default"/>
              </w:rPr>
            </w:pPr>
            <w:r>
              <w:rPr>
                <w:rFonts w:hint="default"/>
                <w:spacing w:val="-2"/>
              </w:rPr>
              <w:t>蒸汽/异丙醇</w:t>
            </w:r>
          </w:p>
        </w:tc>
        <w:tc>
          <w:tcPr>
            <w:tcW w:w="680" w:type="dxa"/>
            <w:vAlign w:val="top"/>
          </w:tcPr>
          <w:p w14:paraId="3BAA35A7">
            <w:pPr>
              <w:keepNext w:val="0"/>
              <w:keepLines w:val="0"/>
              <w:suppressLineNumbers w:val="0"/>
              <w:spacing w:before="0" w:beforeAutospacing="0" w:after="0" w:afterAutospacing="0" w:line="324" w:lineRule="auto"/>
              <w:ind w:left="0" w:right="0"/>
              <w:rPr>
                <w:rFonts w:hint="default" w:ascii="Arial"/>
                <w:sz w:val="21"/>
              </w:rPr>
            </w:pPr>
          </w:p>
          <w:p w14:paraId="60BDC85C">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6D71EFAF">
            <w:pPr>
              <w:pStyle w:val="22"/>
              <w:keepNext w:val="0"/>
              <w:keepLines w:val="0"/>
              <w:suppressLineNumbers w:val="0"/>
              <w:spacing w:before="223" w:beforeAutospacing="0" w:after="0" w:afterAutospacing="0" w:line="224" w:lineRule="auto"/>
              <w:ind w:left="190" w:right="178" w:hanging="25"/>
              <w:rPr>
                <w:rFonts w:hint="default"/>
              </w:rPr>
            </w:pPr>
            <w:r>
              <w:rPr>
                <w:rFonts w:hint="default"/>
                <w:spacing w:val="-5"/>
              </w:rPr>
              <w:t>液位计、温度计、</w:t>
            </w:r>
            <w:r>
              <w:rPr>
                <w:rFonts w:hint="default"/>
                <w:spacing w:val="5"/>
              </w:rPr>
              <w:t xml:space="preserve"> </w:t>
            </w:r>
            <w:r>
              <w:rPr>
                <w:rFonts w:hint="default"/>
                <w:spacing w:val="-2"/>
              </w:rPr>
              <w:t>压力表、1</w:t>
            </w:r>
            <w:r>
              <w:rPr>
                <w:rFonts w:hint="default"/>
                <w:spacing w:val="-45"/>
              </w:rPr>
              <w:t xml:space="preserve"> </w:t>
            </w:r>
            <w:r>
              <w:rPr>
                <w:rFonts w:hint="default"/>
                <w:spacing w:val="-2"/>
              </w:rPr>
              <w:t>个安全</w:t>
            </w:r>
          </w:p>
        </w:tc>
      </w:tr>
    </w:tbl>
    <w:p w14:paraId="7276364C">
      <w:pPr>
        <w:pStyle w:val="6"/>
      </w:pPr>
    </w:p>
    <w:p w14:paraId="1CBE3725">
      <w:pPr>
        <w:sectPr>
          <w:headerReference r:id="rId25" w:type="default"/>
          <w:footerReference r:id="rId26" w:type="default"/>
          <w:pgSz w:w="16839" w:h="11907"/>
          <w:pgMar w:top="1120" w:right="1303" w:bottom="946" w:left="1020" w:header="809" w:footer="685" w:gutter="0"/>
          <w:cols w:space="720" w:num="1"/>
        </w:sectPr>
      </w:pPr>
    </w:p>
    <w:p w14:paraId="433688EC">
      <w:pPr>
        <w:spacing w:before="227"/>
      </w:pP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1286"/>
        <w:gridCol w:w="1492"/>
        <w:gridCol w:w="2117"/>
        <w:gridCol w:w="1727"/>
        <w:gridCol w:w="1797"/>
        <w:gridCol w:w="1159"/>
        <w:gridCol w:w="1667"/>
        <w:gridCol w:w="680"/>
        <w:gridCol w:w="1996"/>
      </w:tblGrid>
      <w:tr w14:paraId="49E57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88" w:type="dxa"/>
            <w:textDirection w:val="tbRlV"/>
            <w:vAlign w:val="top"/>
          </w:tcPr>
          <w:p w14:paraId="27BEAB0A">
            <w:pPr>
              <w:pStyle w:val="22"/>
              <w:keepNext w:val="0"/>
              <w:keepLines w:val="0"/>
              <w:suppressLineNumbers w:val="0"/>
              <w:spacing w:before="187" w:beforeAutospacing="0" w:after="0" w:afterAutospacing="0" w:line="211" w:lineRule="auto"/>
              <w:ind w:left="0" w:right="36"/>
              <w:jc w:val="right"/>
              <w:rPr>
                <w:rFonts w:hint="default"/>
              </w:rPr>
            </w:pPr>
            <w:r>
              <w:rPr>
                <w:rFonts w:hint="default"/>
                <w:b/>
                <w:bCs/>
                <w:spacing w:val="28"/>
              </w:rPr>
              <w:t>序号</w:t>
            </w:r>
          </w:p>
        </w:tc>
        <w:tc>
          <w:tcPr>
            <w:tcW w:w="1286" w:type="dxa"/>
            <w:vAlign w:val="top"/>
          </w:tcPr>
          <w:p w14:paraId="58B55C3E">
            <w:pPr>
              <w:keepNext w:val="0"/>
              <w:keepLines w:val="0"/>
              <w:suppressLineNumbers w:val="0"/>
              <w:spacing w:before="0" w:beforeAutospacing="0" w:after="0" w:afterAutospacing="0" w:line="290" w:lineRule="auto"/>
              <w:ind w:left="0" w:right="0"/>
              <w:rPr>
                <w:rFonts w:hint="default" w:ascii="Arial"/>
                <w:sz w:val="21"/>
              </w:rPr>
            </w:pPr>
          </w:p>
          <w:p w14:paraId="19BABD73">
            <w:pPr>
              <w:pStyle w:val="22"/>
              <w:keepNext w:val="0"/>
              <w:keepLines w:val="0"/>
              <w:suppressLineNumbers w:val="0"/>
              <w:spacing w:before="69" w:beforeAutospacing="0" w:after="0" w:afterAutospacing="0" w:line="222" w:lineRule="auto"/>
              <w:ind w:left="113" w:right="0"/>
              <w:rPr>
                <w:rFonts w:hint="default"/>
              </w:rPr>
            </w:pPr>
            <w:r>
              <w:rPr>
                <w:rFonts w:hint="default"/>
                <w:b/>
                <w:bCs/>
                <w:spacing w:val="-4"/>
              </w:rPr>
              <w:t>位号</w:t>
            </w:r>
          </w:p>
        </w:tc>
        <w:tc>
          <w:tcPr>
            <w:tcW w:w="1492" w:type="dxa"/>
            <w:vAlign w:val="top"/>
          </w:tcPr>
          <w:p w14:paraId="652209A6">
            <w:pPr>
              <w:keepNext w:val="0"/>
              <w:keepLines w:val="0"/>
              <w:suppressLineNumbers w:val="0"/>
              <w:spacing w:before="0" w:beforeAutospacing="0" w:after="0" w:afterAutospacing="0" w:line="290" w:lineRule="auto"/>
              <w:ind w:left="0" w:right="0"/>
              <w:rPr>
                <w:rFonts w:hint="default" w:ascii="Arial"/>
                <w:sz w:val="21"/>
              </w:rPr>
            </w:pPr>
          </w:p>
          <w:p w14:paraId="4102AA6B">
            <w:pPr>
              <w:pStyle w:val="22"/>
              <w:keepNext w:val="0"/>
              <w:keepLines w:val="0"/>
              <w:suppressLineNumbers w:val="0"/>
              <w:spacing w:before="69" w:beforeAutospacing="0" w:after="0" w:afterAutospacing="0" w:line="222" w:lineRule="auto"/>
              <w:ind w:left="115" w:right="0"/>
              <w:rPr>
                <w:rFonts w:hint="default"/>
              </w:rPr>
            </w:pPr>
            <w:r>
              <w:rPr>
                <w:rFonts w:hint="default"/>
                <w:b/>
                <w:bCs/>
                <w:spacing w:val="-4"/>
              </w:rPr>
              <w:t>设备名称</w:t>
            </w:r>
          </w:p>
        </w:tc>
        <w:tc>
          <w:tcPr>
            <w:tcW w:w="2117" w:type="dxa"/>
            <w:vAlign w:val="top"/>
          </w:tcPr>
          <w:p w14:paraId="643BD41B">
            <w:pPr>
              <w:keepNext w:val="0"/>
              <w:keepLines w:val="0"/>
              <w:suppressLineNumbers w:val="0"/>
              <w:spacing w:before="0" w:beforeAutospacing="0" w:after="0" w:afterAutospacing="0" w:line="290" w:lineRule="auto"/>
              <w:ind w:left="0" w:right="0"/>
              <w:rPr>
                <w:rFonts w:hint="default" w:ascii="Arial"/>
                <w:sz w:val="21"/>
              </w:rPr>
            </w:pPr>
          </w:p>
          <w:p w14:paraId="20CFAE91">
            <w:pPr>
              <w:pStyle w:val="22"/>
              <w:keepNext w:val="0"/>
              <w:keepLines w:val="0"/>
              <w:suppressLineNumbers w:val="0"/>
              <w:spacing w:before="68" w:beforeAutospacing="0" w:after="0" w:afterAutospacing="0" w:line="221" w:lineRule="auto"/>
              <w:ind w:left="644" w:right="0"/>
              <w:rPr>
                <w:rFonts w:hint="default"/>
              </w:rPr>
            </w:pPr>
            <w:r>
              <w:rPr>
                <w:rFonts w:hint="default"/>
                <w:b/>
                <w:bCs/>
                <w:spacing w:val="-4"/>
              </w:rPr>
              <w:t>规格型号</w:t>
            </w:r>
          </w:p>
        </w:tc>
        <w:tc>
          <w:tcPr>
            <w:tcW w:w="1727" w:type="dxa"/>
            <w:vAlign w:val="top"/>
          </w:tcPr>
          <w:p w14:paraId="1FE47E11">
            <w:pPr>
              <w:pStyle w:val="22"/>
              <w:keepNext w:val="0"/>
              <w:keepLines w:val="0"/>
              <w:suppressLineNumbers w:val="0"/>
              <w:spacing w:before="223" w:beforeAutospacing="0" w:after="0" w:afterAutospacing="0" w:line="224" w:lineRule="auto"/>
              <w:ind w:left="135" w:right="150" w:hanging="16"/>
              <w:rPr>
                <w:rFonts w:hint="default"/>
              </w:rPr>
            </w:pPr>
            <w:r>
              <w:rPr>
                <w:rFonts w:hint="default"/>
                <w:b/>
                <w:bCs/>
                <w:spacing w:val="-5"/>
              </w:rPr>
              <w:t>设计压力（MPɑ)</w:t>
            </w:r>
            <w:r>
              <w:rPr>
                <w:rFonts w:hint="default"/>
                <w:spacing w:val="6"/>
              </w:rPr>
              <w:t xml:space="preserve"> </w:t>
            </w:r>
            <w:r>
              <w:rPr>
                <w:rFonts w:hint="default"/>
                <w:b/>
                <w:bCs/>
                <w:spacing w:val="10"/>
              </w:rPr>
              <w:t>设计温度(℃)</w:t>
            </w:r>
          </w:p>
        </w:tc>
        <w:tc>
          <w:tcPr>
            <w:tcW w:w="1797" w:type="dxa"/>
            <w:vAlign w:val="top"/>
          </w:tcPr>
          <w:p w14:paraId="66605CE7">
            <w:pPr>
              <w:pStyle w:val="22"/>
              <w:keepNext w:val="0"/>
              <w:keepLines w:val="0"/>
              <w:suppressLineNumbers w:val="0"/>
              <w:spacing w:before="223" w:beforeAutospacing="0" w:after="0" w:afterAutospacing="0" w:line="224" w:lineRule="auto"/>
              <w:ind w:left="168" w:right="27" w:hanging="52"/>
              <w:rPr>
                <w:rFonts w:hint="default"/>
              </w:rPr>
            </w:pPr>
            <w:r>
              <w:rPr>
                <w:rFonts w:hint="default"/>
                <w:b/>
                <w:bCs/>
                <w:spacing w:val="-13"/>
              </w:rPr>
              <w:t>工作压力（MPɑ)</w:t>
            </w:r>
            <w:r>
              <w:rPr>
                <w:rFonts w:hint="default"/>
                <w:spacing w:val="-31"/>
              </w:rPr>
              <w:t xml:space="preserve"> </w:t>
            </w:r>
            <w:r>
              <w:rPr>
                <w:rFonts w:hint="default"/>
                <w:b/>
                <w:bCs/>
                <w:spacing w:val="-13"/>
              </w:rPr>
              <w:t>、</w:t>
            </w:r>
            <w:r>
              <w:rPr>
                <w:rFonts w:hint="default"/>
              </w:rPr>
              <w:t xml:space="preserve"> </w:t>
            </w:r>
            <w:r>
              <w:rPr>
                <w:rFonts w:hint="default"/>
                <w:b/>
                <w:bCs/>
                <w:spacing w:val="10"/>
              </w:rPr>
              <w:t>工作温度(℃)</w:t>
            </w:r>
          </w:p>
        </w:tc>
        <w:tc>
          <w:tcPr>
            <w:tcW w:w="1159" w:type="dxa"/>
            <w:vAlign w:val="top"/>
          </w:tcPr>
          <w:p w14:paraId="4BFBCFFA">
            <w:pPr>
              <w:keepNext w:val="0"/>
              <w:keepLines w:val="0"/>
              <w:suppressLineNumbers w:val="0"/>
              <w:spacing w:before="0" w:beforeAutospacing="0" w:after="0" w:afterAutospacing="0" w:line="290" w:lineRule="auto"/>
              <w:ind w:left="0" w:right="0"/>
              <w:rPr>
                <w:rFonts w:hint="default" w:ascii="Arial"/>
                <w:sz w:val="21"/>
              </w:rPr>
            </w:pPr>
          </w:p>
          <w:p w14:paraId="588D9130">
            <w:pPr>
              <w:pStyle w:val="22"/>
              <w:keepNext w:val="0"/>
              <w:keepLines w:val="0"/>
              <w:suppressLineNumbers w:val="0"/>
              <w:spacing w:before="68" w:beforeAutospacing="0" w:after="0" w:afterAutospacing="0" w:line="220" w:lineRule="auto"/>
              <w:ind w:left="376" w:right="0"/>
              <w:rPr>
                <w:rFonts w:hint="default"/>
              </w:rPr>
            </w:pPr>
            <w:r>
              <w:rPr>
                <w:rFonts w:hint="default"/>
                <w:b/>
                <w:bCs/>
                <w:spacing w:val="-4"/>
              </w:rPr>
              <w:t>材质</w:t>
            </w:r>
          </w:p>
        </w:tc>
        <w:tc>
          <w:tcPr>
            <w:tcW w:w="1667" w:type="dxa"/>
            <w:vAlign w:val="top"/>
          </w:tcPr>
          <w:p w14:paraId="3956B27A">
            <w:pPr>
              <w:keepNext w:val="0"/>
              <w:keepLines w:val="0"/>
              <w:suppressLineNumbers w:val="0"/>
              <w:spacing w:before="0" w:beforeAutospacing="0" w:after="0" w:afterAutospacing="0" w:line="290" w:lineRule="auto"/>
              <w:ind w:left="0" w:right="0"/>
              <w:rPr>
                <w:rFonts w:hint="default" w:ascii="Arial"/>
                <w:sz w:val="21"/>
              </w:rPr>
            </w:pPr>
          </w:p>
          <w:p w14:paraId="2150B8E3">
            <w:pPr>
              <w:pStyle w:val="22"/>
              <w:keepNext w:val="0"/>
              <w:keepLines w:val="0"/>
              <w:suppressLineNumbers w:val="0"/>
              <w:spacing w:before="68" w:beforeAutospacing="0" w:after="0" w:afterAutospacing="0" w:line="220" w:lineRule="auto"/>
              <w:ind w:left="631" w:right="0"/>
              <w:rPr>
                <w:rFonts w:hint="default"/>
              </w:rPr>
            </w:pPr>
            <w:r>
              <w:rPr>
                <w:rFonts w:hint="default"/>
                <w:b/>
                <w:bCs/>
                <w:spacing w:val="-4"/>
              </w:rPr>
              <w:t>介质</w:t>
            </w:r>
          </w:p>
        </w:tc>
        <w:tc>
          <w:tcPr>
            <w:tcW w:w="680" w:type="dxa"/>
            <w:vAlign w:val="top"/>
          </w:tcPr>
          <w:p w14:paraId="0068A755">
            <w:pPr>
              <w:keepNext w:val="0"/>
              <w:keepLines w:val="0"/>
              <w:suppressLineNumbers w:val="0"/>
              <w:spacing w:before="0" w:beforeAutospacing="0" w:after="0" w:afterAutospacing="0" w:line="290" w:lineRule="auto"/>
              <w:ind w:left="0" w:right="0"/>
              <w:rPr>
                <w:rFonts w:hint="default" w:ascii="Arial"/>
                <w:sz w:val="21"/>
              </w:rPr>
            </w:pPr>
          </w:p>
          <w:p w14:paraId="5D96015B">
            <w:pPr>
              <w:pStyle w:val="22"/>
              <w:keepNext w:val="0"/>
              <w:keepLines w:val="0"/>
              <w:suppressLineNumbers w:val="0"/>
              <w:spacing w:before="68" w:beforeAutospacing="0" w:after="0" w:afterAutospacing="0" w:line="221" w:lineRule="auto"/>
              <w:ind w:left="139" w:right="0"/>
              <w:rPr>
                <w:rFonts w:hint="default"/>
              </w:rPr>
            </w:pPr>
            <w:r>
              <w:rPr>
                <w:rFonts w:hint="default"/>
                <w:b/>
                <w:bCs/>
                <w:spacing w:val="-5"/>
              </w:rPr>
              <w:t>数量</w:t>
            </w:r>
          </w:p>
        </w:tc>
        <w:tc>
          <w:tcPr>
            <w:tcW w:w="1996" w:type="dxa"/>
            <w:vAlign w:val="top"/>
          </w:tcPr>
          <w:p w14:paraId="2A0C7D89">
            <w:pPr>
              <w:keepNext w:val="0"/>
              <w:keepLines w:val="0"/>
              <w:suppressLineNumbers w:val="0"/>
              <w:spacing w:before="0" w:beforeAutospacing="0" w:after="0" w:afterAutospacing="0" w:line="290" w:lineRule="auto"/>
              <w:ind w:left="0" w:right="0"/>
              <w:rPr>
                <w:rFonts w:hint="default" w:ascii="Arial"/>
                <w:sz w:val="21"/>
              </w:rPr>
            </w:pPr>
          </w:p>
          <w:p w14:paraId="36E8F145">
            <w:pPr>
              <w:pStyle w:val="22"/>
              <w:keepNext w:val="0"/>
              <w:keepLines w:val="0"/>
              <w:suppressLineNumbers w:val="0"/>
              <w:spacing w:before="68" w:beforeAutospacing="0" w:after="0" w:afterAutospacing="0" w:line="220" w:lineRule="auto"/>
              <w:ind w:left="588" w:right="0"/>
              <w:rPr>
                <w:rFonts w:hint="default"/>
              </w:rPr>
            </w:pPr>
            <w:r>
              <w:rPr>
                <w:rFonts w:hint="default"/>
                <w:b/>
                <w:bCs/>
                <w:spacing w:val="-4"/>
              </w:rPr>
              <w:t>安全附件</w:t>
            </w:r>
          </w:p>
        </w:tc>
      </w:tr>
      <w:tr w14:paraId="22B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8" w:type="dxa"/>
            <w:vAlign w:val="top"/>
          </w:tcPr>
          <w:p w14:paraId="425207A3">
            <w:pPr>
              <w:keepNext w:val="0"/>
              <w:keepLines w:val="0"/>
              <w:suppressLineNumbers w:val="0"/>
              <w:spacing w:before="0" w:beforeAutospacing="0" w:after="0" w:afterAutospacing="0"/>
              <w:ind w:left="0" w:right="0"/>
              <w:rPr>
                <w:rFonts w:hint="default" w:ascii="Arial"/>
                <w:sz w:val="21"/>
              </w:rPr>
            </w:pPr>
          </w:p>
        </w:tc>
        <w:tc>
          <w:tcPr>
            <w:tcW w:w="1286" w:type="dxa"/>
            <w:vAlign w:val="top"/>
          </w:tcPr>
          <w:p w14:paraId="4A1AF51B">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337F6400">
            <w:pPr>
              <w:keepNext w:val="0"/>
              <w:keepLines w:val="0"/>
              <w:suppressLineNumbers w:val="0"/>
              <w:spacing w:before="0" w:beforeAutospacing="0" w:after="0" w:afterAutospacing="0"/>
              <w:ind w:left="0" w:right="0"/>
              <w:rPr>
                <w:rFonts w:hint="default" w:ascii="Arial"/>
                <w:sz w:val="21"/>
              </w:rPr>
            </w:pPr>
          </w:p>
        </w:tc>
        <w:tc>
          <w:tcPr>
            <w:tcW w:w="2117" w:type="dxa"/>
            <w:vAlign w:val="top"/>
          </w:tcPr>
          <w:p w14:paraId="0D88DD9D">
            <w:pPr>
              <w:keepNext w:val="0"/>
              <w:keepLines w:val="0"/>
              <w:suppressLineNumbers w:val="0"/>
              <w:spacing w:before="0" w:beforeAutospacing="0" w:after="0" w:afterAutospacing="0"/>
              <w:ind w:left="0" w:right="0"/>
              <w:rPr>
                <w:rFonts w:hint="default" w:ascii="Arial"/>
                <w:sz w:val="21"/>
              </w:rPr>
            </w:pPr>
          </w:p>
        </w:tc>
        <w:tc>
          <w:tcPr>
            <w:tcW w:w="1727" w:type="dxa"/>
            <w:vAlign w:val="top"/>
          </w:tcPr>
          <w:p w14:paraId="4E138EF1">
            <w:pPr>
              <w:pStyle w:val="22"/>
              <w:keepNext w:val="0"/>
              <w:keepLines w:val="0"/>
              <w:suppressLineNumbers w:val="0"/>
              <w:spacing w:before="29" w:beforeAutospacing="0" w:after="0" w:afterAutospacing="0" w:line="239" w:lineRule="auto"/>
              <w:ind w:left="620" w:right="0"/>
              <w:rPr>
                <w:rFonts w:hint="default"/>
              </w:rPr>
            </w:pPr>
            <w:r>
              <w:rPr>
                <w:rFonts w:hint="default"/>
                <w:spacing w:val="-6"/>
              </w:rPr>
              <w:t>160℃</w:t>
            </w:r>
          </w:p>
        </w:tc>
        <w:tc>
          <w:tcPr>
            <w:tcW w:w="1797" w:type="dxa"/>
            <w:vAlign w:val="top"/>
          </w:tcPr>
          <w:p w14:paraId="7769AF63">
            <w:pPr>
              <w:keepNext w:val="0"/>
              <w:keepLines w:val="0"/>
              <w:suppressLineNumbers w:val="0"/>
              <w:spacing w:before="0" w:beforeAutospacing="0" w:after="0" w:afterAutospacing="0"/>
              <w:ind w:left="0" w:right="0"/>
              <w:rPr>
                <w:rFonts w:hint="default" w:ascii="Arial"/>
                <w:sz w:val="21"/>
              </w:rPr>
            </w:pPr>
          </w:p>
        </w:tc>
        <w:tc>
          <w:tcPr>
            <w:tcW w:w="1159" w:type="dxa"/>
            <w:vAlign w:val="top"/>
          </w:tcPr>
          <w:p w14:paraId="72E1143E">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5BE13BE5">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5C03AAEA">
            <w:pPr>
              <w:keepNext w:val="0"/>
              <w:keepLines w:val="0"/>
              <w:suppressLineNumbers w:val="0"/>
              <w:spacing w:before="0" w:beforeAutospacing="0" w:after="0" w:afterAutospacing="0"/>
              <w:ind w:left="0" w:right="0"/>
              <w:rPr>
                <w:rFonts w:hint="default" w:ascii="Arial"/>
                <w:sz w:val="21"/>
              </w:rPr>
            </w:pPr>
          </w:p>
        </w:tc>
        <w:tc>
          <w:tcPr>
            <w:tcW w:w="1996" w:type="dxa"/>
            <w:vAlign w:val="top"/>
          </w:tcPr>
          <w:p w14:paraId="4D21D13E">
            <w:pPr>
              <w:pStyle w:val="22"/>
              <w:keepNext w:val="0"/>
              <w:keepLines w:val="0"/>
              <w:suppressLineNumbers w:val="0"/>
              <w:spacing w:before="29" w:beforeAutospacing="0" w:after="0" w:afterAutospacing="0" w:line="221" w:lineRule="auto"/>
              <w:ind w:left="498" w:right="0"/>
              <w:rPr>
                <w:rFonts w:hint="default"/>
              </w:rPr>
            </w:pPr>
            <w:r>
              <w:rPr>
                <w:rFonts w:hint="default"/>
                <w:spacing w:val="-5"/>
              </w:rPr>
              <w:t>阀，切断阀</w:t>
            </w:r>
          </w:p>
        </w:tc>
      </w:tr>
      <w:tr w14:paraId="0D0BB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88" w:type="dxa"/>
            <w:vAlign w:val="top"/>
          </w:tcPr>
          <w:p w14:paraId="684F1DFD">
            <w:pPr>
              <w:pStyle w:val="22"/>
              <w:keepNext w:val="0"/>
              <w:keepLines w:val="0"/>
              <w:suppressLineNumbers w:val="0"/>
              <w:spacing w:before="254" w:beforeAutospacing="0" w:after="0" w:afterAutospacing="0" w:line="179" w:lineRule="auto"/>
              <w:ind w:left="131" w:right="0"/>
              <w:rPr>
                <w:rFonts w:hint="default"/>
              </w:rPr>
            </w:pPr>
            <w:r>
              <w:rPr>
                <w:rFonts w:hint="default"/>
                <w:spacing w:val="-5"/>
              </w:rPr>
              <w:t>11.</w:t>
            </w:r>
          </w:p>
        </w:tc>
        <w:tc>
          <w:tcPr>
            <w:tcW w:w="1286" w:type="dxa"/>
            <w:vAlign w:val="top"/>
          </w:tcPr>
          <w:p w14:paraId="20F583C8">
            <w:pPr>
              <w:pStyle w:val="22"/>
              <w:keepNext w:val="0"/>
              <w:keepLines w:val="0"/>
              <w:suppressLineNumbers w:val="0"/>
              <w:spacing w:before="254" w:beforeAutospacing="0" w:after="0" w:afterAutospacing="0" w:line="179" w:lineRule="auto"/>
              <w:ind w:left="276" w:right="0"/>
              <w:rPr>
                <w:rFonts w:hint="default"/>
              </w:rPr>
            </w:pPr>
            <w:r>
              <w:rPr>
                <w:rFonts w:hint="default"/>
                <w:spacing w:val="-1"/>
              </w:rPr>
              <w:t>T120201</w:t>
            </w:r>
          </w:p>
        </w:tc>
        <w:tc>
          <w:tcPr>
            <w:tcW w:w="1492" w:type="dxa"/>
            <w:vAlign w:val="top"/>
          </w:tcPr>
          <w:p w14:paraId="7357BBDD">
            <w:pPr>
              <w:pStyle w:val="22"/>
              <w:keepNext w:val="0"/>
              <w:keepLines w:val="0"/>
              <w:suppressLineNumbers w:val="0"/>
              <w:spacing w:before="220" w:beforeAutospacing="0" w:after="0" w:afterAutospacing="0" w:line="209" w:lineRule="auto"/>
              <w:ind w:left="113" w:right="0"/>
              <w:rPr>
                <w:rFonts w:hint="default"/>
              </w:rPr>
            </w:pPr>
            <w:r>
              <w:rPr>
                <w:rFonts w:hint="default"/>
                <w:spacing w:val="-2"/>
              </w:rPr>
              <w:t>预处理塔</w:t>
            </w:r>
          </w:p>
        </w:tc>
        <w:tc>
          <w:tcPr>
            <w:tcW w:w="2117" w:type="dxa"/>
            <w:vAlign w:val="top"/>
          </w:tcPr>
          <w:p w14:paraId="45A88794">
            <w:pPr>
              <w:pStyle w:val="22"/>
              <w:keepNext w:val="0"/>
              <w:keepLines w:val="0"/>
              <w:suppressLineNumbers w:val="0"/>
              <w:spacing w:before="228" w:beforeAutospacing="0" w:after="0" w:afterAutospacing="0" w:line="223" w:lineRule="auto"/>
              <w:ind w:left="511" w:right="0"/>
              <w:rPr>
                <w:rFonts w:hint="default"/>
                <w:sz w:val="19"/>
                <w:szCs w:val="19"/>
              </w:rPr>
            </w:pPr>
            <w:r>
              <w:rPr>
                <w:rFonts w:hint="default"/>
                <w:sz w:val="19"/>
                <w:szCs w:val="19"/>
              </w:rPr>
              <w:t>DN</w:t>
            </w:r>
            <w:r>
              <w:rPr>
                <w:rFonts w:hint="default"/>
                <w:spacing w:val="6"/>
                <w:sz w:val="19"/>
                <w:szCs w:val="19"/>
              </w:rPr>
              <w:t>300×6000</w:t>
            </w:r>
          </w:p>
        </w:tc>
        <w:tc>
          <w:tcPr>
            <w:tcW w:w="1727" w:type="dxa"/>
            <w:vAlign w:val="top"/>
          </w:tcPr>
          <w:p w14:paraId="77182189">
            <w:pPr>
              <w:pStyle w:val="22"/>
              <w:keepNext w:val="0"/>
              <w:keepLines w:val="0"/>
              <w:suppressLineNumbers w:val="0"/>
              <w:spacing w:before="220" w:beforeAutospacing="0" w:after="0" w:afterAutospacing="0" w:line="209" w:lineRule="auto"/>
              <w:ind w:left="398" w:right="0"/>
              <w:rPr>
                <w:rFonts w:hint="default"/>
              </w:rPr>
            </w:pPr>
            <w:r>
              <w:rPr>
                <w:rFonts w:hint="default"/>
                <w:spacing w:val="-1"/>
              </w:rPr>
              <w:t>0.3,160℃</w:t>
            </w:r>
          </w:p>
        </w:tc>
        <w:tc>
          <w:tcPr>
            <w:tcW w:w="1797" w:type="dxa"/>
            <w:vAlign w:val="top"/>
          </w:tcPr>
          <w:p w14:paraId="03908D86">
            <w:pPr>
              <w:pStyle w:val="22"/>
              <w:keepNext w:val="0"/>
              <w:keepLines w:val="0"/>
              <w:suppressLineNumbers w:val="0"/>
              <w:spacing w:before="220" w:beforeAutospacing="0" w:after="0" w:afterAutospacing="0" w:line="209" w:lineRule="auto"/>
              <w:ind w:left="432" w:right="0"/>
              <w:rPr>
                <w:rFonts w:hint="default"/>
              </w:rPr>
            </w:pPr>
            <w:r>
              <w:rPr>
                <w:rFonts w:hint="default"/>
                <w:spacing w:val="-1"/>
              </w:rPr>
              <w:t>0.1,125℃</w:t>
            </w:r>
          </w:p>
        </w:tc>
        <w:tc>
          <w:tcPr>
            <w:tcW w:w="1159" w:type="dxa"/>
            <w:vAlign w:val="top"/>
          </w:tcPr>
          <w:p w14:paraId="218A3EBF">
            <w:pPr>
              <w:pStyle w:val="22"/>
              <w:keepNext w:val="0"/>
              <w:keepLines w:val="0"/>
              <w:suppressLineNumbers w:val="0"/>
              <w:spacing w:before="255" w:beforeAutospacing="0" w:after="0" w:afterAutospacing="0" w:line="178" w:lineRule="auto"/>
              <w:ind w:left="433" w:right="0"/>
              <w:rPr>
                <w:rFonts w:hint="default"/>
              </w:rPr>
            </w:pPr>
            <w:r>
              <w:rPr>
                <w:rFonts w:hint="default"/>
                <w:spacing w:val="-4"/>
              </w:rPr>
              <w:t>304</w:t>
            </w:r>
          </w:p>
        </w:tc>
        <w:tc>
          <w:tcPr>
            <w:tcW w:w="1667" w:type="dxa"/>
            <w:vAlign w:val="top"/>
          </w:tcPr>
          <w:p w14:paraId="77459B88">
            <w:pPr>
              <w:pStyle w:val="22"/>
              <w:keepNext w:val="0"/>
              <w:keepLines w:val="0"/>
              <w:suppressLineNumbers w:val="0"/>
              <w:spacing w:before="220" w:beforeAutospacing="0" w:after="0" w:afterAutospacing="0" w:line="209" w:lineRule="auto"/>
              <w:ind w:left="530" w:right="0"/>
              <w:rPr>
                <w:rFonts w:hint="default"/>
              </w:rPr>
            </w:pPr>
            <w:r>
              <w:rPr>
                <w:rFonts w:hint="default"/>
                <w:spacing w:val="-2"/>
              </w:rPr>
              <w:t>异丙醇</w:t>
            </w:r>
          </w:p>
        </w:tc>
        <w:tc>
          <w:tcPr>
            <w:tcW w:w="680" w:type="dxa"/>
            <w:vAlign w:val="top"/>
          </w:tcPr>
          <w:p w14:paraId="5CE30066">
            <w:pPr>
              <w:pStyle w:val="22"/>
              <w:keepNext w:val="0"/>
              <w:keepLines w:val="0"/>
              <w:suppressLineNumbers w:val="0"/>
              <w:spacing w:before="254" w:beforeAutospacing="0" w:after="0" w:afterAutospacing="0" w:line="179" w:lineRule="auto"/>
              <w:ind w:left="312" w:right="0"/>
              <w:rPr>
                <w:rFonts w:hint="default"/>
              </w:rPr>
            </w:pPr>
            <w:r>
              <w:rPr>
                <w:rFonts w:hint="default"/>
              </w:rPr>
              <w:t>1</w:t>
            </w:r>
          </w:p>
        </w:tc>
        <w:tc>
          <w:tcPr>
            <w:tcW w:w="1996" w:type="dxa"/>
            <w:vAlign w:val="top"/>
          </w:tcPr>
          <w:p w14:paraId="32D00942">
            <w:pPr>
              <w:keepNext w:val="0"/>
              <w:keepLines w:val="0"/>
              <w:suppressLineNumbers w:val="0"/>
              <w:spacing w:before="0" w:beforeAutospacing="0" w:after="0" w:afterAutospacing="0"/>
              <w:ind w:left="0" w:right="0"/>
              <w:rPr>
                <w:rFonts w:hint="default" w:ascii="Arial"/>
                <w:sz w:val="21"/>
              </w:rPr>
            </w:pPr>
          </w:p>
        </w:tc>
      </w:tr>
      <w:tr w14:paraId="12FCF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588" w:type="dxa"/>
            <w:vAlign w:val="top"/>
          </w:tcPr>
          <w:p w14:paraId="57D6AA29">
            <w:pPr>
              <w:keepNext w:val="0"/>
              <w:keepLines w:val="0"/>
              <w:suppressLineNumbers w:val="0"/>
              <w:spacing w:before="0" w:beforeAutospacing="0" w:after="0" w:afterAutospacing="0" w:line="454" w:lineRule="auto"/>
              <w:ind w:left="0" w:right="0"/>
              <w:rPr>
                <w:rFonts w:hint="default" w:ascii="Arial"/>
                <w:sz w:val="21"/>
              </w:rPr>
            </w:pPr>
          </w:p>
          <w:p w14:paraId="014E5A84">
            <w:pPr>
              <w:pStyle w:val="22"/>
              <w:keepNext w:val="0"/>
              <w:keepLines w:val="0"/>
              <w:suppressLineNumbers w:val="0"/>
              <w:spacing w:before="69" w:beforeAutospacing="0" w:after="0" w:afterAutospacing="0" w:line="183" w:lineRule="auto"/>
              <w:ind w:left="131" w:right="0"/>
              <w:rPr>
                <w:rFonts w:hint="default"/>
              </w:rPr>
            </w:pPr>
            <w:r>
              <w:rPr>
                <w:rFonts w:hint="default"/>
                <w:spacing w:val="-5"/>
              </w:rPr>
              <w:t>12.</w:t>
            </w:r>
          </w:p>
        </w:tc>
        <w:tc>
          <w:tcPr>
            <w:tcW w:w="1286" w:type="dxa"/>
            <w:vAlign w:val="top"/>
          </w:tcPr>
          <w:p w14:paraId="3ACF5074">
            <w:pPr>
              <w:keepNext w:val="0"/>
              <w:keepLines w:val="0"/>
              <w:suppressLineNumbers w:val="0"/>
              <w:spacing w:before="0" w:beforeAutospacing="0" w:after="0" w:afterAutospacing="0" w:line="454" w:lineRule="auto"/>
              <w:ind w:left="0" w:right="0"/>
              <w:rPr>
                <w:rFonts w:hint="default" w:ascii="Arial"/>
                <w:sz w:val="21"/>
              </w:rPr>
            </w:pPr>
          </w:p>
          <w:p w14:paraId="567321D8">
            <w:pPr>
              <w:pStyle w:val="22"/>
              <w:keepNext w:val="0"/>
              <w:keepLines w:val="0"/>
              <w:suppressLineNumbers w:val="0"/>
              <w:spacing w:before="69" w:beforeAutospacing="0" w:after="0" w:afterAutospacing="0" w:line="183" w:lineRule="auto"/>
              <w:ind w:left="276" w:right="0"/>
              <w:rPr>
                <w:rFonts w:hint="default"/>
              </w:rPr>
            </w:pPr>
            <w:r>
              <w:rPr>
                <w:rFonts w:hint="default"/>
                <w:spacing w:val="-1"/>
              </w:rPr>
              <w:t>E120202</w:t>
            </w:r>
          </w:p>
        </w:tc>
        <w:tc>
          <w:tcPr>
            <w:tcW w:w="1492" w:type="dxa"/>
            <w:vAlign w:val="top"/>
          </w:tcPr>
          <w:p w14:paraId="5EAE93A2">
            <w:pPr>
              <w:keepNext w:val="0"/>
              <w:keepLines w:val="0"/>
              <w:suppressLineNumbers w:val="0"/>
              <w:spacing w:before="0" w:beforeAutospacing="0" w:after="0" w:afterAutospacing="0" w:line="421" w:lineRule="auto"/>
              <w:ind w:left="0" w:right="0"/>
              <w:rPr>
                <w:rFonts w:hint="default" w:ascii="Arial"/>
                <w:sz w:val="21"/>
              </w:rPr>
            </w:pPr>
          </w:p>
          <w:p w14:paraId="2396E09D">
            <w:pPr>
              <w:pStyle w:val="22"/>
              <w:keepNext w:val="0"/>
              <w:keepLines w:val="0"/>
              <w:suppressLineNumbers w:val="0"/>
              <w:spacing w:before="68" w:beforeAutospacing="0" w:after="0" w:afterAutospacing="0" w:line="221" w:lineRule="auto"/>
              <w:ind w:left="113" w:right="0"/>
              <w:rPr>
                <w:rFonts w:hint="default"/>
              </w:rPr>
            </w:pPr>
            <w:r>
              <w:rPr>
                <w:rFonts w:hint="default"/>
                <w:spacing w:val="-2"/>
              </w:rPr>
              <w:t>预处理冷凝器</w:t>
            </w:r>
          </w:p>
        </w:tc>
        <w:tc>
          <w:tcPr>
            <w:tcW w:w="2117" w:type="dxa"/>
            <w:vAlign w:val="top"/>
          </w:tcPr>
          <w:p w14:paraId="7B18B615">
            <w:pPr>
              <w:keepNext w:val="0"/>
              <w:keepLines w:val="0"/>
              <w:suppressLineNumbers w:val="0"/>
              <w:spacing w:before="0" w:beforeAutospacing="0" w:after="0" w:afterAutospacing="0" w:line="435" w:lineRule="auto"/>
              <w:ind w:left="0" w:right="0"/>
              <w:rPr>
                <w:rFonts w:hint="default" w:ascii="Arial"/>
                <w:sz w:val="21"/>
              </w:rPr>
            </w:pPr>
          </w:p>
          <w:p w14:paraId="38AF7CE3">
            <w:pPr>
              <w:pStyle w:val="22"/>
              <w:keepNext w:val="0"/>
              <w:keepLines w:val="0"/>
              <w:suppressLineNumbers w:val="0"/>
              <w:spacing w:before="62" w:beforeAutospacing="0" w:after="0" w:afterAutospacing="0" w:line="255" w:lineRule="exact"/>
              <w:ind w:left="511" w:right="0"/>
              <w:rPr>
                <w:rFonts w:hint="default"/>
                <w:sz w:val="19"/>
                <w:szCs w:val="19"/>
              </w:rPr>
            </w:pPr>
            <w:r>
              <w:rPr>
                <w:rFonts w:hint="default"/>
                <w:position w:val="1"/>
                <w:sz w:val="19"/>
                <w:szCs w:val="19"/>
              </w:rPr>
              <w:t>DN</w:t>
            </w:r>
            <w:r>
              <w:rPr>
                <w:rFonts w:hint="default"/>
                <w:spacing w:val="6"/>
                <w:position w:val="1"/>
                <w:sz w:val="19"/>
                <w:szCs w:val="19"/>
              </w:rPr>
              <w:t>600×3000</w:t>
            </w:r>
          </w:p>
        </w:tc>
        <w:tc>
          <w:tcPr>
            <w:tcW w:w="1727" w:type="dxa"/>
            <w:vAlign w:val="top"/>
          </w:tcPr>
          <w:p w14:paraId="02DAE454">
            <w:pPr>
              <w:pStyle w:val="22"/>
              <w:keepNext w:val="0"/>
              <w:keepLines w:val="0"/>
              <w:suppressLineNumbers w:val="0"/>
              <w:spacing w:before="219" w:beforeAutospacing="0" w:after="0" w:afterAutospacing="0" w:line="218" w:lineRule="auto"/>
              <w:ind w:left="348" w:right="0"/>
              <w:rPr>
                <w:rFonts w:hint="default"/>
              </w:rPr>
            </w:pPr>
            <w:r>
              <w:rPr>
                <w:rFonts w:hint="default"/>
                <w:spacing w:val="-2"/>
              </w:rPr>
              <w:t>管程：0.3,</w:t>
            </w:r>
          </w:p>
          <w:p w14:paraId="059F6EE3">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190℃壳程：0.5,</w:t>
            </w:r>
          </w:p>
          <w:p w14:paraId="0BD308CC">
            <w:pPr>
              <w:pStyle w:val="22"/>
              <w:keepNext w:val="0"/>
              <w:keepLines w:val="0"/>
              <w:suppressLineNumbers w:val="0"/>
              <w:spacing w:before="26" w:beforeAutospacing="0" w:after="0" w:afterAutospacing="0" w:line="206" w:lineRule="auto"/>
              <w:ind w:left="659" w:right="0"/>
              <w:rPr>
                <w:rFonts w:hint="default"/>
              </w:rPr>
            </w:pPr>
            <w:r>
              <w:rPr>
                <w:rFonts w:hint="default"/>
                <w:spacing w:val="-3"/>
              </w:rPr>
              <w:t>60℃</w:t>
            </w:r>
          </w:p>
        </w:tc>
        <w:tc>
          <w:tcPr>
            <w:tcW w:w="1797" w:type="dxa"/>
            <w:vAlign w:val="top"/>
          </w:tcPr>
          <w:p w14:paraId="0438F81B">
            <w:pPr>
              <w:keepNext w:val="0"/>
              <w:keepLines w:val="0"/>
              <w:suppressLineNumbers w:val="0"/>
              <w:spacing w:before="0" w:beforeAutospacing="0" w:after="0" w:afterAutospacing="0" w:line="286" w:lineRule="auto"/>
              <w:ind w:left="0" w:right="0"/>
              <w:rPr>
                <w:rFonts w:hint="default" w:ascii="Arial"/>
                <w:sz w:val="21"/>
              </w:rPr>
            </w:pPr>
          </w:p>
          <w:p w14:paraId="17390DF7">
            <w:pPr>
              <w:pStyle w:val="22"/>
              <w:keepNext w:val="0"/>
              <w:keepLines w:val="0"/>
              <w:suppressLineNumbers w:val="0"/>
              <w:spacing w:before="68" w:beforeAutospacing="0" w:after="0" w:afterAutospacing="0" w:line="218" w:lineRule="auto"/>
              <w:ind w:left="119" w:right="0"/>
              <w:rPr>
                <w:rFonts w:hint="default"/>
              </w:rPr>
            </w:pPr>
            <w:r>
              <w:rPr>
                <w:rFonts w:hint="default"/>
                <w:spacing w:val="-8"/>
              </w:rPr>
              <w:t>管程：0.1,</w:t>
            </w:r>
            <w:r>
              <w:rPr>
                <w:rFonts w:hint="default"/>
                <w:spacing w:val="-22"/>
              </w:rPr>
              <w:t xml:space="preserve"> </w:t>
            </w:r>
            <w:r>
              <w:rPr>
                <w:rFonts w:hint="default"/>
                <w:spacing w:val="-8"/>
              </w:rPr>
              <w:t>125℃</w:t>
            </w:r>
          </w:p>
          <w:p w14:paraId="37D76C64">
            <w:pPr>
              <w:pStyle w:val="22"/>
              <w:keepNext w:val="0"/>
              <w:keepLines w:val="0"/>
              <w:suppressLineNumbers w:val="0"/>
              <w:spacing w:before="23" w:beforeAutospacing="0" w:after="0" w:afterAutospacing="0" w:line="218" w:lineRule="auto"/>
              <w:ind w:left="119" w:right="0"/>
              <w:rPr>
                <w:rFonts w:hint="default"/>
              </w:rPr>
            </w:pPr>
            <w:r>
              <w:rPr>
                <w:rFonts w:hint="default"/>
                <w:spacing w:val="-1"/>
              </w:rPr>
              <w:t>壳程：0.3, 32℃</w:t>
            </w:r>
          </w:p>
        </w:tc>
        <w:tc>
          <w:tcPr>
            <w:tcW w:w="1159" w:type="dxa"/>
            <w:vAlign w:val="top"/>
          </w:tcPr>
          <w:p w14:paraId="29AFB819">
            <w:pPr>
              <w:keepNext w:val="0"/>
              <w:keepLines w:val="0"/>
              <w:suppressLineNumbers w:val="0"/>
              <w:spacing w:before="0" w:beforeAutospacing="0" w:after="0" w:afterAutospacing="0" w:line="456" w:lineRule="auto"/>
              <w:ind w:left="0" w:right="0"/>
              <w:rPr>
                <w:rFonts w:hint="default" w:ascii="Arial"/>
                <w:sz w:val="21"/>
              </w:rPr>
            </w:pPr>
          </w:p>
          <w:p w14:paraId="5B4EEF02">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6BC387F6">
            <w:pPr>
              <w:keepNext w:val="0"/>
              <w:keepLines w:val="0"/>
              <w:suppressLineNumbers w:val="0"/>
              <w:spacing w:before="0" w:beforeAutospacing="0" w:after="0" w:afterAutospacing="0" w:line="420" w:lineRule="auto"/>
              <w:ind w:left="0" w:right="0"/>
              <w:rPr>
                <w:rFonts w:hint="default" w:ascii="Arial"/>
                <w:sz w:val="21"/>
              </w:rPr>
            </w:pPr>
          </w:p>
          <w:p w14:paraId="5A33D42B">
            <w:pPr>
              <w:pStyle w:val="22"/>
              <w:keepNext w:val="0"/>
              <w:keepLines w:val="0"/>
              <w:suppressLineNumbers w:val="0"/>
              <w:spacing w:before="68" w:beforeAutospacing="0" w:after="0" w:afterAutospacing="0" w:line="221" w:lineRule="auto"/>
              <w:ind w:left="162" w:right="0"/>
              <w:rPr>
                <w:rFonts w:hint="default"/>
              </w:rPr>
            </w:pPr>
            <w:r>
              <w:rPr>
                <w:rFonts w:hint="default"/>
                <w:spacing w:val="-1"/>
              </w:rPr>
              <w:t>冷却水/异丙醇</w:t>
            </w:r>
          </w:p>
        </w:tc>
        <w:tc>
          <w:tcPr>
            <w:tcW w:w="680" w:type="dxa"/>
            <w:vAlign w:val="top"/>
          </w:tcPr>
          <w:p w14:paraId="0CEFD4F2">
            <w:pPr>
              <w:keepNext w:val="0"/>
              <w:keepLines w:val="0"/>
              <w:suppressLineNumbers w:val="0"/>
              <w:spacing w:before="0" w:beforeAutospacing="0" w:after="0" w:afterAutospacing="0" w:line="454" w:lineRule="auto"/>
              <w:ind w:left="0" w:right="0"/>
              <w:rPr>
                <w:rFonts w:hint="default" w:ascii="Arial"/>
                <w:sz w:val="21"/>
              </w:rPr>
            </w:pPr>
          </w:p>
          <w:p w14:paraId="643C45BB">
            <w:pPr>
              <w:pStyle w:val="22"/>
              <w:keepNext w:val="0"/>
              <w:keepLines w:val="0"/>
              <w:suppressLineNumbers w:val="0"/>
              <w:spacing w:before="69" w:beforeAutospacing="0" w:after="0" w:afterAutospacing="0" w:line="183" w:lineRule="auto"/>
              <w:ind w:left="312" w:right="0"/>
              <w:rPr>
                <w:rFonts w:hint="default"/>
              </w:rPr>
            </w:pPr>
            <w:r>
              <w:rPr>
                <w:rFonts w:hint="default"/>
              </w:rPr>
              <w:t>1</w:t>
            </w:r>
          </w:p>
        </w:tc>
        <w:tc>
          <w:tcPr>
            <w:tcW w:w="1996" w:type="dxa"/>
            <w:vAlign w:val="top"/>
          </w:tcPr>
          <w:p w14:paraId="54E35F7A">
            <w:pPr>
              <w:pStyle w:val="22"/>
              <w:keepNext w:val="0"/>
              <w:keepLines w:val="0"/>
              <w:suppressLineNumbers w:val="0"/>
              <w:spacing w:before="220" w:beforeAutospacing="0" w:after="0" w:afterAutospacing="0" w:line="221" w:lineRule="auto"/>
              <w:ind w:left="165" w:right="0"/>
              <w:rPr>
                <w:rFonts w:hint="default"/>
              </w:rPr>
            </w:pPr>
            <w:r>
              <w:rPr>
                <w:rFonts w:hint="default"/>
                <w:spacing w:val="-1"/>
              </w:rPr>
              <w:t>液位计、温度计、</w:t>
            </w:r>
          </w:p>
          <w:p w14:paraId="59959E29">
            <w:pPr>
              <w:pStyle w:val="22"/>
              <w:keepNext w:val="0"/>
              <w:keepLines w:val="0"/>
              <w:suppressLineNumbers w:val="0"/>
              <w:spacing w:before="20" w:beforeAutospacing="0" w:after="0" w:afterAutospacing="0" w:line="223" w:lineRule="auto"/>
              <w:ind w:left="498" w:right="178" w:hanging="307"/>
              <w:rPr>
                <w:rFonts w:hint="default"/>
              </w:rPr>
            </w:pPr>
            <w:r>
              <w:rPr>
                <w:rFonts w:hint="default"/>
                <w:spacing w:val="-2"/>
              </w:rPr>
              <w:t>压力表、1</w:t>
            </w:r>
            <w:r>
              <w:rPr>
                <w:rFonts w:hint="default"/>
                <w:spacing w:val="-45"/>
              </w:rPr>
              <w:t xml:space="preserve"> </w:t>
            </w:r>
            <w:r>
              <w:rPr>
                <w:rFonts w:hint="default"/>
                <w:spacing w:val="-2"/>
              </w:rPr>
              <w:t>个安全</w:t>
            </w:r>
            <w:r>
              <w:rPr>
                <w:rFonts w:hint="default"/>
              </w:rPr>
              <w:t xml:space="preserve"> </w:t>
            </w:r>
            <w:r>
              <w:rPr>
                <w:rFonts w:hint="default"/>
                <w:spacing w:val="-5"/>
              </w:rPr>
              <w:t>阀，切断阀</w:t>
            </w:r>
          </w:p>
        </w:tc>
      </w:tr>
      <w:tr w14:paraId="223A6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588" w:type="dxa"/>
            <w:vAlign w:val="top"/>
          </w:tcPr>
          <w:p w14:paraId="59901430">
            <w:pPr>
              <w:keepNext w:val="0"/>
              <w:keepLines w:val="0"/>
              <w:suppressLineNumbers w:val="0"/>
              <w:spacing w:before="0" w:beforeAutospacing="0" w:after="0" w:afterAutospacing="0" w:line="457" w:lineRule="auto"/>
              <w:ind w:left="0" w:right="0"/>
              <w:rPr>
                <w:rFonts w:hint="default" w:ascii="Arial"/>
                <w:sz w:val="21"/>
              </w:rPr>
            </w:pPr>
          </w:p>
          <w:p w14:paraId="5C678039">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13.</w:t>
            </w:r>
          </w:p>
        </w:tc>
        <w:tc>
          <w:tcPr>
            <w:tcW w:w="1286" w:type="dxa"/>
            <w:vAlign w:val="top"/>
          </w:tcPr>
          <w:p w14:paraId="373C7258">
            <w:pPr>
              <w:keepNext w:val="0"/>
              <w:keepLines w:val="0"/>
              <w:suppressLineNumbers w:val="0"/>
              <w:spacing w:before="0" w:beforeAutospacing="0" w:after="0" w:afterAutospacing="0" w:line="457" w:lineRule="auto"/>
              <w:ind w:left="0" w:right="0"/>
              <w:rPr>
                <w:rFonts w:hint="default" w:ascii="Arial"/>
                <w:sz w:val="21"/>
              </w:rPr>
            </w:pPr>
          </w:p>
          <w:p w14:paraId="08128536">
            <w:pPr>
              <w:pStyle w:val="22"/>
              <w:keepNext w:val="0"/>
              <w:keepLines w:val="0"/>
              <w:suppressLineNumbers w:val="0"/>
              <w:spacing w:before="68" w:beforeAutospacing="0" w:after="0" w:afterAutospacing="0" w:line="183" w:lineRule="auto"/>
              <w:ind w:left="118" w:right="0"/>
              <w:rPr>
                <w:rFonts w:hint="default"/>
              </w:rPr>
            </w:pPr>
            <w:r>
              <w:rPr>
                <w:rFonts w:hint="default"/>
                <w:spacing w:val="-1"/>
              </w:rPr>
              <w:t>E120202A-D</w:t>
            </w:r>
          </w:p>
        </w:tc>
        <w:tc>
          <w:tcPr>
            <w:tcW w:w="1492" w:type="dxa"/>
            <w:vAlign w:val="top"/>
          </w:tcPr>
          <w:p w14:paraId="31B40BBB">
            <w:pPr>
              <w:keepNext w:val="0"/>
              <w:keepLines w:val="0"/>
              <w:suppressLineNumbers w:val="0"/>
              <w:spacing w:before="0" w:beforeAutospacing="0" w:after="0" w:afterAutospacing="0" w:line="423" w:lineRule="auto"/>
              <w:ind w:left="0" w:right="0"/>
              <w:rPr>
                <w:rFonts w:hint="default" w:ascii="Arial"/>
                <w:sz w:val="21"/>
              </w:rPr>
            </w:pPr>
          </w:p>
          <w:p w14:paraId="776AAAEB">
            <w:pPr>
              <w:pStyle w:val="22"/>
              <w:keepNext w:val="0"/>
              <w:keepLines w:val="0"/>
              <w:suppressLineNumbers w:val="0"/>
              <w:spacing w:before="69" w:beforeAutospacing="0" w:after="0" w:afterAutospacing="0" w:line="221" w:lineRule="auto"/>
              <w:ind w:left="123" w:right="0"/>
              <w:rPr>
                <w:rFonts w:hint="default"/>
              </w:rPr>
            </w:pPr>
            <w:r>
              <w:rPr>
                <w:rFonts w:hint="default"/>
                <w:spacing w:val="-5"/>
              </w:rPr>
              <w:t>IPA</w:t>
            </w:r>
            <w:r>
              <w:rPr>
                <w:rFonts w:hint="default"/>
                <w:spacing w:val="-40"/>
              </w:rPr>
              <w:t xml:space="preserve"> </w:t>
            </w:r>
            <w:r>
              <w:rPr>
                <w:rFonts w:hint="default"/>
                <w:spacing w:val="-5"/>
              </w:rPr>
              <w:t>蒸发器</w:t>
            </w:r>
          </w:p>
        </w:tc>
        <w:tc>
          <w:tcPr>
            <w:tcW w:w="2117" w:type="dxa"/>
            <w:vAlign w:val="top"/>
          </w:tcPr>
          <w:p w14:paraId="43D0226A">
            <w:pPr>
              <w:keepNext w:val="0"/>
              <w:keepLines w:val="0"/>
              <w:suppressLineNumbers w:val="0"/>
              <w:spacing w:before="0" w:beforeAutospacing="0" w:after="0" w:afterAutospacing="0" w:line="470" w:lineRule="auto"/>
              <w:ind w:left="0" w:right="0"/>
              <w:rPr>
                <w:rFonts w:hint="default" w:ascii="Arial"/>
                <w:sz w:val="21"/>
              </w:rPr>
            </w:pPr>
          </w:p>
          <w:p w14:paraId="41C7B025">
            <w:pPr>
              <w:pStyle w:val="22"/>
              <w:keepNext w:val="0"/>
              <w:keepLines w:val="0"/>
              <w:suppressLineNumbers w:val="0"/>
              <w:spacing w:before="62" w:beforeAutospacing="0" w:after="0" w:afterAutospacing="0" w:line="231" w:lineRule="auto"/>
              <w:ind w:left="554" w:right="0"/>
              <w:rPr>
                <w:rFonts w:hint="default"/>
                <w:sz w:val="19"/>
                <w:szCs w:val="19"/>
              </w:rPr>
            </w:pPr>
            <w:r>
              <w:rPr>
                <w:rFonts w:hint="default"/>
                <w:sz w:val="19"/>
                <w:szCs w:val="19"/>
              </w:rPr>
              <w:t>DN</w:t>
            </w:r>
            <w:r>
              <w:rPr>
                <w:rFonts w:hint="default"/>
                <w:spacing w:val="5"/>
                <w:sz w:val="19"/>
                <w:szCs w:val="19"/>
              </w:rPr>
              <w:t>800</w:t>
            </w:r>
            <w:r>
              <w:rPr>
                <w:rFonts w:hint="default" w:ascii="Times New Roman" w:hAnsi="Times New Roman" w:eastAsia="Times New Roman" w:cs="Times New Roman"/>
                <w:spacing w:val="5"/>
                <w:sz w:val="19"/>
                <w:szCs w:val="19"/>
              </w:rPr>
              <w:t>×</w:t>
            </w:r>
            <w:r>
              <w:rPr>
                <w:rFonts w:hint="default"/>
                <w:spacing w:val="5"/>
                <w:sz w:val="19"/>
                <w:szCs w:val="19"/>
              </w:rPr>
              <w:t>1500</w:t>
            </w:r>
          </w:p>
        </w:tc>
        <w:tc>
          <w:tcPr>
            <w:tcW w:w="1727" w:type="dxa"/>
            <w:vAlign w:val="top"/>
          </w:tcPr>
          <w:p w14:paraId="0DE648CD">
            <w:pPr>
              <w:pStyle w:val="22"/>
              <w:keepNext w:val="0"/>
              <w:keepLines w:val="0"/>
              <w:suppressLineNumbers w:val="0"/>
              <w:spacing w:before="222" w:beforeAutospacing="0" w:after="0" w:afterAutospacing="0" w:line="218" w:lineRule="auto"/>
              <w:ind w:left="348" w:right="0"/>
              <w:rPr>
                <w:rFonts w:hint="default"/>
              </w:rPr>
            </w:pPr>
            <w:r>
              <w:rPr>
                <w:rFonts w:hint="default"/>
                <w:spacing w:val="-2"/>
              </w:rPr>
              <w:t>管程：0.8,</w:t>
            </w:r>
          </w:p>
          <w:p w14:paraId="74A2AC78">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190℃壳程：0.3,</w:t>
            </w:r>
          </w:p>
          <w:p w14:paraId="604F0246">
            <w:pPr>
              <w:pStyle w:val="22"/>
              <w:keepNext w:val="0"/>
              <w:keepLines w:val="0"/>
              <w:suppressLineNumbers w:val="0"/>
              <w:spacing w:before="25" w:beforeAutospacing="0" w:after="0" w:afterAutospacing="0" w:line="206" w:lineRule="auto"/>
              <w:ind w:left="620" w:right="0"/>
              <w:rPr>
                <w:rFonts w:hint="default"/>
              </w:rPr>
            </w:pPr>
            <w:r>
              <w:rPr>
                <w:rFonts w:hint="default"/>
                <w:spacing w:val="-6"/>
              </w:rPr>
              <w:t>160℃</w:t>
            </w:r>
          </w:p>
        </w:tc>
        <w:tc>
          <w:tcPr>
            <w:tcW w:w="1797" w:type="dxa"/>
            <w:vAlign w:val="top"/>
          </w:tcPr>
          <w:p w14:paraId="5AC7416F">
            <w:pPr>
              <w:keepNext w:val="0"/>
              <w:keepLines w:val="0"/>
              <w:suppressLineNumbers w:val="0"/>
              <w:spacing w:before="0" w:beforeAutospacing="0" w:after="0" w:afterAutospacing="0" w:line="287" w:lineRule="auto"/>
              <w:ind w:left="0" w:right="0"/>
              <w:rPr>
                <w:rFonts w:hint="default" w:ascii="Arial"/>
                <w:sz w:val="21"/>
              </w:rPr>
            </w:pPr>
          </w:p>
          <w:p w14:paraId="4C7F63D9">
            <w:pPr>
              <w:pStyle w:val="22"/>
              <w:keepNext w:val="0"/>
              <w:keepLines w:val="0"/>
              <w:suppressLineNumbers w:val="0"/>
              <w:spacing w:before="68" w:beforeAutospacing="0" w:after="0" w:afterAutospacing="0" w:line="218" w:lineRule="auto"/>
              <w:ind w:left="119" w:right="0"/>
              <w:rPr>
                <w:rFonts w:hint="default"/>
              </w:rPr>
            </w:pPr>
            <w:r>
              <w:rPr>
                <w:rFonts w:hint="default"/>
                <w:spacing w:val="-7"/>
              </w:rPr>
              <w:t>管程：0.5,</w:t>
            </w:r>
            <w:r>
              <w:rPr>
                <w:rFonts w:hint="default"/>
                <w:spacing w:val="-31"/>
              </w:rPr>
              <w:t xml:space="preserve"> </w:t>
            </w:r>
            <w:r>
              <w:rPr>
                <w:rFonts w:hint="default"/>
                <w:spacing w:val="-7"/>
              </w:rPr>
              <w:t>160℃</w:t>
            </w:r>
          </w:p>
          <w:p w14:paraId="3284D9F9">
            <w:pPr>
              <w:pStyle w:val="22"/>
              <w:keepNext w:val="0"/>
              <w:keepLines w:val="0"/>
              <w:suppressLineNumbers w:val="0"/>
              <w:spacing w:before="25" w:beforeAutospacing="0" w:after="0" w:afterAutospacing="0" w:line="218" w:lineRule="auto"/>
              <w:ind w:left="119" w:right="0"/>
              <w:rPr>
                <w:rFonts w:hint="default"/>
              </w:rPr>
            </w:pPr>
            <w:r>
              <w:rPr>
                <w:rFonts w:hint="default"/>
                <w:spacing w:val="-8"/>
              </w:rPr>
              <w:t>壳程：0.1,</w:t>
            </w:r>
            <w:r>
              <w:rPr>
                <w:rFonts w:hint="default"/>
                <w:spacing w:val="-22"/>
              </w:rPr>
              <w:t xml:space="preserve"> </w:t>
            </w:r>
            <w:r>
              <w:rPr>
                <w:rFonts w:hint="default"/>
                <w:spacing w:val="-8"/>
              </w:rPr>
              <w:t>125℃</w:t>
            </w:r>
          </w:p>
        </w:tc>
        <w:tc>
          <w:tcPr>
            <w:tcW w:w="1159" w:type="dxa"/>
            <w:vAlign w:val="top"/>
          </w:tcPr>
          <w:p w14:paraId="3CD2E843">
            <w:pPr>
              <w:keepNext w:val="0"/>
              <w:keepLines w:val="0"/>
              <w:suppressLineNumbers w:val="0"/>
              <w:spacing w:before="0" w:beforeAutospacing="0" w:after="0" w:afterAutospacing="0" w:line="458" w:lineRule="auto"/>
              <w:ind w:left="0" w:right="0"/>
              <w:rPr>
                <w:rFonts w:hint="default" w:ascii="Arial"/>
                <w:sz w:val="21"/>
              </w:rPr>
            </w:pPr>
          </w:p>
          <w:p w14:paraId="0167F8FB">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29CD8DCB">
            <w:pPr>
              <w:keepNext w:val="0"/>
              <w:keepLines w:val="0"/>
              <w:suppressLineNumbers w:val="0"/>
              <w:spacing w:before="0" w:beforeAutospacing="0" w:after="0" w:afterAutospacing="0" w:line="423" w:lineRule="auto"/>
              <w:ind w:left="0" w:right="0"/>
              <w:rPr>
                <w:rFonts w:hint="default" w:ascii="Arial"/>
                <w:sz w:val="21"/>
              </w:rPr>
            </w:pPr>
          </w:p>
          <w:p w14:paraId="123B676F">
            <w:pPr>
              <w:pStyle w:val="22"/>
              <w:keepNext w:val="0"/>
              <w:keepLines w:val="0"/>
              <w:suppressLineNumbers w:val="0"/>
              <w:spacing w:before="68" w:beforeAutospacing="0" w:after="0" w:afterAutospacing="0" w:line="221" w:lineRule="auto"/>
              <w:ind w:left="269" w:right="0"/>
              <w:rPr>
                <w:rFonts w:hint="default"/>
              </w:rPr>
            </w:pPr>
            <w:r>
              <w:rPr>
                <w:rFonts w:hint="default"/>
                <w:spacing w:val="-2"/>
              </w:rPr>
              <w:t>蒸汽/异丙醇</w:t>
            </w:r>
          </w:p>
        </w:tc>
        <w:tc>
          <w:tcPr>
            <w:tcW w:w="680" w:type="dxa"/>
            <w:vAlign w:val="top"/>
          </w:tcPr>
          <w:p w14:paraId="5C5FB014">
            <w:pPr>
              <w:keepNext w:val="0"/>
              <w:keepLines w:val="0"/>
              <w:suppressLineNumbers w:val="0"/>
              <w:spacing w:before="0" w:beforeAutospacing="0" w:after="0" w:afterAutospacing="0" w:line="458" w:lineRule="auto"/>
              <w:ind w:left="0" w:right="0"/>
              <w:rPr>
                <w:rFonts w:hint="default" w:ascii="Arial"/>
                <w:sz w:val="21"/>
              </w:rPr>
            </w:pPr>
          </w:p>
          <w:p w14:paraId="277A3E80">
            <w:pPr>
              <w:pStyle w:val="22"/>
              <w:keepNext w:val="0"/>
              <w:keepLines w:val="0"/>
              <w:suppressLineNumbers w:val="0"/>
              <w:spacing w:before="68" w:beforeAutospacing="0" w:after="0" w:afterAutospacing="0" w:line="182" w:lineRule="auto"/>
              <w:ind w:left="295" w:right="0"/>
              <w:rPr>
                <w:rFonts w:hint="default"/>
              </w:rPr>
            </w:pPr>
            <w:r>
              <w:rPr>
                <w:rFonts w:hint="default"/>
              </w:rPr>
              <w:t>4</w:t>
            </w:r>
          </w:p>
        </w:tc>
        <w:tc>
          <w:tcPr>
            <w:tcW w:w="1996" w:type="dxa"/>
            <w:vAlign w:val="top"/>
          </w:tcPr>
          <w:p w14:paraId="7A4E1934">
            <w:pPr>
              <w:pStyle w:val="22"/>
              <w:keepNext w:val="0"/>
              <w:keepLines w:val="0"/>
              <w:suppressLineNumbers w:val="0"/>
              <w:spacing w:before="223" w:beforeAutospacing="0" w:after="0" w:afterAutospacing="0" w:line="221" w:lineRule="auto"/>
              <w:ind w:left="165" w:right="0"/>
              <w:rPr>
                <w:rFonts w:hint="default"/>
              </w:rPr>
            </w:pPr>
            <w:r>
              <w:rPr>
                <w:rFonts w:hint="default"/>
                <w:spacing w:val="-1"/>
              </w:rPr>
              <w:t>液位计、温度计、</w:t>
            </w:r>
          </w:p>
          <w:p w14:paraId="3DA19AD4">
            <w:pPr>
              <w:pStyle w:val="22"/>
              <w:keepNext w:val="0"/>
              <w:keepLines w:val="0"/>
              <w:suppressLineNumbers w:val="0"/>
              <w:spacing w:before="19" w:beforeAutospacing="0" w:after="0" w:afterAutospacing="0" w:line="223" w:lineRule="auto"/>
              <w:ind w:left="498" w:right="178" w:hanging="307"/>
              <w:rPr>
                <w:rFonts w:hint="default"/>
              </w:rPr>
            </w:pPr>
            <w:r>
              <w:rPr>
                <w:rFonts w:hint="default"/>
                <w:spacing w:val="-2"/>
              </w:rPr>
              <w:t>压力表、1</w:t>
            </w:r>
            <w:r>
              <w:rPr>
                <w:rFonts w:hint="default"/>
                <w:spacing w:val="-45"/>
              </w:rPr>
              <w:t xml:space="preserve"> </w:t>
            </w:r>
            <w:r>
              <w:rPr>
                <w:rFonts w:hint="default"/>
                <w:spacing w:val="-2"/>
              </w:rPr>
              <w:t>个安全</w:t>
            </w:r>
            <w:r>
              <w:rPr>
                <w:rFonts w:hint="default"/>
              </w:rPr>
              <w:t xml:space="preserve"> </w:t>
            </w:r>
            <w:r>
              <w:rPr>
                <w:rFonts w:hint="default"/>
                <w:spacing w:val="-5"/>
              </w:rPr>
              <w:t>阀，切断阀</w:t>
            </w:r>
          </w:p>
        </w:tc>
      </w:tr>
      <w:tr w14:paraId="1311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88" w:type="dxa"/>
            <w:vAlign w:val="top"/>
          </w:tcPr>
          <w:p w14:paraId="017B8DAB">
            <w:pPr>
              <w:keepNext w:val="0"/>
              <w:keepLines w:val="0"/>
              <w:suppressLineNumbers w:val="0"/>
              <w:spacing w:before="0" w:beforeAutospacing="0" w:after="0" w:afterAutospacing="0" w:line="322" w:lineRule="auto"/>
              <w:ind w:left="0" w:right="0"/>
              <w:rPr>
                <w:rFonts w:hint="default" w:ascii="Arial"/>
                <w:sz w:val="21"/>
              </w:rPr>
            </w:pPr>
          </w:p>
          <w:p w14:paraId="6C6748B7">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14.</w:t>
            </w:r>
          </w:p>
        </w:tc>
        <w:tc>
          <w:tcPr>
            <w:tcW w:w="1286" w:type="dxa"/>
            <w:vAlign w:val="top"/>
          </w:tcPr>
          <w:p w14:paraId="26C749B7">
            <w:pPr>
              <w:keepNext w:val="0"/>
              <w:keepLines w:val="0"/>
              <w:suppressLineNumbers w:val="0"/>
              <w:spacing w:before="0" w:beforeAutospacing="0" w:after="0" w:afterAutospacing="0" w:line="322" w:lineRule="auto"/>
              <w:ind w:left="0" w:right="0"/>
              <w:rPr>
                <w:rFonts w:hint="default" w:ascii="Arial"/>
                <w:sz w:val="21"/>
              </w:rPr>
            </w:pPr>
          </w:p>
          <w:p w14:paraId="6CEE25E5">
            <w:pPr>
              <w:pStyle w:val="22"/>
              <w:keepNext w:val="0"/>
              <w:keepLines w:val="0"/>
              <w:suppressLineNumbers w:val="0"/>
              <w:spacing w:before="68" w:beforeAutospacing="0" w:after="0" w:afterAutospacing="0" w:line="183" w:lineRule="auto"/>
              <w:ind w:left="118" w:right="0"/>
              <w:rPr>
                <w:rFonts w:hint="default"/>
              </w:rPr>
            </w:pPr>
            <w:r>
              <w:rPr>
                <w:rFonts w:hint="default"/>
                <w:spacing w:val="-1"/>
              </w:rPr>
              <w:t>T120202A-D</w:t>
            </w:r>
          </w:p>
        </w:tc>
        <w:tc>
          <w:tcPr>
            <w:tcW w:w="1492" w:type="dxa"/>
            <w:vAlign w:val="top"/>
          </w:tcPr>
          <w:p w14:paraId="193E1671">
            <w:pPr>
              <w:keepNext w:val="0"/>
              <w:keepLines w:val="0"/>
              <w:suppressLineNumbers w:val="0"/>
              <w:spacing w:before="0" w:beforeAutospacing="0" w:after="0" w:afterAutospacing="0" w:line="288" w:lineRule="auto"/>
              <w:ind w:left="0" w:right="0"/>
              <w:rPr>
                <w:rFonts w:hint="default" w:ascii="Arial"/>
                <w:sz w:val="21"/>
              </w:rPr>
            </w:pPr>
          </w:p>
          <w:p w14:paraId="18890D2F">
            <w:pPr>
              <w:pStyle w:val="22"/>
              <w:keepNext w:val="0"/>
              <w:keepLines w:val="0"/>
              <w:suppressLineNumbers w:val="0"/>
              <w:spacing w:before="68" w:beforeAutospacing="0" w:after="0" w:afterAutospacing="0" w:line="222" w:lineRule="auto"/>
              <w:ind w:left="123" w:right="0"/>
              <w:rPr>
                <w:rFonts w:hint="default"/>
              </w:rPr>
            </w:pPr>
            <w:r>
              <w:rPr>
                <w:rFonts w:hint="default"/>
                <w:spacing w:val="-5"/>
              </w:rPr>
              <w:t>IPA</w:t>
            </w:r>
            <w:r>
              <w:rPr>
                <w:rFonts w:hint="default"/>
                <w:spacing w:val="-40"/>
              </w:rPr>
              <w:t xml:space="preserve"> </w:t>
            </w:r>
            <w:r>
              <w:rPr>
                <w:rFonts w:hint="default"/>
                <w:spacing w:val="-5"/>
              </w:rPr>
              <w:t>蒸馏塔</w:t>
            </w:r>
          </w:p>
        </w:tc>
        <w:tc>
          <w:tcPr>
            <w:tcW w:w="2117" w:type="dxa"/>
            <w:vAlign w:val="top"/>
          </w:tcPr>
          <w:p w14:paraId="25048E9B">
            <w:pPr>
              <w:keepNext w:val="0"/>
              <w:keepLines w:val="0"/>
              <w:suppressLineNumbers w:val="0"/>
              <w:spacing w:before="0" w:beforeAutospacing="0" w:after="0" w:afterAutospacing="0" w:line="302" w:lineRule="auto"/>
              <w:ind w:left="0" w:right="0"/>
              <w:rPr>
                <w:rFonts w:hint="default" w:ascii="Arial"/>
                <w:sz w:val="21"/>
              </w:rPr>
            </w:pPr>
          </w:p>
          <w:p w14:paraId="4C99C2E9">
            <w:pPr>
              <w:pStyle w:val="22"/>
              <w:keepNext w:val="0"/>
              <w:keepLines w:val="0"/>
              <w:suppressLineNumbers w:val="0"/>
              <w:spacing w:before="62" w:beforeAutospacing="0" w:after="0" w:afterAutospacing="0" w:line="256" w:lineRule="exact"/>
              <w:ind w:left="511" w:right="0"/>
              <w:rPr>
                <w:rFonts w:hint="default"/>
                <w:sz w:val="19"/>
                <w:szCs w:val="19"/>
              </w:rPr>
            </w:pPr>
            <w:r>
              <w:rPr>
                <w:rFonts w:hint="default"/>
                <w:position w:val="1"/>
                <w:sz w:val="19"/>
                <w:szCs w:val="19"/>
              </w:rPr>
              <w:t>DN</w:t>
            </w:r>
            <w:r>
              <w:rPr>
                <w:rFonts w:hint="default"/>
                <w:spacing w:val="6"/>
                <w:position w:val="1"/>
                <w:sz w:val="19"/>
                <w:szCs w:val="19"/>
              </w:rPr>
              <w:t>300×4000</w:t>
            </w:r>
          </w:p>
        </w:tc>
        <w:tc>
          <w:tcPr>
            <w:tcW w:w="1727" w:type="dxa"/>
            <w:vAlign w:val="top"/>
          </w:tcPr>
          <w:p w14:paraId="2F4BA14B">
            <w:pPr>
              <w:keepNext w:val="0"/>
              <w:keepLines w:val="0"/>
              <w:suppressLineNumbers w:val="0"/>
              <w:spacing w:before="0" w:beforeAutospacing="0" w:after="0" w:afterAutospacing="0" w:line="287" w:lineRule="auto"/>
              <w:ind w:left="0" w:right="0"/>
              <w:rPr>
                <w:rFonts w:hint="default" w:ascii="Arial"/>
                <w:sz w:val="21"/>
              </w:rPr>
            </w:pPr>
          </w:p>
          <w:p w14:paraId="3415A056">
            <w:pPr>
              <w:pStyle w:val="22"/>
              <w:keepNext w:val="0"/>
              <w:keepLines w:val="0"/>
              <w:suppressLineNumbers w:val="0"/>
              <w:spacing w:before="69" w:beforeAutospacing="0" w:after="0" w:afterAutospacing="0" w:line="218" w:lineRule="auto"/>
              <w:ind w:left="398" w:right="0"/>
              <w:rPr>
                <w:rFonts w:hint="default"/>
              </w:rPr>
            </w:pPr>
            <w:r>
              <w:rPr>
                <w:rFonts w:hint="default"/>
                <w:spacing w:val="-1"/>
              </w:rPr>
              <w:t>0.3,160℃</w:t>
            </w:r>
          </w:p>
        </w:tc>
        <w:tc>
          <w:tcPr>
            <w:tcW w:w="1797" w:type="dxa"/>
            <w:vAlign w:val="top"/>
          </w:tcPr>
          <w:p w14:paraId="3F95A6D8">
            <w:pPr>
              <w:keepNext w:val="0"/>
              <w:keepLines w:val="0"/>
              <w:suppressLineNumbers w:val="0"/>
              <w:spacing w:before="0" w:beforeAutospacing="0" w:after="0" w:afterAutospacing="0" w:line="287" w:lineRule="auto"/>
              <w:ind w:left="0" w:right="0"/>
              <w:rPr>
                <w:rFonts w:hint="default" w:ascii="Arial"/>
                <w:sz w:val="21"/>
              </w:rPr>
            </w:pPr>
          </w:p>
          <w:p w14:paraId="51D698E4">
            <w:pPr>
              <w:pStyle w:val="22"/>
              <w:keepNext w:val="0"/>
              <w:keepLines w:val="0"/>
              <w:suppressLineNumbers w:val="0"/>
              <w:spacing w:before="69" w:beforeAutospacing="0" w:after="0" w:afterAutospacing="0" w:line="218" w:lineRule="auto"/>
              <w:ind w:left="432" w:right="0"/>
              <w:rPr>
                <w:rFonts w:hint="default"/>
              </w:rPr>
            </w:pPr>
            <w:r>
              <w:rPr>
                <w:rFonts w:hint="default"/>
                <w:spacing w:val="-1"/>
              </w:rPr>
              <w:t>0.1,125℃</w:t>
            </w:r>
          </w:p>
        </w:tc>
        <w:tc>
          <w:tcPr>
            <w:tcW w:w="1159" w:type="dxa"/>
            <w:vAlign w:val="top"/>
          </w:tcPr>
          <w:p w14:paraId="5475193C">
            <w:pPr>
              <w:keepNext w:val="0"/>
              <w:keepLines w:val="0"/>
              <w:suppressLineNumbers w:val="0"/>
              <w:spacing w:before="0" w:beforeAutospacing="0" w:after="0" w:afterAutospacing="0" w:line="323" w:lineRule="auto"/>
              <w:ind w:left="0" w:right="0"/>
              <w:rPr>
                <w:rFonts w:hint="default" w:ascii="Arial"/>
                <w:sz w:val="21"/>
              </w:rPr>
            </w:pPr>
          </w:p>
          <w:p w14:paraId="32D435DA">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1B2B9294">
            <w:pPr>
              <w:keepNext w:val="0"/>
              <w:keepLines w:val="0"/>
              <w:suppressLineNumbers w:val="0"/>
              <w:spacing w:before="0" w:beforeAutospacing="0" w:after="0" w:afterAutospacing="0" w:line="287" w:lineRule="auto"/>
              <w:ind w:left="0" w:right="0"/>
              <w:rPr>
                <w:rFonts w:hint="default" w:ascii="Arial"/>
                <w:sz w:val="21"/>
              </w:rPr>
            </w:pPr>
          </w:p>
          <w:p w14:paraId="7BB515C4">
            <w:pPr>
              <w:pStyle w:val="22"/>
              <w:keepNext w:val="0"/>
              <w:keepLines w:val="0"/>
              <w:suppressLineNumbers w:val="0"/>
              <w:spacing w:before="68" w:beforeAutospacing="0" w:after="0" w:afterAutospacing="0" w:line="221" w:lineRule="auto"/>
              <w:ind w:left="530" w:right="0"/>
              <w:rPr>
                <w:rFonts w:hint="default"/>
              </w:rPr>
            </w:pPr>
            <w:r>
              <w:rPr>
                <w:rFonts w:hint="default"/>
                <w:spacing w:val="-2"/>
              </w:rPr>
              <w:t>异丙醇</w:t>
            </w:r>
          </w:p>
        </w:tc>
        <w:tc>
          <w:tcPr>
            <w:tcW w:w="680" w:type="dxa"/>
            <w:vAlign w:val="top"/>
          </w:tcPr>
          <w:p w14:paraId="23DA2A6B">
            <w:pPr>
              <w:keepNext w:val="0"/>
              <w:keepLines w:val="0"/>
              <w:suppressLineNumbers w:val="0"/>
              <w:spacing w:before="0" w:beforeAutospacing="0" w:after="0" w:afterAutospacing="0" w:line="323" w:lineRule="auto"/>
              <w:ind w:left="0" w:right="0"/>
              <w:rPr>
                <w:rFonts w:hint="default" w:ascii="Arial"/>
                <w:sz w:val="21"/>
              </w:rPr>
            </w:pPr>
          </w:p>
          <w:p w14:paraId="5AFEAC96">
            <w:pPr>
              <w:pStyle w:val="22"/>
              <w:keepNext w:val="0"/>
              <w:keepLines w:val="0"/>
              <w:suppressLineNumbers w:val="0"/>
              <w:spacing w:before="68" w:beforeAutospacing="0" w:after="0" w:afterAutospacing="0" w:line="182" w:lineRule="auto"/>
              <w:ind w:left="295" w:right="0"/>
              <w:rPr>
                <w:rFonts w:hint="default"/>
              </w:rPr>
            </w:pPr>
            <w:r>
              <w:rPr>
                <w:rFonts w:hint="default"/>
              </w:rPr>
              <w:t>4</w:t>
            </w:r>
          </w:p>
        </w:tc>
        <w:tc>
          <w:tcPr>
            <w:tcW w:w="1996" w:type="dxa"/>
            <w:vAlign w:val="top"/>
          </w:tcPr>
          <w:p w14:paraId="39C75DCE">
            <w:pPr>
              <w:pStyle w:val="22"/>
              <w:keepNext w:val="0"/>
              <w:keepLines w:val="0"/>
              <w:suppressLineNumbers w:val="0"/>
              <w:spacing w:before="221" w:beforeAutospacing="0" w:after="0" w:afterAutospacing="0" w:line="223" w:lineRule="auto"/>
              <w:ind w:left="690" w:right="183" w:hanging="525"/>
              <w:rPr>
                <w:rFonts w:hint="default"/>
              </w:rPr>
            </w:pPr>
            <w:r>
              <w:rPr>
                <w:rFonts w:hint="default"/>
                <w:spacing w:val="-5"/>
              </w:rPr>
              <w:t>温度计、压力表、</w:t>
            </w:r>
            <w:r>
              <w:rPr>
                <w:rFonts w:hint="default"/>
              </w:rPr>
              <w:t xml:space="preserve"> </w:t>
            </w:r>
            <w:r>
              <w:rPr>
                <w:rFonts w:hint="default"/>
                <w:spacing w:val="-2"/>
              </w:rPr>
              <w:t>液位计</w:t>
            </w:r>
          </w:p>
        </w:tc>
      </w:tr>
      <w:tr w14:paraId="3DBA4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588" w:type="dxa"/>
            <w:vAlign w:val="top"/>
          </w:tcPr>
          <w:p w14:paraId="04BDD51C">
            <w:pPr>
              <w:keepNext w:val="0"/>
              <w:keepLines w:val="0"/>
              <w:suppressLineNumbers w:val="0"/>
              <w:spacing w:before="0" w:beforeAutospacing="0" w:after="0" w:afterAutospacing="0" w:line="458" w:lineRule="auto"/>
              <w:ind w:left="0" w:right="0"/>
              <w:rPr>
                <w:rFonts w:hint="default" w:ascii="Arial"/>
                <w:sz w:val="21"/>
              </w:rPr>
            </w:pPr>
          </w:p>
          <w:p w14:paraId="27A4D0C6">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15.</w:t>
            </w:r>
          </w:p>
        </w:tc>
        <w:tc>
          <w:tcPr>
            <w:tcW w:w="1286" w:type="dxa"/>
            <w:vAlign w:val="top"/>
          </w:tcPr>
          <w:p w14:paraId="05E5F4FD">
            <w:pPr>
              <w:keepNext w:val="0"/>
              <w:keepLines w:val="0"/>
              <w:suppressLineNumbers w:val="0"/>
              <w:spacing w:before="0" w:beforeAutospacing="0" w:after="0" w:afterAutospacing="0" w:line="458" w:lineRule="auto"/>
              <w:ind w:left="0" w:right="0"/>
              <w:rPr>
                <w:rFonts w:hint="default" w:ascii="Arial"/>
                <w:sz w:val="21"/>
              </w:rPr>
            </w:pPr>
          </w:p>
          <w:p w14:paraId="11F15388">
            <w:pPr>
              <w:pStyle w:val="22"/>
              <w:keepNext w:val="0"/>
              <w:keepLines w:val="0"/>
              <w:suppressLineNumbers w:val="0"/>
              <w:spacing w:before="68" w:beforeAutospacing="0" w:after="0" w:afterAutospacing="0" w:line="183" w:lineRule="auto"/>
              <w:ind w:left="118" w:right="0"/>
              <w:rPr>
                <w:rFonts w:hint="default"/>
              </w:rPr>
            </w:pPr>
            <w:r>
              <w:rPr>
                <w:rFonts w:hint="default"/>
                <w:spacing w:val="-1"/>
              </w:rPr>
              <w:t>E120205A-D</w:t>
            </w:r>
          </w:p>
        </w:tc>
        <w:tc>
          <w:tcPr>
            <w:tcW w:w="1492" w:type="dxa"/>
            <w:vAlign w:val="top"/>
          </w:tcPr>
          <w:p w14:paraId="2DAEF76C">
            <w:pPr>
              <w:keepNext w:val="0"/>
              <w:keepLines w:val="0"/>
              <w:suppressLineNumbers w:val="0"/>
              <w:spacing w:before="0" w:beforeAutospacing="0" w:after="0" w:afterAutospacing="0" w:line="424" w:lineRule="auto"/>
              <w:ind w:left="0" w:right="0"/>
              <w:rPr>
                <w:rFonts w:hint="default" w:ascii="Arial"/>
                <w:sz w:val="21"/>
              </w:rPr>
            </w:pPr>
          </w:p>
          <w:p w14:paraId="533691DC">
            <w:pPr>
              <w:pStyle w:val="22"/>
              <w:keepNext w:val="0"/>
              <w:keepLines w:val="0"/>
              <w:suppressLineNumbers w:val="0"/>
              <w:spacing w:before="68" w:beforeAutospacing="0" w:after="0" w:afterAutospacing="0" w:line="222" w:lineRule="auto"/>
              <w:ind w:left="123" w:right="0"/>
              <w:rPr>
                <w:rFonts w:hint="default"/>
              </w:rPr>
            </w:pPr>
            <w:r>
              <w:rPr>
                <w:rFonts w:hint="default"/>
                <w:spacing w:val="-5"/>
              </w:rPr>
              <w:t>IPA</w:t>
            </w:r>
            <w:r>
              <w:rPr>
                <w:rFonts w:hint="default"/>
                <w:spacing w:val="-40"/>
              </w:rPr>
              <w:t xml:space="preserve"> </w:t>
            </w:r>
            <w:r>
              <w:rPr>
                <w:rFonts w:hint="default"/>
                <w:spacing w:val="-5"/>
              </w:rPr>
              <w:t>冷凝器</w:t>
            </w:r>
          </w:p>
        </w:tc>
        <w:tc>
          <w:tcPr>
            <w:tcW w:w="2117" w:type="dxa"/>
            <w:vAlign w:val="top"/>
          </w:tcPr>
          <w:p w14:paraId="412E42D9">
            <w:pPr>
              <w:keepNext w:val="0"/>
              <w:keepLines w:val="0"/>
              <w:suppressLineNumbers w:val="0"/>
              <w:spacing w:before="0" w:beforeAutospacing="0" w:after="0" w:afterAutospacing="0" w:line="438" w:lineRule="auto"/>
              <w:ind w:left="0" w:right="0"/>
              <w:rPr>
                <w:rFonts w:hint="default" w:ascii="Arial"/>
                <w:sz w:val="21"/>
              </w:rPr>
            </w:pPr>
          </w:p>
          <w:p w14:paraId="41AAC0A4">
            <w:pPr>
              <w:pStyle w:val="22"/>
              <w:keepNext w:val="0"/>
              <w:keepLines w:val="0"/>
              <w:suppressLineNumbers w:val="0"/>
              <w:spacing w:before="62" w:beforeAutospacing="0" w:after="0" w:afterAutospacing="0" w:line="256" w:lineRule="exact"/>
              <w:ind w:left="511" w:right="0"/>
              <w:rPr>
                <w:rFonts w:hint="default"/>
                <w:sz w:val="19"/>
                <w:szCs w:val="19"/>
              </w:rPr>
            </w:pPr>
            <w:r>
              <w:rPr>
                <w:rFonts w:hint="default"/>
                <w:position w:val="1"/>
                <w:sz w:val="19"/>
                <w:szCs w:val="19"/>
              </w:rPr>
              <w:t>DN</w:t>
            </w:r>
            <w:r>
              <w:rPr>
                <w:rFonts w:hint="default"/>
                <w:spacing w:val="6"/>
                <w:position w:val="1"/>
                <w:sz w:val="19"/>
                <w:szCs w:val="19"/>
              </w:rPr>
              <w:t>500×3000</w:t>
            </w:r>
          </w:p>
        </w:tc>
        <w:tc>
          <w:tcPr>
            <w:tcW w:w="1727" w:type="dxa"/>
            <w:vAlign w:val="top"/>
          </w:tcPr>
          <w:p w14:paraId="4FD725FB">
            <w:pPr>
              <w:pStyle w:val="22"/>
              <w:keepNext w:val="0"/>
              <w:keepLines w:val="0"/>
              <w:suppressLineNumbers w:val="0"/>
              <w:spacing w:before="223" w:beforeAutospacing="0" w:after="0" w:afterAutospacing="0" w:line="218" w:lineRule="auto"/>
              <w:ind w:left="348" w:right="0"/>
              <w:rPr>
                <w:rFonts w:hint="default"/>
              </w:rPr>
            </w:pPr>
            <w:r>
              <w:rPr>
                <w:rFonts w:hint="default"/>
                <w:spacing w:val="-2"/>
              </w:rPr>
              <w:t>管程：0.3,</w:t>
            </w:r>
          </w:p>
          <w:p w14:paraId="6CF3D177">
            <w:pPr>
              <w:pStyle w:val="22"/>
              <w:keepNext w:val="0"/>
              <w:keepLines w:val="0"/>
              <w:suppressLineNumbers w:val="0"/>
              <w:spacing w:before="23" w:beforeAutospacing="0" w:after="0" w:afterAutospacing="0" w:line="218" w:lineRule="auto"/>
              <w:ind w:left="131" w:right="0"/>
              <w:rPr>
                <w:rFonts w:hint="default"/>
              </w:rPr>
            </w:pPr>
            <w:r>
              <w:rPr>
                <w:rFonts w:hint="default"/>
                <w:spacing w:val="-8"/>
              </w:rPr>
              <w:t>190℃壳程：0.5,</w:t>
            </w:r>
          </w:p>
          <w:p w14:paraId="3EC8449D">
            <w:pPr>
              <w:pStyle w:val="22"/>
              <w:keepNext w:val="0"/>
              <w:keepLines w:val="0"/>
              <w:suppressLineNumbers w:val="0"/>
              <w:spacing w:before="25" w:beforeAutospacing="0" w:after="0" w:afterAutospacing="0" w:line="205" w:lineRule="auto"/>
              <w:ind w:left="659" w:right="0"/>
              <w:rPr>
                <w:rFonts w:hint="default"/>
              </w:rPr>
            </w:pPr>
            <w:r>
              <w:rPr>
                <w:rFonts w:hint="default"/>
                <w:spacing w:val="-3"/>
              </w:rPr>
              <w:t>60℃</w:t>
            </w:r>
          </w:p>
        </w:tc>
        <w:tc>
          <w:tcPr>
            <w:tcW w:w="1797" w:type="dxa"/>
            <w:vAlign w:val="top"/>
          </w:tcPr>
          <w:p w14:paraId="6936EE21">
            <w:pPr>
              <w:keepNext w:val="0"/>
              <w:keepLines w:val="0"/>
              <w:suppressLineNumbers w:val="0"/>
              <w:spacing w:before="0" w:beforeAutospacing="0" w:after="0" w:afterAutospacing="0" w:line="288" w:lineRule="auto"/>
              <w:ind w:left="0" w:right="0"/>
              <w:rPr>
                <w:rFonts w:hint="default" w:ascii="Arial"/>
                <w:sz w:val="21"/>
              </w:rPr>
            </w:pPr>
          </w:p>
          <w:p w14:paraId="3701D6D2">
            <w:pPr>
              <w:pStyle w:val="22"/>
              <w:keepNext w:val="0"/>
              <w:keepLines w:val="0"/>
              <w:suppressLineNumbers w:val="0"/>
              <w:spacing w:before="68" w:beforeAutospacing="0" w:after="0" w:afterAutospacing="0" w:line="218" w:lineRule="auto"/>
              <w:ind w:left="119" w:right="0"/>
              <w:rPr>
                <w:rFonts w:hint="default"/>
              </w:rPr>
            </w:pPr>
            <w:r>
              <w:rPr>
                <w:rFonts w:hint="default"/>
                <w:spacing w:val="-8"/>
              </w:rPr>
              <w:t>管程：0.1,</w:t>
            </w:r>
            <w:r>
              <w:rPr>
                <w:rFonts w:hint="default"/>
                <w:spacing w:val="-22"/>
              </w:rPr>
              <w:t xml:space="preserve"> </w:t>
            </w:r>
            <w:r>
              <w:rPr>
                <w:rFonts w:hint="default"/>
                <w:spacing w:val="-8"/>
              </w:rPr>
              <w:t>125℃</w:t>
            </w:r>
          </w:p>
          <w:p w14:paraId="5E9A1DDF">
            <w:pPr>
              <w:pStyle w:val="22"/>
              <w:keepNext w:val="0"/>
              <w:keepLines w:val="0"/>
              <w:suppressLineNumbers w:val="0"/>
              <w:spacing w:before="25" w:beforeAutospacing="0" w:after="0" w:afterAutospacing="0" w:line="218" w:lineRule="auto"/>
              <w:ind w:left="119" w:right="0"/>
              <w:rPr>
                <w:rFonts w:hint="default"/>
              </w:rPr>
            </w:pPr>
            <w:r>
              <w:rPr>
                <w:rFonts w:hint="default"/>
                <w:spacing w:val="-1"/>
              </w:rPr>
              <w:t>壳程：0.3, 32℃</w:t>
            </w:r>
          </w:p>
        </w:tc>
        <w:tc>
          <w:tcPr>
            <w:tcW w:w="1159" w:type="dxa"/>
            <w:vAlign w:val="top"/>
          </w:tcPr>
          <w:p w14:paraId="601C7C16">
            <w:pPr>
              <w:keepNext w:val="0"/>
              <w:keepLines w:val="0"/>
              <w:suppressLineNumbers w:val="0"/>
              <w:spacing w:before="0" w:beforeAutospacing="0" w:after="0" w:afterAutospacing="0" w:line="459" w:lineRule="auto"/>
              <w:ind w:left="0" w:right="0"/>
              <w:rPr>
                <w:rFonts w:hint="default" w:ascii="Arial"/>
                <w:sz w:val="21"/>
              </w:rPr>
            </w:pPr>
          </w:p>
          <w:p w14:paraId="2BE5DE79">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31C5B4B8">
            <w:pPr>
              <w:keepNext w:val="0"/>
              <w:keepLines w:val="0"/>
              <w:suppressLineNumbers w:val="0"/>
              <w:spacing w:before="0" w:beforeAutospacing="0" w:after="0" w:afterAutospacing="0" w:line="424" w:lineRule="auto"/>
              <w:ind w:left="0" w:right="0"/>
              <w:rPr>
                <w:rFonts w:hint="default" w:ascii="Arial"/>
                <w:sz w:val="21"/>
              </w:rPr>
            </w:pPr>
          </w:p>
          <w:p w14:paraId="24C2CF8E">
            <w:pPr>
              <w:pStyle w:val="22"/>
              <w:keepNext w:val="0"/>
              <w:keepLines w:val="0"/>
              <w:suppressLineNumbers w:val="0"/>
              <w:spacing w:before="68" w:beforeAutospacing="0" w:after="0" w:afterAutospacing="0" w:line="221" w:lineRule="auto"/>
              <w:ind w:left="162" w:right="0"/>
              <w:rPr>
                <w:rFonts w:hint="default"/>
              </w:rPr>
            </w:pPr>
            <w:r>
              <w:rPr>
                <w:rFonts w:hint="default"/>
                <w:spacing w:val="-1"/>
              </w:rPr>
              <w:t>冷却水/异丙醇</w:t>
            </w:r>
          </w:p>
        </w:tc>
        <w:tc>
          <w:tcPr>
            <w:tcW w:w="680" w:type="dxa"/>
            <w:vAlign w:val="top"/>
          </w:tcPr>
          <w:p w14:paraId="1411565E">
            <w:pPr>
              <w:keepNext w:val="0"/>
              <w:keepLines w:val="0"/>
              <w:suppressLineNumbers w:val="0"/>
              <w:spacing w:before="0" w:beforeAutospacing="0" w:after="0" w:afterAutospacing="0" w:line="459" w:lineRule="auto"/>
              <w:ind w:left="0" w:right="0"/>
              <w:rPr>
                <w:rFonts w:hint="default" w:ascii="Arial"/>
                <w:sz w:val="21"/>
              </w:rPr>
            </w:pPr>
          </w:p>
          <w:p w14:paraId="6F801588">
            <w:pPr>
              <w:pStyle w:val="22"/>
              <w:keepNext w:val="0"/>
              <w:keepLines w:val="0"/>
              <w:suppressLineNumbers w:val="0"/>
              <w:spacing w:before="68" w:beforeAutospacing="0" w:after="0" w:afterAutospacing="0" w:line="182" w:lineRule="auto"/>
              <w:ind w:left="295" w:right="0"/>
              <w:rPr>
                <w:rFonts w:hint="default"/>
              </w:rPr>
            </w:pPr>
            <w:r>
              <w:rPr>
                <w:rFonts w:hint="default"/>
              </w:rPr>
              <w:t>4</w:t>
            </w:r>
          </w:p>
        </w:tc>
        <w:tc>
          <w:tcPr>
            <w:tcW w:w="1996" w:type="dxa"/>
            <w:vAlign w:val="top"/>
          </w:tcPr>
          <w:p w14:paraId="22631177">
            <w:pPr>
              <w:keepNext w:val="0"/>
              <w:keepLines w:val="0"/>
              <w:suppressLineNumbers w:val="0"/>
              <w:spacing w:before="0" w:beforeAutospacing="0" w:after="0" w:afterAutospacing="0" w:line="424" w:lineRule="auto"/>
              <w:ind w:left="0" w:right="0"/>
              <w:rPr>
                <w:rFonts w:hint="default" w:ascii="Arial"/>
                <w:sz w:val="21"/>
              </w:rPr>
            </w:pPr>
          </w:p>
          <w:p w14:paraId="6C7E8728">
            <w:pPr>
              <w:pStyle w:val="22"/>
              <w:keepNext w:val="0"/>
              <w:keepLines w:val="0"/>
              <w:suppressLineNumbers w:val="0"/>
              <w:spacing w:before="69" w:beforeAutospacing="0" w:after="0" w:afterAutospacing="0" w:line="221" w:lineRule="auto"/>
              <w:ind w:left="271" w:right="0"/>
              <w:rPr>
                <w:rFonts w:hint="default"/>
              </w:rPr>
            </w:pPr>
            <w:r>
              <w:rPr>
                <w:rFonts w:hint="default"/>
                <w:spacing w:val="-1"/>
              </w:rPr>
              <w:t>温度计、液位计</w:t>
            </w:r>
          </w:p>
        </w:tc>
      </w:tr>
      <w:tr w14:paraId="017C3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8" w:type="dxa"/>
            <w:vAlign w:val="top"/>
          </w:tcPr>
          <w:p w14:paraId="6F6F2DE1">
            <w:pPr>
              <w:keepNext w:val="0"/>
              <w:keepLines w:val="0"/>
              <w:suppressLineNumbers w:val="0"/>
              <w:spacing w:before="0" w:beforeAutospacing="0" w:after="0" w:afterAutospacing="0" w:line="323" w:lineRule="auto"/>
              <w:ind w:left="0" w:right="0"/>
              <w:rPr>
                <w:rFonts w:hint="default" w:ascii="Arial"/>
                <w:sz w:val="21"/>
              </w:rPr>
            </w:pPr>
          </w:p>
          <w:p w14:paraId="30A25EA9">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16.</w:t>
            </w:r>
          </w:p>
        </w:tc>
        <w:tc>
          <w:tcPr>
            <w:tcW w:w="1286" w:type="dxa"/>
            <w:vAlign w:val="top"/>
          </w:tcPr>
          <w:p w14:paraId="62C1A6D9">
            <w:pPr>
              <w:keepNext w:val="0"/>
              <w:keepLines w:val="0"/>
              <w:suppressLineNumbers w:val="0"/>
              <w:spacing w:before="0" w:beforeAutospacing="0" w:after="0" w:afterAutospacing="0" w:line="323" w:lineRule="auto"/>
              <w:ind w:left="0" w:right="0"/>
              <w:rPr>
                <w:rFonts w:hint="default" w:ascii="Arial"/>
                <w:sz w:val="21"/>
              </w:rPr>
            </w:pPr>
          </w:p>
          <w:p w14:paraId="2B8FFEA7">
            <w:pPr>
              <w:pStyle w:val="22"/>
              <w:keepNext w:val="0"/>
              <w:keepLines w:val="0"/>
              <w:suppressLineNumbers w:val="0"/>
              <w:spacing w:before="68" w:beforeAutospacing="0" w:after="0" w:afterAutospacing="0" w:line="183" w:lineRule="auto"/>
              <w:ind w:left="276" w:right="0"/>
              <w:rPr>
                <w:rFonts w:hint="default"/>
              </w:rPr>
            </w:pPr>
            <w:r>
              <w:rPr>
                <w:rFonts w:hint="default"/>
                <w:spacing w:val="-1"/>
              </w:rPr>
              <w:t>E110201</w:t>
            </w:r>
          </w:p>
        </w:tc>
        <w:tc>
          <w:tcPr>
            <w:tcW w:w="1492" w:type="dxa"/>
            <w:vAlign w:val="top"/>
          </w:tcPr>
          <w:p w14:paraId="2E996D14">
            <w:pPr>
              <w:keepNext w:val="0"/>
              <w:keepLines w:val="0"/>
              <w:suppressLineNumbers w:val="0"/>
              <w:spacing w:before="0" w:beforeAutospacing="0" w:after="0" w:afterAutospacing="0" w:line="289" w:lineRule="auto"/>
              <w:ind w:left="0" w:right="0"/>
              <w:rPr>
                <w:rFonts w:hint="default" w:ascii="Arial"/>
                <w:sz w:val="21"/>
              </w:rPr>
            </w:pPr>
          </w:p>
          <w:p w14:paraId="5B512077">
            <w:pPr>
              <w:pStyle w:val="22"/>
              <w:keepNext w:val="0"/>
              <w:keepLines w:val="0"/>
              <w:suppressLineNumbers w:val="0"/>
              <w:spacing w:before="68" w:beforeAutospacing="0" w:after="0" w:afterAutospacing="0" w:line="221" w:lineRule="auto"/>
              <w:ind w:left="114" w:right="0"/>
              <w:rPr>
                <w:rFonts w:hint="default"/>
              </w:rPr>
            </w:pPr>
            <w:r>
              <w:rPr>
                <w:rFonts w:hint="default"/>
                <w:spacing w:val="-2"/>
              </w:rPr>
              <w:t>剥离液换热器</w:t>
            </w:r>
          </w:p>
        </w:tc>
        <w:tc>
          <w:tcPr>
            <w:tcW w:w="2117" w:type="dxa"/>
            <w:vAlign w:val="top"/>
          </w:tcPr>
          <w:p w14:paraId="53C0AD93">
            <w:pPr>
              <w:pStyle w:val="22"/>
              <w:keepNext w:val="0"/>
              <w:keepLines w:val="0"/>
              <w:suppressLineNumbers w:val="0"/>
              <w:spacing w:before="237" w:beforeAutospacing="0" w:after="0" w:afterAutospacing="0"/>
              <w:ind w:left="566" w:right="114" w:hanging="449"/>
              <w:rPr>
                <w:rFonts w:hint="default"/>
                <w:sz w:val="10"/>
                <w:szCs w:val="10"/>
              </w:rPr>
            </w:pPr>
            <w:r>
              <w:rPr>
                <w:rFonts w:hint="default"/>
                <w:spacing w:val="-3"/>
                <w:sz w:val="19"/>
                <w:szCs w:val="19"/>
              </w:rPr>
              <w:t>半焊式板式换热器，换</w:t>
            </w:r>
            <w:r>
              <w:rPr>
                <w:rFonts w:hint="default"/>
                <w:spacing w:val="8"/>
                <w:sz w:val="19"/>
                <w:szCs w:val="19"/>
              </w:rPr>
              <w:t xml:space="preserve"> </w:t>
            </w:r>
            <w:r>
              <w:rPr>
                <w:rFonts w:hint="default"/>
                <w:spacing w:val="3"/>
                <w:sz w:val="19"/>
                <w:szCs w:val="19"/>
              </w:rPr>
              <w:t>热面积</w:t>
            </w:r>
            <w:r>
              <w:rPr>
                <w:rFonts w:hint="default"/>
                <w:spacing w:val="-33"/>
                <w:sz w:val="19"/>
                <w:szCs w:val="19"/>
              </w:rPr>
              <w:t xml:space="preserve"> </w:t>
            </w:r>
            <w:r>
              <w:rPr>
                <w:rFonts w:hint="default"/>
                <w:spacing w:val="3"/>
                <w:sz w:val="19"/>
                <w:szCs w:val="19"/>
              </w:rPr>
              <w:t>20m</w:t>
            </w:r>
            <w:r>
              <w:rPr>
                <w:rFonts w:hint="default"/>
                <w:spacing w:val="3"/>
                <w:position w:val="9"/>
                <w:sz w:val="10"/>
                <w:szCs w:val="10"/>
              </w:rPr>
              <w:t>2</w:t>
            </w:r>
          </w:p>
        </w:tc>
        <w:tc>
          <w:tcPr>
            <w:tcW w:w="1727" w:type="dxa"/>
            <w:vAlign w:val="top"/>
          </w:tcPr>
          <w:p w14:paraId="25F5C1C7">
            <w:pPr>
              <w:pStyle w:val="22"/>
              <w:keepNext w:val="0"/>
              <w:keepLines w:val="0"/>
              <w:suppressLineNumbers w:val="0"/>
              <w:spacing w:before="222" w:beforeAutospacing="0" w:after="0" w:afterAutospacing="0" w:line="218" w:lineRule="auto"/>
              <w:ind w:left="120" w:right="0"/>
              <w:rPr>
                <w:rFonts w:hint="default"/>
              </w:rPr>
            </w:pPr>
            <w:r>
              <w:rPr>
                <w:rFonts w:hint="default"/>
                <w:spacing w:val="-5"/>
              </w:rPr>
              <w:t>管程：0.4,</w:t>
            </w:r>
            <w:r>
              <w:rPr>
                <w:rFonts w:hint="default"/>
                <w:spacing w:val="-26"/>
              </w:rPr>
              <w:t xml:space="preserve"> </w:t>
            </w:r>
            <w:r>
              <w:rPr>
                <w:rFonts w:hint="default"/>
                <w:spacing w:val="-5"/>
              </w:rPr>
              <w:t>60℃</w:t>
            </w:r>
          </w:p>
          <w:p w14:paraId="39A2632F">
            <w:pPr>
              <w:pStyle w:val="22"/>
              <w:keepNext w:val="0"/>
              <w:keepLines w:val="0"/>
              <w:suppressLineNumbers w:val="0"/>
              <w:spacing w:before="25" w:beforeAutospacing="0" w:after="0" w:afterAutospacing="0" w:line="207" w:lineRule="auto"/>
              <w:ind w:left="121" w:right="0"/>
              <w:rPr>
                <w:rFonts w:hint="default"/>
              </w:rPr>
            </w:pPr>
            <w:r>
              <w:rPr>
                <w:rFonts w:hint="default"/>
                <w:spacing w:val="-6"/>
              </w:rPr>
              <w:t>壳程：0.4,</w:t>
            </w:r>
            <w:r>
              <w:rPr>
                <w:rFonts w:hint="default"/>
                <w:spacing w:val="-17"/>
              </w:rPr>
              <w:t xml:space="preserve"> </w:t>
            </w:r>
            <w:r>
              <w:rPr>
                <w:rFonts w:hint="default"/>
                <w:spacing w:val="-6"/>
              </w:rPr>
              <w:t>60℃</w:t>
            </w:r>
          </w:p>
        </w:tc>
        <w:tc>
          <w:tcPr>
            <w:tcW w:w="1797" w:type="dxa"/>
            <w:vAlign w:val="top"/>
          </w:tcPr>
          <w:p w14:paraId="21B46C2C">
            <w:pPr>
              <w:pStyle w:val="22"/>
              <w:keepNext w:val="0"/>
              <w:keepLines w:val="0"/>
              <w:suppressLineNumbers w:val="0"/>
              <w:spacing w:before="222" w:beforeAutospacing="0" w:after="0" w:afterAutospacing="0" w:line="218" w:lineRule="auto"/>
              <w:ind w:left="121" w:right="0"/>
              <w:rPr>
                <w:rFonts w:hint="default"/>
              </w:rPr>
            </w:pPr>
            <w:r>
              <w:rPr>
                <w:rFonts w:hint="default"/>
                <w:spacing w:val="-1"/>
              </w:rPr>
              <w:t>管程：0.2, 40℃</w:t>
            </w:r>
          </w:p>
          <w:p w14:paraId="5C56E56F">
            <w:pPr>
              <w:pStyle w:val="22"/>
              <w:keepNext w:val="0"/>
              <w:keepLines w:val="0"/>
              <w:suppressLineNumbers w:val="0"/>
              <w:spacing w:before="25" w:beforeAutospacing="0" w:after="0" w:afterAutospacing="0" w:line="207" w:lineRule="auto"/>
              <w:ind w:left="175" w:right="0"/>
              <w:rPr>
                <w:rFonts w:hint="default"/>
              </w:rPr>
            </w:pPr>
            <w:r>
              <w:rPr>
                <w:rFonts w:hint="default"/>
                <w:spacing w:val="-1"/>
              </w:rPr>
              <w:t>壳程：0.4, 5℃</w:t>
            </w:r>
          </w:p>
        </w:tc>
        <w:tc>
          <w:tcPr>
            <w:tcW w:w="1159" w:type="dxa"/>
            <w:vAlign w:val="top"/>
          </w:tcPr>
          <w:p w14:paraId="4CE4F79B">
            <w:pPr>
              <w:keepNext w:val="0"/>
              <w:keepLines w:val="0"/>
              <w:suppressLineNumbers w:val="0"/>
              <w:spacing w:before="0" w:beforeAutospacing="0" w:after="0" w:afterAutospacing="0" w:line="289" w:lineRule="auto"/>
              <w:ind w:left="0" w:right="0"/>
              <w:rPr>
                <w:rFonts w:hint="default" w:ascii="Arial"/>
                <w:sz w:val="21"/>
              </w:rPr>
            </w:pPr>
          </w:p>
          <w:p w14:paraId="7EDC4FAD">
            <w:pPr>
              <w:pStyle w:val="22"/>
              <w:keepNext w:val="0"/>
              <w:keepLines w:val="0"/>
              <w:suppressLineNumbers w:val="0"/>
              <w:spacing w:before="68" w:beforeAutospacing="0" w:after="0" w:afterAutospacing="0" w:line="221" w:lineRule="auto"/>
              <w:ind w:left="482" w:right="0"/>
              <w:rPr>
                <w:rFonts w:hint="default"/>
              </w:rPr>
            </w:pPr>
            <w:r>
              <w:rPr>
                <w:rFonts w:hint="default"/>
              </w:rPr>
              <w:t>钛</w:t>
            </w:r>
          </w:p>
        </w:tc>
        <w:tc>
          <w:tcPr>
            <w:tcW w:w="1667" w:type="dxa"/>
            <w:vAlign w:val="top"/>
          </w:tcPr>
          <w:p w14:paraId="1739D2C3">
            <w:pPr>
              <w:keepNext w:val="0"/>
              <w:keepLines w:val="0"/>
              <w:suppressLineNumbers w:val="0"/>
              <w:spacing w:before="0" w:beforeAutospacing="0" w:after="0" w:afterAutospacing="0" w:line="288" w:lineRule="auto"/>
              <w:ind w:left="0" w:right="0"/>
              <w:rPr>
                <w:rFonts w:hint="default" w:ascii="Arial"/>
                <w:sz w:val="21"/>
              </w:rPr>
            </w:pPr>
          </w:p>
          <w:p w14:paraId="455652DE">
            <w:pPr>
              <w:pStyle w:val="22"/>
              <w:keepNext w:val="0"/>
              <w:keepLines w:val="0"/>
              <w:suppressLineNumbers w:val="0"/>
              <w:spacing w:before="68" w:beforeAutospacing="0" w:after="0" w:afterAutospacing="0" w:line="221" w:lineRule="auto"/>
              <w:ind w:left="163" w:right="0"/>
              <w:rPr>
                <w:rFonts w:hint="default"/>
              </w:rPr>
            </w:pPr>
            <w:r>
              <w:rPr>
                <w:rFonts w:hint="default"/>
                <w:spacing w:val="-2"/>
              </w:rPr>
              <w:t>剥离液/冷冻水</w:t>
            </w:r>
          </w:p>
        </w:tc>
        <w:tc>
          <w:tcPr>
            <w:tcW w:w="680" w:type="dxa"/>
            <w:vAlign w:val="top"/>
          </w:tcPr>
          <w:p w14:paraId="458E9D5D">
            <w:pPr>
              <w:keepNext w:val="0"/>
              <w:keepLines w:val="0"/>
              <w:suppressLineNumbers w:val="0"/>
              <w:spacing w:before="0" w:beforeAutospacing="0" w:after="0" w:afterAutospacing="0" w:line="323" w:lineRule="auto"/>
              <w:ind w:left="0" w:right="0"/>
              <w:rPr>
                <w:rFonts w:hint="default" w:ascii="Arial"/>
                <w:sz w:val="21"/>
              </w:rPr>
            </w:pPr>
          </w:p>
          <w:p w14:paraId="3FED2B68">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1D75E32C">
            <w:pPr>
              <w:keepNext w:val="0"/>
              <w:keepLines w:val="0"/>
              <w:suppressLineNumbers w:val="0"/>
              <w:spacing w:before="0" w:beforeAutospacing="0" w:after="0" w:afterAutospacing="0" w:line="289" w:lineRule="auto"/>
              <w:ind w:left="0" w:right="0"/>
              <w:rPr>
                <w:rFonts w:hint="default" w:ascii="Arial"/>
                <w:sz w:val="21"/>
              </w:rPr>
            </w:pPr>
          </w:p>
          <w:p w14:paraId="775000CD">
            <w:pPr>
              <w:pStyle w:val="22"/>
              <w:keepNext w:val="0"/>
              <w:keepLines w:val="0"/>
              <w:suppressLineNumbers w:val="0"/>
              <w:spacing w:before="68" w:beforeAutospacing="0" w:after="0" w:afterAutospacing="0" w:line="221" w:lineRule="auto"/>
              <w:ind w:left="271" w:right="0"/>
              <w:rPr>
                <w:rFonts w:hint="default"/>
              </w:rPr>
            </w:pPr>
            <w:r>
              <w:rPr>
                <w:rFonts w:hint="default"/>
                <w:spacing w:val="-1"/>
              </w:rPr>
              <w:t>温度计、液位计</w:t>
            </w:r>
          </w:p>
        </w:tc>
      </w:tr>
      <w:tr w14:paraId="026BC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588" w:type="dxa"/>
            <w:vAlign w:val="top"/>
          </w:tcPr>
          <w:p w14:paraId="34146C55">
            <w:pPr>
              <w:keepNext w:val="0"/>
              <w:keepLines w:val="0"/>
              <w:suppressLineNumbers w:val="0"/>
              <w:spacing w:before="0" w:beforeAutospacing="0" w:after="0" w:afterAutospacing="0" w:line="457" w:lineRule="auto"/>
              <w:ind w:left="0" w:right="0"/>
              <w:rPr>
                <w:rFonts w:hint="default" w:ascii="Arial"/>
                <w:sz w:val="21"/>
              </w:rPr>
            </w:pPr>
          </w:p>
          <w:p w14:paraId="2EFCC2C3">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17.</w:t>
            </w:r>
          </w:p>
        </w:tc>
        <w:tc>
          <w:tcPr>
            <w:tcW w:w="1286" w:type="dxa"/>
            <w:vAlign w:val="top"/>
          </w:tcPr>
          <w:p w14:paraId="1E3A6DBB">
            <w:pPr>
              <w:keepNext w:val="0"/>
              <w:keepLines w:val="0"/>
              <w:suppressLineNumbers w:val="0"/>
              <w:spacing w:before="0" w:beforeAutospacing="0" w:after="0" w:afterAutospacing="0" w:line="422" w:lineRule="auto"/>
              <w:ind w:left="0" w:right="0"/>
              <w:rPr>
                <w:rFonts w:hint="default" w:ascii="Arial"/>
                <w:sz w:val="21"/>
              </w:rPr>
            </w:pPr>
          </w:p>
          <w:p w14:paraId="59CAF663">
            <w:pPr>
              <w:pStyle w:val="22"/>
              <w:keepNext w:val="0"/>
              <w:keepLines w:val="0"/>
              <w:suppressLineNumbers w:val="0"/>
              <w:spacing w:before="68" w:beforeAutospacing="0" w:after="0" w:afterAutospacing="0" w:line="226" w:lineRule="auto"/>
              <w:ind w:left="115" w:right="0"/>
              <w:rPr>
                <w:rFonts w:hint="default"/>
              </w:rPr>
            </w:pPr>
            <w:r>
              <w:rPr>
                <w:rFonts w:hint="default"/>
              </w:rPr>
              <w:t>V250101A/B</w:t>
            </w:r>
          </w:p>
        </w:tc>
        <w:tc>
          <w:tcPr>
            <w:tcW w:w="1492" w:type="dxa"/>
            <w:vAlign w:val="top"/>
          </w:tcPr>
          <w:p w14:paraId="07024108">
            <w:pPr>
              <w:keepNext w:val="0"/>
              <w:keepLines w:val="0"/>
              <w:suppressLineNumbers w:val="0"/>
              <w:spacing w:before="0" w:beforeAutospacing="0" w:after="0" w:afterAutospacing="0" w:line="422" w:lineRule="auto"/>
              <w:ind w:left="0" w:right="0"/>
              <w:rPr>
                <w:rFonts w:hint="default" w:ascii="Arial"/>
                <w:sz w:val="21"/>
              </w:rPr>
            </w:pPr>
          </w:p>
          <w:p w14:paraId="15F7A890">
            <w:pPr>
              <w:pStyle w:val="22"/>
              <w:keepNext w:val="0"/>
              <w:keepLines w:val="0"/>
              <w:suppressLineNumbers w:val="0"/>
              <w:spacing w:before="68" w:beforeAutospacing="0" w:after="0" w:afterAutospacing="0" w:line="221" w:lineRule="auto"/>
              <w:ind w:left="113" w:right="0"/>
              <w:rPr>
                <w:rFonts w:hint="default"/>
              </w:rPr>
            </w:pPr>
            <w:r>
              <w:rPr>
                <w:rFonts w:hint="default"/>
                <w:spacing w:val="-2"/>
              </w:rPr>
              <w:t>液氨储罐</w:t>
            </w:r>
          </w:p>
        </w:tc>
        <w:tc>
          <w:tcPr>
            <w:tcW w:w="2117" w:type="dxa"/>
            <w:vAlign w:val="top"/>
          </w:tcPr>
          <w:p w14:paraId="5E595A51">
            <w:pPr>
              <w:keepNext w:val="0"/>
              <w:keepLines w:val="0"/>
              <w:suppressLineNumbers w:val="0"/>
              <w:spacing w:before="0" w:beforeAutospacing="0" w:after="0" w:afterAutospacing="0" w:line="437" w:lineRule="auto"/>
              <w:ind w:left="0" w:right="0"/>
              <w:rPr>
                <w:rFonts w:hint="default" w:ascii="Arial"/>
                <w:sz w:val="21"/>
              </w:rPr>
            </w:pPr>
          </w:p>
          <w:p w14:paraId="4E63F8A6">
            <w:pPr>
              <w:pStyle w:val="22"/>
              <w:keepNext w:val="0"/>
              <w:keepLines w:val="0"/>
              <w:suppressLineNumbers w:val="0"/>
              <w:spacing w:before="61" w:beforeAutospacing="0" w:after="0" w:afterAutospacing="0" w:line="241" w:lineRule="auto"/>
              <w:ind w:left="110" w:right="0"/>
              <w:rPr>
                <w:rFonts w:hint="default"/>
                <w:sz w:val="19"/>
                <w:szCs w:val="19"/>
              </w:rPr>
            </w:pPr>
            <w:r>
              <w:rPr>
                <w:rFonts w:hint="default"/>
                <w:sz w:val="19"/>
                <w:szCs w:val="19"/>
              </w:rPr>
              <w:t>DN</w:t>
            </w:r>
            <w:r>
              <w:rPr>
                <w:rFonts w:hint="default"/>
                <w:spacing w:val="5"/>
                <w:sz w:val="19"/>
                <w:szCs w:val="19"/>
              </w:rPr>
              <w:t>2600×8500（50m</w:t>
            </w:r>
            <w:r>
              <w:rPr>
                <w:rFonts w:hint="default"/>
                <w:spacing w:val="5"/>
                <w:position w:val="9"/>
                <w:sz w:val="10"/>
                <w:szCs w:val="10"/>
              </w:rPr>
              <w:t>3</w:t>
            </w:r>
            <w:r>
              <w:rPr>
                <w:rFonts w:hint="default"/>
                <w:spacing w:val="5"/>
                <w:sz w:val="19"/>
                <w:szCs w:val="19"/>
              </w:rPr>
              <w:t>）</w:t>
            </w:r>
          </w:p>
        </w:tc>
        <w:tc>
          <w:tcPr>
            <w:tcW w:w="1727" w:type="dxa"/>
            <w:vAlign w:val="top"/>
          </w:tcPr>
          <w:p w14:paraId="2169D00D">
            <w:pPr>
              <w:keepNext w:val="0"/>
              <w:keepLines w:val="0"/>
              <w:suppressLineNumbers w:val="0"/>
              <w:spacing w:before="0" w:beforeAutospacing="0" w:after="0" w:afterAutospacing="0" w:line="423" w:lineRule="auto"/>
              <w:ind w:left="0" w:right="0"/>
              <w:rPr>
                <w:rFonts w:hint="default" w:ascii="Arial"/>
                <w:sz w:val="21"/>
              </w:rPr>
            </w:pPr>
          </w:p>
          <w:p w14:paraId="5ACEE294">
            <w:pPr>
              <w:pStyle w:val="22"/>
              <w:keepNext w:val="0"/>
              <w:keepLines w:val="0"/>
              <w:suppressLineNumbers w:val="0"/>
              <w:spacing w:before="68" w:beforeAutospacing="0" w:after="0" w:afterAutospacing="0" w:line="236" w:lineRule="auto"/>
              <w:ind w:left="398" w:right="0"/>
              <w:rPr>
                <w:rFonts w:hint="default"/>
              </w:rPr>
            </w:pPr>
            <w:r>
              <w:rPr>
                <w:rFonts w:hint="default"/>
                <w:spacing w:val="-2"/>
              </w:rPr>
              <w:t>2.5、50℃</w:t>
            </w:r>
          </w:p>
        </w:tc>
        <w:tc>
          <w:tcPr>
            <w:tcW w:w="1797" w:type="dxa"/>
            <w:vAlign w:val="top"/>
          </w:tcPr>
          <w:p w14:paraId="053E5365">
            <w:pPr>
              <w:keepNext w:val="0"/>
              <w:keepLines w:val="0"/>
              <w:suppressLineNumbers w:val="0"/>
              <w:spacing w:before="0" w:beforeAutospacing="0" w:after="0" w:afterAutospacing="0" w:line="423" w:lineRule="auto"/>
              <w:ind w:left="0" w:right="0"/>
              <w:rPr>
                <w:rFonts w:hint="default" w:ascii="Arial"/>
                <w:sz w:val="21"/>
              </w:rPr>
            </w:pPr>
          </w:p>
          <w:p w14:paraId="0A24CFCE">
            <w:pPr>
              <w:pStyle w:val="22"/>
              <w:keepNext w:val="0"/>
              <w:keepLines w:val="0"/>
              <w:suppressLineNumbers w:val="0"/>
              <w:spacing w:before="68" w:beforeAutospacing="0" w:after="0" w:afterAutospacing="0" w:line="236" w:lineRule="auto"/>
              <w:ind w:left="446" w:right="0"/>
              <w:rPr>
                <w:rFonts w:hint="default"/>
              </w:rPr>
            </w:pPr>
            <w:r>
              <w:rPr>
                <w:rFonts w:hint="default"/>
                <w:spacing w:val="-3"/>
              </w:rPr>
              <w:t>1.0、30℃</w:t>
            </w:r>
          </w:p>
        </w:tc>
        <w:tc>
          <w:tcPr>
            <w:tcW w:w="1159" w:type="dxa"/>
            <w:vAlign w:val="top"/>
          </w:tcPr>
          <w:p w14:paraId="77A2FBCC">
            <w:pPr>
              <w:keepNext w:val="0"/>
              <w:keepLines w:val="0"/>
              <w:suppressLineNumbers w:val="0"/>
              <w:spacing w:before="0" w:beforeAutospacing="0" w:after="0" w:afterAutospacing="0" w:line="422" w:lineRule="auto"/>
              <w:ind w:left="0" w:right="0"/>
              <w:rPr>
                <w:rFonts w:hint="default" w:ascii="Arial"/>
                <w:sz w:val="21"/>
              </w:rPr>
            </w:pPr>
          </w:p>
          <w:p w14:paraId="16A2AE5A">
            <w:pPr>
              <w:pStyle w:val="22"/>
              <w:keepNext w:val="0"/>
              <w:keepLines w:val="0"/>
              <w:suppressLineNumbers w:val="0"/>
              <w:spacing w:before="69" w:beforeAutospacing="0" w:after="0" w:afterAutospacing="0" w:line="241" w:lineRule="auto"/>
              <w:ind w:left="339" w:right="0"/>
              <w:rPr>
                <w:rFonts w:hint="default"/>
              </w:rPr>
            </w:pPr>
            <w:r>
              <w:rPr>
                <w:rFonts w:hint="default"/>
                <w:spacing w:val="-5"/>
              </w:rPr>
              <w:t>16MnR</w:t>
            </w:r>
          </w:p>
        </w:tc>
        <w:tc>
          <w:tcPr>
            <w:tcW w:w="1667" w:type="dxa"/>
            <w:vAlign w:val="top"/>
          </w:tcPr>
          <w:p w14:paraId="72785157">
            <w:pPr>
              <w:keepNext w:val="0"/>
              <w:keepLines w:val="0"/>
              <w:suppressLineNumbers w:val="0"/>
              <w:spacing w:before="0" w:beforeAutospacing="0" w:after="0" w:afterAutospacing="0" w:line="423" w:lineRule="auto"/>
              <w:ind w:left="0" w:right="0"/>
              <w:rPr>
                <w:rFonts w:hint="default" w:ascii="Arial"/>
                <w:sz w:val="21"/>
              </w:rPr>
            </w:pPr>
          </w:p>
          <w:p w14:paraId="6BC3DEEF">
            <w:pPr>
              <w:pStyle w:val="22"/>
              <w:keepNext w:val="0"/>
              <w:keepLines w:val="0"/>
              <w:suppressLineNumbers w:val="0"/>
              <w:spacing w:before="68" w:beforeAutospacing="0" w:after="0" w:afterAutospacing="0" w:line="221" w:lineRule="auto"/>
              <w:ind w:left="635" w:right="0"/>
              <w:rPr>
                <w:rFonts w:hint="default"/>
              </w:rPr>
            </w:pPr>
            <w:r>
              <w:rPr>
                <w:rFonts w:hint="default"/>
                <w:spacing w:val="-2"/>
              </w:rPr>
              <w:t>液氨</w:t>
            </w:r>
          </w:p>
        </w:tc>
        <w:tc>
          <w:tcPr>
            <w:tcW w:w="680" w:type="dxa"/>
            <w:vAlign w:val="top"/>
          </w:tcPr>
          <w:p w14:paraId="0BE2A393">
            <w:pPr>
              <w:keepNext w:val="0"/>
              <w:keepLines w:val="0"/>
              <w:suppressLineNumbers w:val="0"/>
              <w:spacing w:before="0" w:beforeAutospacing="0" w:after="0" w:afterAutospacing="0" w:line="458" w:lineRule="auto"/>
              <w:ind w:left="0" w:right="0"/>
              <w:rPr>
                <w:rFonts w:hint="default" w:ascii="Arial"/>
                <w:sz w:val="21"/>
              </w:rPr>
            </w:pPr>
          </w:p>
          <w:p w14:paraId="6554586B">
            <w:pPr>
              <w:pStyle w:val="22"/>
              <w:keepNext w:val="0"/>
              <w:keepLines w:val="0"/>
              <w:suppressLineNumbers w:val="0"/>
              <w:spacing w:before="68" w:beforeAutospacing="0" w:after="0" w:afterAutospacing="0" w:line="182" w:lineRule="auto"/>
              <w:ind w:left="298" w:right="0"/>
              <w:rPr>
                <w:rFonts w:hint="default"/>
              </w:rPr>
            </w:pPr>
            <w:r>
              <w:rPr>
                <w:rFonts w:hint="default"/>
              </w:rPr>
              <w:t>2</w:t>
            </w:r>
          </w:p>
        </w:tc>
        <w:tc>
          <w:tcPr>
            <w:tcW w:w="1996" w:type="dxa"/>
            <w:vAlign w:val="top"/>
          </w:tcPr>
          <w:p w14:paraId="7D030399">
            <w:pPr>
              <w:pStyle w:val="22"/>
              <w:keepNext w:val="0"/>
              <w:keepLines w:val="0"/>
              <w:suppressLineNumbers w:val="0"/>
              <w:spacing w:before="223" w:beforeAutospacing="0" w:after="0" w:afterAutospacing="0" w:line="221" w:lineRule="auto"/>
              <w:ind w:left="165" w:right="0"/>
              <w:rPr>
                <w:rFonts w:hint="default"/>
              </w:rPr>
            </w:pPr>
            <w:r>
              <w:rPr>
                <w:rFonts w:hint="default"/>
                <w:spacing w:val="-1"/>
              </w:rPr>
              <w:t>液位计、温度计、</w:t>
            </w:r>
          </w:p>
          <w:p w14:paraId="40219B53">
            <w:pPr>
              <w:pStyle w:val="22"/>
              <w:keepNext w:val="0"/>
              <w:keepLines w:val="0"/>
              <w:suppressLineNumbers w:val="0"/>
              <w:spacing w:before="20" w:beforeAutospacing="0" w:after="0" w:afterAutospacing="0" w:line="222" w:lineRule="auto"/>
              <w:ind w:left="498" w:right="178" w:hanging="307"/>
              <w:rPr>
                <w:rFonts w:hint="default"/>
              </w:rPr>
            </w:pPr>
            <w:r>
              <w:rPr>
                <w:rFonts w:hint="default"/>
                <w:spacing w:val="-2"/>
              </w:rPr>
              <w:t>压力表、2</w:t>
            </w:r>
            <w:r>
              <w:rPr>
                <w:rFonts w:hint="default"/>
                <w:spacing w:val="-45"/>
              </w:rPr>
              <w:t xml:space="preserve"> </w:t>
            </w:r>
            <w:r>
              <w:rPr>
                <w:rFonts w:hint="default"/>
                <w:spacing w:val="-2"/>
              </w:rPr>
              <w:t>个安全</w:t>
            </w:r>
            <w:r>
              <w:rPr>
                <w:rFonts w:hint="default"/>
              </w:rPr>
              <w:t xml:space="preserve"> </w:t>
            </w:r>
            <w:r>
              <w:rPr>
                <w:rFonts w:hint="default"/>
                <w:spacing w:val="-5"/>
              </w:rPr>
              <w:t>阀，切断阀</w:t>
            </w:r>
          </w:p>
        </w:tc>
      </w:tr>
      <w:tr w14:paraId="3B82A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88" w:type="dxa"/>
            <w:vAlign w:val="top"/>
          </w:tcPr>
          <w:p w14:paraId="1B691443">
            <w:pPr>
              <w:keepNext w:val="0"/>
              <w:keepLines w:val="0"/>
              <w:suppressLineNumbers w:val="0"/>
              <w:spacing w:before="0" w:beforeAutospacing="0" w:after="0" w:afterAutospacing="0" w:line="324" w:lineRule="auto"/>
              <w:ind w:left="0" w:right="0"/>
              <w:rPr>
                <w:rFonts w:hint="default" w:ascii="Arial"/>
                <w:sz w:val="21"/>
              </w:rPr>
            </w:pPr>
          </w:p>
          <w:p w14:paraId="0B90C62D">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18.</w:t>
            </w:r>
          </w:p>
        </w:tc>
        <w:tc>
          <w:tcPr>
            <w:tcW w:w="1286" w:type="dxa"/>
            <w:vAlign w:val="top"/>
          </w:tcPr>
          <w:p w14:paraId="2EF7660F">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0B6938E5">
            <w:pPr>
              <w:pStyle w:val="22"/>
              <w:keepNext w:val="0"/>
              <w:keepLines w:val="0"/>
              <w:suppressLineNumbers w:val="0"/>
              <w:spacing w:before="224" w:beforeAutospacing="0" w:after="0" w:afterAutospacing="0" w:line="223" w:lineRule="auto"/>
              <w:ind w:left="111" w:right="120" w:firstLine="2"/>
              <w:rPr>
                <w:rFonts w:hint="default"/>
              </w:rPr>
            </w:pPr>
            <w:r>
              <w:rPr>
                <w:rFonts w:hint="default"/>
                <w:spacing w:val="-2"/>
              </w:rPr>
              <w:t>液氨卸车压缩</w:t>
            </w:r>
            <w:r>
              <w:rPr>
                <w:rFonts w:hint="default"/>
                <w:spacing w:val="3"/>
              </w:rPr>
              <w:t xml:space="preserve"> </w:t>
            </w:r>
            <w:r>
              <w:rPr>
                <w:rFonts w:hint="default"/>
              </w:rPr>
              <w:t>机</w:t>
            </w:r>
          </w:p>
        </w:tc>
        <w:tc>
          <w:tcPr>
            <w:tcW w:w="2117" w:type="dxa"/>
            <w:vAlign w:val="top"/>
          </w:tcPr>
          <w:p w14:paraId="641104B3">
            <w:pPr>
              <w:keepNext w:val="0"/>
              <w:keepLines w:val="0"/>
              <w:suppressLineNumbers w:val="0"/>
              <w:spacing w:before="0" w:beforeAutospacing="0" w:after="0" w:afterAutospacing="0" w:line="324" w:lineRule="auto"/>
              <w:ind w:left="0" w:right="0"/>
              <w:rPr>
                <w:rFonts w:hint="default" w:ascii="Arial"/>
                <w:sz w:val="21"/>
              </w:rPr>
            </w:pPr>
          </w:p>
          <w:p w14:paraId="0DEF6659">
            <w:pPr>
              <w:pStyle w:val="22"/>
              <w:keepNext w:val="0"/>
              <w:keepLines w:val="0"/>
              <w:suppressLineNumbers w:val="0"/>
              <w:spacing w:before="68" w:beforeAutospacing="0" w:after="0" w:afterAutospacing="0" w:line="183" w:lineRule="auto"/>
              <w:ind w:left="747" w:right="0"/>
              <w:rPr>
                <w:rFonts w:hint="default"/>
              </w:rPr>
            </w:pPr>
            <w:r>
              <w:rPr>
                <w:rFonts w:hint="default"/>
                <w:spacing w:val="-1"/>
              </w:rPr>
              <w:t>4AV-10</w:t>
            </w:r>
          </w:p>
        </w:tc>
        <w:tc>
          <w:tcPr>
            <w:tcW w:w="1727" w:type="dxa"/>
            <w:vAlign w:val="top"/>
          </w:tcPr>
          <w:p w14:paraId="08F0090B">
            <w:pPr>
              <w:keepNext w:val="0"/>
              <w:keepLines w:val="0"/>
              <w:suppressLineNumbers w:val="0"/>
              <w:spacing w:before="0" w:beforeAutospacing="0" w:after="0" w:afterAutospacing="0" w:line="290" w:lineRule="auto"/>
              <w:ind w:left="0" w:right="0"/>
              <w:rPr>
                <w:rFonts w:hint="default" w:ascii="Arial"/>
                <w:sz w:val="21"/>
              </w:rPr>
            </w:pPr>
          </w:p>
          <w:p w14:paraId="1425CEBF">
            <w:pPr>
              <w:pStyle w:val="22"/>
              <w:keepNext w:val="0"/>
              <w:keepLines w:val="0"/>
              <w:suppressLineNumbers w:val="0"/>
              <w:spacing w:before="69" w:beforeAutospacing="0" w:after="0" w:afterAutospacing="0" w:line="236" w:lineRule="auto"/>
              <w:ind w:left="398" w:right="0"/>
              <w:rPr>
                <w:rFonts w:hint="default"/>
              </w:rPr>
            </w:pPr>
            <w:r>
              <w:rPr>
                <w:rFonts w:hint="default"/>
                <w:spacing w:val="-2"/>
              </w:rPr>
              <w:t>2.5、50℃</w:t>
            </w:r>
          </w:p>
        </w:tc>
        <w:tc>
          <w:tcPr>
            <w:tcW w:w="1797" w:type="dxa"/>
            <w:vAlign w:val="top"/>
          </w:tcPr>
          <w:p w14:paraId="1A389B8C">
            <w:pPr>
              <w:keepNext w:val="0"/>
              <w:keepLines w:val="0"/>
              <w:suppressLineNumbers w:val="0"/>
              <w:spacing w:before="0" w:beforeAutospacing="0" w:after="0" w:afterAutospacing="0" w:line="290" w:lineRule="auto"/>
              <w:ind w:left="0" w:right="0"/>
              <w:rPr>
                <w:rFonts w:hint="default" w:ascii="Arial"/>
                <w:sz w:val="21"/>
              </w:rPr>
            </w:pPr>
          </w:p>
          <w:p w14:paraId="0797908A">
            <w:pPr>
              <w:pStyle w:val="22"/>
              <w:keepNext w:val="0"/>
              <w:keepLines w:val="0"/>
              <w:suppressLineNumbers w:val="0"/>
              <w:spacing w:before="68" w:beforeAutospacing="0" w:after="0" w:afterAutospacing="0" w:line="221" w:lineRule="auto"/>
              <w:ind w:left="115" w:right="0"/>
              <w:rPr>
                <w:rFonts w:hint="default"/>
              </w:rPr>
            </w:pPr>
            <w:r>
              <w:rPr>
                <w:rFonts w:hint="default"/>
                <w:spacing w:val="-9"/>
              </w:rPr>
              <w:t>0.7-1.1MPa、常温</w:t>
            </w:r>
          </w:p>
        </w:tc>
        <w:tc>
          <w:tcPr>
            <w:tcW w:w="1159" w:type="dxa"/>
            <w:vAlign w:val="top"/>
          </w:tcPr>
          <w:p w14:paraId="75C224D7">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08DCE8F9">
            <w:pPr>
              <w:keepNext w:val="0"/>
              <w:keepLines w:val="0"/>
              <w:suppressLineNumbers w:val="0"/>
              <w:spacing w:before="0" w:beforeAutospacing="0" w:after="0" w:afterAutospacing="0" w:line="290" w:lineRule="auto"/>
              <w:ind w:left="0" w:right="0"/>
              <w:rPr>
                <w:rFonts w:hint="default" w:ascii="Arial"/>
                <w:sz w:val="21"/>
              </w:rPr>
            </w:pPr>
          </w:p>
          <w:p w14:paraId="4E4D3986">
            <w:pPr>
              <w:pStyle w:val="22"/>
              <w:keepNext w:val="0"/>
              <w:keepLines w:val="0"/>
              <w:suppressLineNumbers w:val="0"/>
              <w:spacing w:before="68" w:beforeAutospacing="0" w:after="0" w:afterAutospacing="0" w:line="221" w:lineRule="auto"/>
              <w:ind w:left="635" w:right="0"/>
              <w:rPr>
                <w:rFonts w:hint="default"/>
              </w:rPr>
            </w:pPr>
            <w:r>
              <w:rPr>
                <w:rFonts w:hint="default"/>
                <w:spacing w:val="-2"/>
              </w:rPr>
              <w:t>液氨</w:t>
            </w:r>
          </w:p>
        </w:tc>
        <w:tc>
          <w:tcPr>
            <w:tcW w:w="680" w:type="dxa"/>
            <w:vAlign w:val="top"/>
          </w:tcPr>
          <w:p w14:paraId="73CD6285">
            <w:pPr>
              <w:keepNext w:val="0"/>
              <w:keepLines w:val="0"/>
              <w:suppressLineNumbers w:val="0"/>
              <w:spacing w:before="0" w:beforeAutospacing="0" w:after="0" w:afterAutospacing="0" w:line="324" w:lineRule="auto"/>
              <w:ind w:left="0" w:right="0"/>
              <w:rPr>
                <w:rFonts w:hint="default" w:ascii="Arial"/>
                <w:sz w:val="21"/>
              </w:rPr>
            </w:pPr>
          </w:p>
          <w:p w14:paraId="6B971345">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056727F0">
            <w:pPr>
              <w:keepNext w:val="0"/>
              <w:keepLines w:val="0"/>
              <w:suppressLineNumbers w:val="0"/>
              <w:spacing w:before="0" w:beforeAutospacing="0" w:after="0" w:afterAutospacing="0" w:line="290" w:lineRule="auto"/>
              <w:ind w:left="0" w:right="0"/>
              <w:rPr>
                <w:rFonts w:hint="default" w:ascii="Arial"/>
                <w:sz w:val="21"/>
              </w:rPr>
            </w:pPr>
          </w:p>
          <w:p w14:paraId="35685A1D">
            <w:pPr>
              <w:pStyle w:val="22"/>
              <w:keepNext w:val="0"/>
              <w:keepLines w:val="0"/>
              <w:suppressLineNumbers w:val="0"/>
              <w:spacing w:before="68" w:beforeAutospacing="0" w:after="0" w:afterAutospacing="0" w:line="222" w:lineRule="auto"/>
              <w:ind w:left="694" w:right="0"/>
              <w:rPr>
                <w:rFonts w:hint="default"/>
              </w:rPr>
            </w:pPr>
            <w:r>
              <w:rPr>
                <w:rFonts w:hint="default"/>
                <w:spacing w:val="-2"/>
              </w:rPr>
              <w:t>安全阀</w:t>
            </w:r>
          </w:p>
        </w:tc>
      </w:tr>
      <w:tr w14:paraId="7DA4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588" w:type="dxa"/>
            <w:vAlign w:val="top"/>
          </w:tcPr>
          <w:p w14:paraId="042B7763">
            <w:pPr>
              <w:keepNext w:val="0"/>
              <w:keepLines w:val="0"/>
              <w:suppressLineNumbers w:val="0"/>
              <w:spacing w:before="0" w:beforeAutospacing="0" w:after="0" w:afterAutospacing="0" w:line="321" w:lineRule="auto"/>
              <w:ind w:left="0" w:right="0"/>
              <w:rPr>
                <w:rFonts w:hint="default" w:ascii="Arial"/>
                <w:sz w:val="21"/>
              </w:rPr>
            </w:pPr>
          </w:p>
          <w:p w14:paraId="6C226C7B">
            <w:pPr>
              <w:pStyle w:val="22"/>
              <w:keepNext w:val="0"/>
              <w:keepLines w:val="0"/>
              <w:suppressLineNumbers w:val="0"/>
              <w:spacing w:before="68" w:beforeAutospacing="0" w:after="0" w:afterAutospacing="0" w:line="183" w:lineRule="auto"/>
              <w:ind w:left="131" w:right="0"/>
              <w:rPr>
                <w:rFonts w:hint="default"/>
              </w:rPr>
            </w:pPr>
            <w:r>
              <w:rPr>
                <w:rFonts w:hint="default"/>
                <w:spacing w:val="-5"/>
              </w:rPr>
              <w:t>19.</w:t>
            </w:r>
          </w:p>
        </w:tc>
        <w:tc>
          <w:tcPr>
            <w:tcW w:w="1286" w:type="dxa"/>
            <w:vAlign w:val="top"/>
          </w:tcPr>
          <w:p w14:paraId="4EE48690">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61503D48">
            <w:pPr>
              <w:keepNext w:val="0"/>
              <w:keepLines w:val="0"/>
              <w:suppressLineNumbers w:val="0"/>
              <w:spacing w:before="0" w:beforeAutospacing="0" w:after="0" w:afterAutospacing="0" w:line="286" w:lineRule="auto"/>
              <w:ind w:left="0" w:right="0"/>
              <w:rPr>
                <w:rFonts w:hint="default" w:ascii="Arial"/>
                <w:sz w:val="21"/>
              </w:rPr>
            </w:pPr>
          </w:p>
          <w:p w14:paraId="0C254284">
            <w:pPr>
              <w:pStyle w:val="22"/>
              <w:keepNext w:val="0"/>
              <w:keepLines w:val="0"/>
              <w:suppressLineNumbers w:val="0"/>
              <w:spacing w:before="69" w:beforeAutospacing="0" w:after="0" w:afterAutospacing="0" w:line="221" w:lineRule="auto"/>
              <w:ind w:left="112" w:right="0"/>
              <w:rPr>
                <w:rFonts w:hint="default"/>
              </w:rPr>
            </w:pPr>
            <w:r>
              <w:rPr>
                <w:rFonts w:hint="default"/>
                <w:spacing w:val="-2"/>
              </w:rPr>
              <w:t>压力管道</w:t>
            </w:r>
          </w:p>
        </w:tc>
        <w:tc>
          <w:tcPr>
            <w:tcW w:w="2117" w:type="dxa"/>
            <w:vAlign w:val="top"/>
          </w:tcPr>
          <w:p w14:paraId="0BCBD357">
            <w:pPr>
              <w:pStyle w:val="22"/>
              <w:keepNext w:val="0"/>
              <w:keepLines w:val="0"/>
              <w:suppressLineNumbers w:val="0"/>
              <w:spacing w:before="222" w:beforeAutospacing="0" w:after="0" w:afterAutospacing="0" w:line="222" w:lineRule="auto"/>
              <w:ind w:left="796" w:right="344" w:hanging="440"/>
              <w:rPr>
                <w:rFonts w:hint="default"/>
              </w:rPr>
            </w:pPr>
            <w:r>
              <w:rPr>
                <w:rFonts w:hint="default"/>
                <w:spacing w:val="-2"/>
              </w:rPr>
              <w:t>液氨管道</w:t>
            </w:r>
            <w:r>
              <w:rPr>
                <w:rFonts w:hint="default"/>
                <w:spacing w:val="-43"/>
              </w:rPr>
              <w:t xml:space="preserve"> </w:t>
            </w:r>
            <w:r>
              <w:rPr>
                <w:rFonts w:hint="default"/>
                <w:spacing w:val="-2"/>
              </w:rPr>
              <w:t>DN32~</w:t>
            </w:r>
            <w:r>
              <w:rPr>
                <w:rFonts w:hint="default"/>
              </w:rPr>
              <w:t xml:space="preserve"> </w:t>
            </w:r>
            <w:r>
              <w:rPr>
                <w:rFonts w:hint="default"/>
                <w:spacing w:val="-1"/>
              </w:rPr>
              <w:t>DN100</w:t>
            </w:r>
          </w:p>
        </w:tc>
        <w:tc>
          <w:tcPr>
            <w:tcW w:w="1727" w:type="dxa"/>
            <w:vAlign w:val="top"/>
          </w:tcPr>
          <w:p w14:paraId="2796F3B8">
            <w:pPr>
              <w:keepNext w:val="0"/>
              <w:keepLines w:val="0"/>
              <w:suppressLineNumbers w:val="0"/>
              <w:spacing w:before="0" w:beforeAutospacing="0" w:after="0" w:afterAutospacing="0" w:line="287" w:lineRule="auto"/>
              <w:ind w:left="0" w:right="0"/>
              <w:rPr>
                <w:rFonts w:hint="default" w:ascii="Arial"/>
                <w:sz w:val="21"/>
              </w:rPr>
            </w:pPr>
          </w:p>
          <w:p w14:paraId="1739E689">
            <w:pPr>
              <w:pStyle w:val="22"/>
              <w:keepNext w:val="0"/>
              <w:keepLines w:val="0"/>
              <w:suppressLineNumbers w:val="0"/>
              <w:spacing w:before="68" w:beforeAutospacing="0" w:after="0" w:afterAutospacing="0" w:line="232" w:lineRule="auto"/>
              <w:ind w:left="190" w:right="0"/>
              <w:rPr>
                <w:rFonts w:hint="default"/>
              </w:rPr>
            </w:pPr>
            <w:r>
              <w:rPr>
                <w:rFonts w:hint="default"/>
                <w:spacing w:val="-1"/>
              </w:rPr>
              <w:t>2.5MPaG，50℃</w:t>
            </w:r>
          </w:p>
        </w:tc>
        <w:tc>
          <w:tcPr>
            <w:tcW w:w="1797" w:type="dxa"/>
            <w:vAlign w:val="top"/>
          </w:tcPr>
          <w:p w14:paraId="5AF92452">
            <w:pPr>
              <w:keepNext w:val="0"/>
              <w:keepLines w:val="0"/>
              <w:suppressLineNumbers w:val="0"/>
              <w:spacing w:before="0" w:beforeAutospacing="0" w:after="0" w:afterAutospacing="0" w:line="286" w:lineRule="auto"/>
              <w:ind w:left="0" w:right="0"/>
              <w:rPr>
                <w:rFonts w:hint="default" w:ascii="Arial"/>
                <w:sz w:val="21"/>
              </w:rPr>
            </w:pPr>
          </w:p>
          <w:p w14:paraId="7405DDC7">
            <w:pPr>
              <w:pStyle w:val="22"/>
              <w:keepNext w:val="0"/>
              <w:keepLines w:val="0"/>
              <w:suppressLineNumbers w:val="0"/>
              <w:spacing w:before="69" w:beforeAutospacing="0" w:after="0" w:afterAutospacing="0" w:line="223" w:lineRule="auto"/>
              <w:ind w:left="290" w:right="0"/>
              <w:rPr>
                <w:rFonts w:hint="default"/>
              </w:rPr>
            </w:pPr>
            <w:r>
              <w:rPr>
                <w:rFonts w:hint="default"/>
                <w:spacing w:val="-3"/>
              </w:rPr>
              <w:t>1.6MPa；30℃</w:t>
            </w:r>
          </w:p>
        </w:tc>
        <w:tc>
          <w:tcPr>
            <w:tcW w:w="1159" w:type="dxa"/>
            <w:vAlign w:val="top"/>
          </w:tcPr>
          <w:p w14:paraId="44019903">
            <w:pPr>
              <w:keepNext w:val="0"/>
              <w:keepLines w:val="0"/>
              <w:suppressLineNumbers w:val="0"/>
              <w:spacing w:before="0" w:beforeAutospacing="0" w:after="0" w:afterAutospacing="0" w:line="322" w:lineRule="auto"/>
              <w:ind w:left="0" w:right="0"/>
              <w:rPr>
                <w:rFonts w:hint="default" w:ascii="Arial"/>
                <w:sz w:val="21"/>
              </w:rPr>
            </w:pPr>
          </w:p>
          <w:p w14:paraId="076C3459">
            <w:pPr>
              <w:pStyle w:val="22"/>
              <w:keepNext w:val="0"/>
              <w:keepLines w:val="0"/>
              <w:suppressLineNumbers w:val="0"/>
              <w:spacing w:before="68" w:beforeAutospacing="0" w:after="0" w:afterAutospacing="0" w:line="182" w:lineRule="auto"/>
              <w:ind w:left="433" w:right="0"/>
              <w:rPr>
                <w:rFonts w:hint="default"/>
              </w:rPr>
            </w:pPr>
            <w:r>
              <w:rPr>
                <w:rFonts w:hint="default"/>
                <w:spacing w:val="-4"/>
              </w:rPr>
              <w:t>304</w:t>
            </w:r>
          </w:p>
        </w:tc>
        <w:tc>
          <w:tcPr>
            <w:tcW w:w="1667" w:type="dxa"/>
            <w:vAlign w:val="top"/>
          </w:tcPr>
          <w:p w14:paraId="2B870F0A">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3515888E">
            <w:pPr>
              <w:keepNext w:val="0"/>
              <w:keepLines w:val="0"/>
              <w:suppressLineNumbers w:val="0"/>
              <w:spacing w:before="0" w:beforeAutospacing="0" w:after="0" w:afterAutospacing="0" w:line="287" w:lineRule="auto"/>
              <w:ind w:left="0" w:right="0"/>
              <w:rPr>
                <w:rFonts w:hint="default" w:ascii="Arial"/>
                <w:sz w:val="21"/>
              </w:rPr>
            </w:pPr>
          </w:p>
          <w:p w14:paraId="035058EF">
            <w:pPr>
              <w:pStyle w:val="22"/>
              <w:keepNext w:val="0"/>
              <w:keepLines w:val="0"/>
              <w:suppressLineNumbers w:val="0"/>
              <w:spacing w:before="68" w:beforeAutospacing="0" w:after="0" w:afterAutospacing="0" w:line="220" w:lineRule="auto"/>
              <w:ind w:left="141" w:right="0"/>
              <w:rPr>
                <w:rFonts w:hint="default"/>
              </w:rPr>
            </w:pPr>
            <w:r>
              <w:rPr>
                <w:rFonts w:hint="default"/>
                <w:spacing w:val="-2"/>
              </w:rPr>
              <w:t>若干</w:t>
            </w:r>
          </w:p>
        </w:tc>
        <w:tc>
          <w:tcPr>
            <w:tcW w:w="1996" w:type="dxa"/>
            <w:vAlign w:val="top"/>
          </w:tcPr>
          <w:p w14:paraId="6649F02D">
            <w:pPr>
              <w:pStyle w:val="22"/>
              <w:keepNext w:val="0"/>
              <w:keepLines w:val="0"/>
              <w:suppressLineNumbers w:val="0"/>
              <w:spacing w:before="222" w:beforeAutospacing="0" w:after="0" w:afterAutospacing="0" w:line="222" w:lineRule="auto"/>
              <w:ind w:left="794" w:right="104" w:hanging="675"/>
              <w:rPr>
                <w:rFonts w:hint="default"/>
              </w:rPr>
            </w:pPr>
            <w:r>
              <w:rPr>
                <w:rFonts w:hint="default"/>
                <w:spacing w:val="-3"/>
              </w:rPr>
              <w:t>压力表、温度计\安</w:t>
            </w:r>
            <w:r>
              <w:rPr>
                <w:rFonts w:hint="default"/>
                <w:spacing w:val="7"/>
              </w:rPr>
              <w:t xml:space="preserve"> </w:t>
            </w:r>
            <w:r>
              <w:rPr>
                <w:rFonts w:hint="default"/>
                <w:spacing w:val="-2"/>
              </w:rPr>
              <w:t>全阀</w:t>
            </w:r>
          </w:p>
        </w:tc>
      </w:tr>
      <w:tr w14:paraId="15BFC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8" w:type="dxa"/>
            <w:vAlign w:val="top"/>
          </w:tcPr>
          <w:p w14:paraId="63F1AF62">
            <w:pPr>
              <w:pStyle w:val="22"/>
              <w:keepNext w:val="0"/>
              <w:keepLines w:val="0"/>
              <w:suppressLineNumbers w:val="0"/>
              <w:spacing w:before="259" w:beforeAutospacing="0" w:after="0" w:afterAutospacing="0" w:line="178" w:lineRule="auto"/>
              <w:ind w:left="118" w:right="0"/>
              <w:rPr>
                <w:rFonts w:hint="default"/>
              </w:rPr>
            </w:pPr>
            <w:r>
              <w:rPr>
                <w:rFonts w:hint="default"/>
                <w:spacing w:val="-2"/>
              </w:rPr>
              <w:t>20.</w:t>
            </w:r>
          </w:p>
        </w:tc>
        <w:tc>
          <w:tcPr>
            <w:tcW w:w="1286" w:type="dxa"/>
            <w:vAlign w:val="top"/>
          </w:tcPr>
          <w:p w14:paraId="6E1041C6">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5DB8AB81">
            <w:pPr>
              <w:pStyle w:val="22"/>
              <w:keepNext w:val="0"/>
              <w:keepLines w:val="0"/>
              <w:suppressLineNumbers w:val="0"/>
              <w:spacing w:before="224" w:beforeAutospacing="0" w:after="0" w:afterAutospacing="0" w:line="209" w:lineRule="auto"/>
              <w:ind w:left="112" w:right="0"/>
              <w:rPr>
                <w:rFonts w:hint="default"/>
              </w:rPr>
            </w:pPr>
            <w:r>
              <w:rPr>
                <w:rFonts w:hint="default"/>
                <w:spacing w:val="-2"/>
              </w:rPr>
              <w:t>压力管道</w:t>
            </w:r>
          </w:p>
        </w:tc>
        <w:tc>
          <w:tcPr>
            <w:tcW w:w="2117" w:type="dxa"/>
            <w:vAlign w:val="top"/>
          </w:tcPr>
          <w:p w14:paraId="2B7E4964">
            <w:pPr>
              <w:pStyle w:val="22"/>
              <w:keepNext w:val="0"/>
              <w:keepLines w:val="0"/>
              <w:suppressLineNumbers w:val="0"/>
              <w:spacing w:before="224" w:beforeAutospacing="0" w:after="0" w:afterAutospacing="0" w:line="209" w:lineRule="auto"/>
              <w:ind w:left="148" w:right="0"/>
              <w:rPr>
                <w:rFonts w:hint="default"/>
              </w:rPr>
            </w:pPr>
            <w:r>
              <w:rPr>
                <w:rFonts w:hint="default"/>
                <w:spacing w:val="-1"/>
              </w:rPr>
              <w:t>异丙醇管道</w:t>
            </w:r>
            <w:r>
              <w:rPr>
                <w:rFonts w:hint="default"/>
                <w:spacing w:val="-49"/>
              </w:rPr>
              <w:t xml:space="preserve"> </w:t>
            </w:r>
            <w:r>
              <w:rPr>
                <w:rFonts w:hint="default"/>
                <w:spacing w:val="-1"/>
              </w:rPr>
              <w:t>DN32~50</w:t>
            </w:r>
          </w:p>
        </w:tc>
        <w:tc>
          <w:tcPr>
            <w:tcW w:w="1727" w:type="dxa"/>
            <w:vAlign w:val="top"/>
          </w:tcPr>
          <w:p w14:paraId="65897631">
            <w:pPr>
              <w:pStyle w:val="22"/>
              <w:keepNext w:val="0"/>
              <w:keepLines w:val="0"/>
              <w:suppressLineNumbers w:val="0"/>
              <w:spacing w:before="224" w:beforeAutospacing="0" w:after="0" w:afterAutospacing="0" w:line="209" w:lineRule="auto"/>
              <w:ind w:left="450" w:right="0"/>
              <w:rPr>
                <w:rFonts w:hint="default"/>
              </w:rPr>
            </w:pPr>
            <w:r>
              <w:rPr>
                <w:rFonts w:hint="default"/>
                <w:spacing w:val="-1"/>
              </w:rPr>
              <w:t>0.5MPa；</w:t>
            </w:r>
          </w:p>
        </w:tc>
        <w:tc>
          <w:tcPr>
            <w:tcW w:w="1797" w:type="dxa"/>
            <w:vAlign w:val="top"/>
          </w:tcPr>
          <w:p w14:paraId="5254299C">
            <w:pPr>
              <w:pStyle w:val="22"/>
              <w:keepNext w:val="0"/>
              <w:keepLines w:val="0"/>
              <w:suppressLineNumbers w:val="0"/>
              <w:spacing w:before="258" w:beforeAutospacing="0" w:after="0" w:afterAutospacing="0" w:line="179" w:lineRule="auto"/>
              <w:ind w:left="432" w:right="0"/>
              <w:rPr>
                <w:rFonts w:hint="default"/>
              </w:rPr>
            </w:pPr>
            <w:r>
              <w:rPr>
                <w:rFonts w:hint="default"/>
                <w:spacing w:val="-2"/>
              </w:rPr>
              <w:t>0.1MPaG，</w:t>
            </w:r>
          </w:p>
        </w:tc>
        <w:tc>
          <w:tcPr>
            <w:tcW w:w="1159" w:type="dxa"/>
            <w:vAlign w:val="top"/>
          </w:tcPr>
          <w:p w14:paraId="47D41A11">
            <w:pPr>
              <w:pStyle w:val="22"/>
              <w:keepNext w:val="0"/>
              <w:keepLines w:val="0"/>
              <w:suppressLineNumbers w:val="0"/>
              <w:spacing w:before="259" w:beforeAutospacing="0" w:after="0" w:afterAutospacing="0" w:line="178" w:lineRule="auto"/>
              <w:ind w:left="433" w:right="0"/>
              <w:rPr>
                <w:rFonts w:hint="default"/>
              </w:rPr>
            </w:pPr>
            <w:r>
              <w:rPr>
                <w:rFonts w:hint="default"/>
                <w:spacing w:val="-4"/>
              </w:rPr>
              <w:t>304</w:t>
            </w:r>
          </w:p>
        </w:tc>
        <w:tc>
          <w:tcPr>
            <w:tcW w:w="1667" w:type="dxa"/>
            <w:vAlign w:val="top"/>
          </w:tcPr>
          <w:p w14:paraId="3D59B5CA">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3B461106">
            <w:pPr>
              <w:pStyle w:val="22"/>
              <w:keepNext w:val="0"/>
              <w:keepLines w:val="0"/>
              <w:suppressLineNumbers w:val="0"/>
              <w:spacing w:before="224" w:beforeAutospacing="0" w:after="0" w:afterAutospacing="0" w:line="209" w:lineRule="auto"/>
              <w:ind w:left="141" w:right="0"/>
              <w:rPr>
                <w:rFonts w:hint="default"/>
              </w:rPr>
            </w:pPr>
            <w:r>
              <w:rPr>
                <w:rFonts w:hint="default"/>
                <w:spacing w:val="-2"/>
              </w:rPr>
              <w:t>若干</w:t>
            </w:r>
          </w:p>
        </w:tc>
        <w:tc>
          <w:tcPr>
            <w:tcW w:w="1996" w:type="dxa"/>
            <w:vAlign w:val="top"/>
          </w:tcPr>
          <w:p w14:paraId="4331A9A5">
            <w:pPr>
              <w:pStyle w:val="22"/>
              <w:keepNext w:val="0"/>
              <w:keepLines w:val="0"/>
              <w:suppressLineNumbers w:val="0"/>
              <w:spacing w:before="224" w:beforeAutospacing="0" w:after="0" w:afterAutospacing="0" w:line="209" w:lineRule="auto"/>
              <w:ind w:left="119" w:right="0"/>
              <w:rPr>
                <w:rFonts w:hint="default"/>
              </w:rPr>
            </w:pPr>
            <w:r>
              <w:rPr>
                <w:rFonts w:hint="default"/>
                <w:spacing w:val="-2"/>
              </w:rPr>
              <w:t>压力表、温度计\安</w:t>
            </w:r>
          </w:p>
        </w:tc>
      </w:tr>
    </w:tbl>
    <w:p w14:paraId="2CB261D2">
      <w:pPr>
        <w:pStyle w:val="6"/>
        <w:spacing w:line="234" w:lineRule="exact"/>
        <w:rPr>
          <w:sz w:val="20"/>
        </w:rPr>
      </w:pPr>
    </w:p>
    <w:p w14:paraId="74944F3B">
      <w:pPr>
        <w:spacing w:line="234" w:lineRule="exact"/>
        <w:rPr>
          <w:sz w:val="20"/>
          <w:szCs w:val="20"/>
        </w:rPr>
        <w:sectPr>
          <w:headerReference r:id="rId27" w:type="default"/>
          <w:footerReference r:id="rId28" w:type="default"/>
          <w:pgSz w:w="16839" w:h="11907"/>
          <w:pgMar w:top="1120" w:right="1303" w:bottom="946" w:left="1020" w:header="809" w:footer="685" w:gutter="0"/>
          <w:cols w:space="720" w:num="1"/>
        </w:sectPr>
      </w:pPr>
    </w:p>
    <w:p w14:paraId="334AA5E7">
      <w:pPr>
        <w:spacing w:before="227"/>
      </w:pPr>
    </w:p>
    <w:tbl>
      <w:tblPr>
        <w:tblStyle w:val="21"/>
        <w:tblW w:w="14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1286"/>
        <w:gridCol w:w="1492"/>
        <w:gridCol w:w="2117"/>
        <w:gridCol w:w="1727"/>
        <w:gridCol w:w="1797"/>
        <w:gridCol w:w="1159"/>
        <w:gridCol w:w="1667"/>
        <w:gridCol w:w="680"/>
        <w:gridCol w:w="1996"/>
      </w:tblGrid>
      <w:tr w14:paraId="4F766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88" w:type="dxa"/>
            <w:textDirection w:val="tbRlV"/>
            <w:vAlign w:val="top"/>
          </w:tcPr>
          <w:p w14:paraId="315D58F9">
            <w:pPr>
              <w:pStyle w:val="22"/>
              <w:keepNext w:val="0"/>
              <w:keepLines w:val="0"/>
              <w:suppressLineNumbers w:val="0"/>
              <w:spacing w:before="187" w:beforeAutospacing="0" w:after="0" w:afterAutospacing="0" w:line="211" w:lineRule="auto"/>
              <w:ind w:left="0" w:right="36"/>
              <w:jc w:val="right"/>
              <w:rPr>
                <w:rFonts w:hint="default"/>
              </w:rPr>
            </w:pPr>
            <w:r>
              <w:rPr>
                <w:rFonts w:hint="default"/>
                <w:b/>
                <w:bCs/>
                <w:spacing w:val="28"/>
              </w:rPr>
              <w:t>序号</w:t>
            </w:r>
          </w:p>
        </w:tc>
        <w:tc>
          <w:tcPr>
            <w:tcW w:w="1286" w:type="dxa"/>
            <w:vAlign w:val="top"/>
          </w:tcPr>
          <w:p w14:paraId="1733FE79">
            <w:pPr>
              <w:keepNext w:val="0"/>
              <w:keepLines w:val="0"/>
              <w:suppressLineNumbers w:val="0"/>
              <w:spacing w:before="0" w:beforeAutospacing="0" w:after="0" w:afterAutospacing="0" w:line="290" w:lineRule="auto"/>
              <w:ind w:left="0" w:right="0"/>
              <w:rPr>
                <w:rFonts w:hint="default" w:ascii="Arial"/>
                <w:sz w:val="21"/>
              </w:rPr>
            </w:pPr>
          </w:p>
          <w:p w14:paraId="4DB7B47E">
            <w:pPr>
              <w:pStyle w:val="22"/>
              <w:keepNext w:val="0"/>
              <w:keepLines w:val="0"/>
              <w:suppressLineNumbers w:val="0"/>
              <w:spacing w:before="69" w:beforeAutospacing="0" w:after="0" w:afterAutospacing="0" w:line="222" w:lineRule="auto"/>
              <w:ind w:left="113" w:right="0"/>
              <w:rPr>
                <w:rFonts w:hint="default"/>
              </w:rPr>
            </w:pPr>
            <w:r>
              <w:rPr>
                <w:rFonts w:hint="default"/>
                <w:b/>
                <w:bCs/>
                <w:spacing w:val="-4"/>
              </w:rPr>
              <w:t>位号</w:t>
            </w:r>
          </w:p>
        </w:tc>
        <w:tc>
          <w:tcPr>
            <w:tcW w:w="1492" w:type="dxa"/>
            <w:vAlign w:val="top"/>
          </w:tcPr>
          <w:p w14:paraId="39CFEBB3">
            <w:pPr>
              <w:keepNext w:val="0"/>
              <w:keepLines w:val="0"/>
              <w:suppressLineNumbers w:val="0"/>
              <w:spacing w:before="0" w:beforeAutospacing="0" w:after="0" w:afterAutospacing="0" w:line="290" w:lineRule="auto"/>
              <w:ind w:left="0" w:right="0"/>
              <w:rPr>
                <w:rFonts w:hint="default" w:ascii="Arial"/>
                <w:sz w:val="21"/>
              </w:rPr>
            </w:pPr>
          </w:p>
          <w:p w14:paraId="559F8E30">
            <w:pPr>
              <w:pStyle w:val="22"/>
              <w:keepNext w:val="0"/>
              <w:keepLines w:val="0"/>
              <w:suppressLineNumbers w:val="0"/>
              <w:spacing w:before="69" w:beforeAutospacing="0" w:after="0" w:afterAutospacing="0" w:line="222" w:lineRule="auto"/>
              <w:ind w:left="115" w:right="0"/>
              <w:rPr>
                <w:rFonts w:hint="default"/>
              </w:rPr>
            </w:pPr>
            <w:r>
              <w:rPr>
                <w:rFonts w:hint="default"/>
                <w:b/>
                <w:bCs/>
                <w:spacing w:val="-4"/>
              </w:rPr>
              <w:t>设备名称</w:t>
            </w:r>
          </w:p>
        </w:tc>
        <w:tc>
          <w:tcPr>
            <w:tcW w:w="2117" w:type="dxa"/>
            <w:vAlign w:val="top"/>
          </w:tcPr>
          <w:p w14:paraId="35E2D03D">
            <w:pPr>
              <w:keepNext w:val="0"/>
              <w:keepLines w:val="0"/>
              <w:suppressLineNumbers w:val="0"/>
              <w:spacing w:before="0" w:beforeAutospacing="0" w:after="0" w:afterAutospacing="0" w:line="290" w:lineRule="auto"/>
              <w:ind w:left="0" w:right="0"/>
              <w:rPr>
                <w:rFonts w:hint="default" w:ascii="Arial"/>
                <w:sz w:val="21"/>
              </w:rPr>
            </w:pPr>
          </w:p>
          <w:p w14:paraId="46A779D0">
            <w:pPr>
              <w:pStyle w:val="22"/>
              <w:keepNext w:val="0"/>
              <w:keepLines w:val="0"/>
              <w:suppressLineNumbers w:val="0"/>
              <w:spacing w:before="68" w:beforeAutospacing="0" w:after="0" w:afterAutospacing="0" w:line="221" w:lineRule="auto"/>
              <w:ind w:left="644" w:right="0"/>
              <w:rPr>
                <w:rFonts w:hint="default"/>
              </w:rPr>
            </w:pPr>
            <w:r>
              <w:rPr>
                <w:rFonts w:hint="default"/>
                <w:b/>
                <w:bCs/>
                <w:spacing w:val="-4"/>
              </w:rPr>
              <w:t>规格型号</w:t>
            </w:r>
          </w:p>
        </w:tc>
        <w:tc>
          <w:tcPr>
            <w:tcW w:w="1727" w:type="dxa"/>
            <w:vAlign w:val="top"/>
          </w:tcPr>
          <w:p w14:paraId="73213034">
            <w:pPr>
              <w:pStyle w:val="22"/>
              <w:keepNext w:val="0"/>
              <w:keepLines w:val="0"/>
              <w:suppressLineNumbers w:val="0"/>
              <w:spacing w:before="223" w:beforeAutospacing="0" w:after="0" w:afterAutospacing="0" w:line="224" w:lineRule="auto"/>
              <w:ind w:left="135" w:right="150" w:hanging="16"/>
              <w:rPr>
                <w:rFonts w:hint="default"/>
              </w:rPr>
            </w:pPr>
            <w:r>
              <w:rPr>
                <w:rFonts w:hint="default"/>
                <w:b/>
                <w:bCs/>
                <w:spacing w:val="-5"/>
              </w:rPr>
              <w:t>设计压力（MPɑ)</w:t>
            </w:r>
            <w:r>
              <w:rPr>
                <w:rFonts w:hint="default"/>
                <w:spacing w:val="6"/>
              </w:rPr>
              <w:t xml:space="preserve"> </w:t>
            </w:r>
            <w:r>
              <w:rPr>
                <w:rFonts w:hint="default"/>
                <w:b/>
                <w:bCs/>
                <w:spacing w:val="10"/>
              </w:rPr>
              <w:t>设计温度(℃)</w:t>
            </w:r>
          </w:p>
        </w:tc>
        <w:tc>
          <w:tcPr>
            <w:tcW w:w="1797" w:type="dxa"/>
            <w:vAlign w:val="top"/>
          </w:tcPr>
          <w:p w14:paraId="01081D68">
            <w:pPr>
              <w:pStyle w:val="22"/>
              <w:keepNext w:val="0"/>
              <w:keepLines w:val="0"/>
              <w:suppressLineNumbers w:val="0"/>
              <w:spacing w:before="223" w:beforeAutospacing="0" w:after="0" w:afterAutospacing="0" w:line="224" w:lineRule="auto"/>
              <w:ind w:left="168" w:right="27" w:hanging="52"/>
              <w:rPr>
                <w:rFonts w:hint="default"/>
              </w:rPr>
            </w:pPr>
            <w:r>
              <w:rPr>
                <w:rFonts w:hint="default"/>
                <w:b/>
                <w:bCs/>
                <w:spacing w:val="-13"/>
              </w:rPr>
              <w:t>工作压力（MPɑ)</w:t>
            </w:r>
            <w:r>
              <w:rPr>
                <w:rFonts w:hint="default"/>
                <w:spacing w:val="-31"/>
              </w:rPr>
              <w:t xml:space="preserve"> </w:t>
            </w:r>
            <w:r>
              <w:rPr>
                <w:rFonts w:hint="default"/>
                <w:b/>
                <w:bCs/>
                <w:spacing w:val="-13"/>
              </w:rPr>
              <w:t>、</w:t>
            </w:r>
            <w:r>
              <w:rPr>
                <w:rFonts w:hint="default"/>
              </w:rPr>
              <w:t xml:space="preserve"> </w:t>
            </w:r>
            <w:r>
              <w:rPr>
                <w:rFonts w:hint="default"/>
                <w:b/>
                <w:bCs/>
                <w:spacing w:val="10"/>
              </w:rPr>
              <w:t>工作温度(℃)</w:t>
            </w:r>
          </w:p>
        </w:tc>
        <w:tc>
          <w:tcPr>
            <w:tcW w:w="1159" w:type="dxa"/>
            <w:vAlign w:val="top"/>
          </w:tcPr>
          <w:p w14:paraId="60421CBE">
            <w:pPr>
              <w:keepNext w:val="0"/>
              <w:keepLines w:val="0"/>
              <w:suppressLineNumbers w:val="0"/>
              <w:spacing w:before="0" w:beforeAutospacing="0" w:after="0" w:afterAutospacing="0" w:line="290" w:lineRule="auto"/>
              <w:ind w:left="0" w:right="0"/>
              <w:rPr>
                <w:rFonts w:hint="default" w:ascii="Arial"/>
                <w:sz w:val="21"/>
              </w:rPr>
            </w:pPr>
          </w:p>
          <w:p w14:paraId="66173089">
            <w:pPr>
              <w:pStyle w:val="22"/>
              <w:keepNext w:val="0"/>
              <w:keepLines w:val="0"/>
              <w:suppressLineNumbers w:val="0"/>
              <w:spacing w:before="68" w:beforeAutospacing="0" w:after="0" w:afterAutospacing="0" w:line="220" w:lineRule="auto"/>
              <w:ind w:left="376" w:right="0"/>
              <w:rPr>
                <w:rFonts w:hint="default"/>
              </w:rPr>
            </w:pPr>
            <w:r>
              <w:rPr>
                <w:rFonts w:hint="default"/>
                <w:b/>
                <w:bCs/>
                <w:spacing w:val="-4"/>
              </w:rPr>
              <w:t>材质</w:t>
            </w:r>
          </w:p>
        </w:tc>
        <w:tc>
          <w:tcPr>
            <w:tcW w:w="1667" w:type="dxa"/>
            <w:vAlign w:val="top"/>
          </w:tcPr>
          <w:p w14:paraId="3545212F">
            <w:pPr>
              <w:keepNext w:val="0"/>
              <w:keepLines w:val="0"/>
              <w:suppressLineNumbers w:val="0"/>
              <w:spacing w:before="0" w:beforeAutospacing="0" w:after="0" w:afterAutospacing="0" w:line="290" w:lineRule="auto"/>
              <w:ind w:left="0" w:right="0"/>
              <w:rPr>
                <w:rFonts w:hint="default" w:ascii="Arial"/>
                <w:sz w:val="21"/>
              </w:rPr>
            </w:pPr>
          </w:p>
          <w:p w14:paraId="19EEEF78">
            <w:pPr>
              <w:pStyle w:val="22"/>
              <w:keepNext w:val="0"/>
              <w:keepLines w:val="0"/>
              <w:suppressLineNumbers w:val="0"/>
              <w:spacing w:before="68" w:beforeAutospacing="0" w:after="0" w:afterAutospacing="0" w:line="220" w:lineRule="auto"/>
              <w:ind w:left="631" w:right="0"/>
              <w:rPr>
                <w:rFonts w:hint="default"/>
              </w:rPr>
            </w:pPr>
            <w:r>
              <w:rPr>
                <w:rFonts w:hint="default"/>
                <w:b/>
                <w:bCs/>
                <w:spacing w:val="-4"/>
              </w:rPr>
              <w:t>介质</w:t>
            </w:r>
          </w:p>
        </w:tc>
        <w:tc>
          <w:tcPr>
            <w:tcW w:w="680" w:type="dxa"/>
            <w:vAlign w:val="top"/>
          </w:tcPr>
          <w:p w14:paraId="37A1D920">
            <w:pPr>
              <w:keepNext w:val="0"/>
              <w:keepLines w:val="0"/>
              <w:suppressLineNumbers w:val="0"/>
              <w:spacing w:before="0" w:beforeAutospacing="0" w:after="0" w:afterAutospacing="0" w:line="290" w:lineRule="auto"/>
              <w:ind w:left="0" w:right="0"/>
              <w:rPr>
                <w:rFonts w:hint="default" w:ascii="Arial"/>
                <w:sz w:val="21"/>
              </w:rPr>
            </w:pPr>
          </w:p>
          <w:p w14:paraId="5EEEF4AE">
            <w:pPr>
              <w:pStyle w:val="22"/>
              <w:keepNext w:val="0"/>
              <w:keepLines w:val="0"/>
              <w:suppressLineNumbers w:val="0"/>
              <w:spacing w:before="68" w:beforeAutospacing="0" w:after="0" w:afterAutospacing="0" w:line="221" w:lineRule="auto"/>
              <w:ind w:left="139" w:right="0"/>
              <w:rPr>
                <w:rFonts w:hint="default"/>
              </w:rPr>
            </w:pPr>
            <w:r>
              <w:rPr>
                <w:rFonts w:hint="default"/>
                <w:b/>
                <w:bCs/>
                <w:spacing w:val="-5"/>
              </w:rPr>
              <w:t>数量</w:t>
            </w:r>
          </w:p>
        </w:tc>
        <w:tc>
          <w:tcPr>
            <w:tcW w:w="1996" w:type="dxa"/>
            <w:vAlign w:val="top"/>
          </w:tcPr>
          <w:p w14:paraId="26940011">
            <w:pPr>
              <w:keepNext w:val="0"/>
              <w:keepLines w:val="0"/>
              <w:suppressLineNumbers w:val="0"/>
              <w:spacing w:before="0" w:beforeAutospacing="0" w:after="0" w:afterAutospacing="0" w:line="290" w:lineRule="auto"/>
              <w:ind w:left="0" w:right="0"/>
              <w:rPr>
                <w:rFonts w:hint="default" w:ascii="Arial"/>
                <w:sz w:val="21"/>
              </w:rPr>
            </w:pPr>
          </w:p>
          <w:p w14:paraId="274F024C">
            <w:pPr>
              <w:pStyle w:val="22"/>
              <w:keepNext w:val="0"/>
              <w:keepLines w:val="0"/>
              <w:suppressLineNumbers w:val="0"/>
              <w:spacing w:before="68" w:beforeAutospacing="0" w:after="0" w:afterAutospacing="0" w:line="220" w:lineRule="auto"/>
              <w:ind w:left="588" w:right="0"/>
              <w:rPr>
                <w:rFonts w:hint="default"/>
              </w:rPr>
            </w:pPr>
            <w:r>
              <w:rPr>
                <w:rFonts w:hint="default"/>
                <w:b/>
                <w:bCs/>
                <w:spacing w:val="-4"/>
              </w:rPr>
              <w:t>安全附件</w:t>
            </w:r>
          </w:p>
        </w:tc>
      </w:tr>
      <w:tr w14:paraId="61E0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8" w:type="dxa"/>
            <w:vAlign w:val="top"/>
          </w:tcPr>
          <w:p w14:paraId="6FBD5CFE">
            <w:pPr>
              <w:keepNext w:val="0"/>
              <w:keepLines w:val="0"/>
              <w:suppressLineNumbers w:val="0"/>
              <w:spacing w:before="0" w:beforeAutospacing="0" w:after="0" w:afterAutospacing="0"/>
              <w:ind w:left="0" w:right="0"/>
              <w:rPr>
                <w:rFonts w:hint="default" w:ascii="Arial"/>
                <w:sz w:val="21"/>
              </w:rPr>
            </w:pPr>
          </w:p>
        </w:tc>
        <w:tc>
          <w:tcPr>
            <w:tcW w:w="1286" w:type="dxa"/>
            <w:vAlign w:val="top"/>
          </w:tcPr>
          <w:p w14:paraId="4551F2F1">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073A7B4B">
            <w:pPr>
              <w:keepNext w:val="0"/>
              <w:keepLines w:val="0"/>
              <w:suppressLineNumbers w:val="0"/>
              <w:spacing w:before="0" w:beforeAutospacing="0" w:after="0" w:afterAutospacing="0"/>
              <w:ind w:left="0" w:right="0"/>
              <w:rPr>
                <w:rFonts w:hint="default" w:ascii="Arial"/>
                <w:sz w:val="21"/>
              </w:rPr>
            </w:pPr>
          </w:p>
        </w:tc>
        <w:tc>
          <w:tcPr>
            <w:tcW w:w="2117" w:type="dxa"/>
            <w:vAlign w:val="top"/>
          </w:tcPr>
          <w:p w14:paraId="67575405">
            <w:pPr>
              <w:keepNext w:val="0"/>
              <w:keepLines w:val="0"/>
              <w:suppressLineNumbers w:val="0"/>
              <w:spacing w:before="0" w:beforeAutospacing="0" w:after="0" w:afterAutospacing="0"/>
              <w:ind w:left="0" w:right="0"/>
              <w:rPr>
                <w:rFonts w:hint="default" w:ascii="Arial"/>
                <w:sz w:val="21"/>
              </w:rPr>
            </w:pPr>
          </w:p>
        </w:tc>
        <w:tc>
          <w:tcPr>
            <w:tcW w:w="1727" w:type="dxa"/>
            <w:vAlign w:val="top"/>
          </w:tcPr>
          <w:p w14:paraId="4421AF3D">
            <w:pPr>
              <w:pStyle w:val="22"/>
              <w:keepNext w:val="0"/>
              <w:keepLines w:val="0"/>
              <w:suppressLineNumbers w:val="0"/>
              <w:spacing w:before="29" w:beforeAutospacing="0" w:after="0" w:afterAutospacing="0" w:line="239" w:lineRule="auto"/>
              <w:ind w:left="450" w:right="0"/>
              <w:rPr>
                <w:rFonts w:hint="default"/>
              </w:rPr>
            </w:pPr>
            <w:r>
              <w:rPr>
                <w:rFonts w:hint="default"/>
                <w:spacing w:val="-1"/>
              </w:rPr>
              <w:t>60~160℃</w:t>
            </w:r>
          </w:p>
        </w:tc>
        <w:tc>
          <w:tcPr>
            <w:tcW w:w="1797" w:type="dxa"/>
            <w:vAlign w:val="top"/>
          </w:tcPr>
          <w:p w14:paraId="6C1BD5D7">
            <w:pPr>
              <w:pStyle w:val="22"/>
              <w:keepNext w:val="0"/>
              <w:keepLines w:val="0"/>
              <w:suppressLineNumbers w:val="0"/>
              <w:spacing w:before="29" w:beforeAutospacing="0" w:after="0" w:afterAutospacing="0" w:line="239" w:lineRule="auto"/>
              <w:ind w:left="482" w:right="0"/>
              <w:rPr>
                <w:rFonts w:hint="default"/>
              </w:rPr>
            </w:pPr>
            <w:r>
              <w:rPr>
                <w:rFonts w:hint="default"/>
                <w:spacing w:val="-1"/>
              </w:rPr>
              <w:t>40~125℃</w:t>
            </w:r>
          </w:p>
        </w:tc>
        <w:tc>
          <w:tcPr>
            <w:tcW w:w="1159" w:type="dxa"/>
            <w:vAlign w:val="top"/>
          </w:tcPr>
          <w:p w14:paraId="0304457C">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07EE79E8">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4DE8F3AF">
            <w:pPr>
              <w:keepNext w:val="0"/>
              <w:keepLines w:val="0"/>
              <w:suppressLineNumbers w:val="0"/>
              <w:spacing w:before="0" w:beforeAutospacing="0" w:after="0" w:afterAutospacing="0"/>
              <w:ind w:left="0" w:right="0"/>
              <w:rPr>
                <w:rFonts w:hint="default" w:ascii="Arial"/>
                <w:sz w:val="21"/>
              </w:rPr>
            </w:pPr>
          </w:p>
        </w:tc>
        <w:tc>
          <w:tcPr>
            <w:tcW w:w="1996" w:type="dxa"/>
            <w:vAlign w:val="top"/>
          </w:tcPr>
          <w:p w14:paraId="29C37FC5">
            <w:pPr>
              <w:pStyle w:val="22"/>
              <w:keepNext w:val="0"/>
              <w:keepLines w:val="0"/>
              <w:suppressLineNumbers w:val="0"/>
              <w:spacing w:before="30" w:beforeAutospacing="0" w:after="0" w:afterAutospacing="0" w:line="222" w:lineRule="auto"/>
              <w:ind w:left="795" w:right="0"/>
              <w:rPr>
                <w:rFonts w:hint="default"/>
              </w:rPr>
            </w:pPr>
            <w:r>
              <w:rPr>
                <w:rFonts w:hint="default"/>
                <w:spacing w:val="-2"/>
              </w:rPr>
              <w:t>全阀</w:t>
            </w:r>
          </w:p>
        </w:tc>
      </w:tr>
      <w:tr w14:paraId="3EE2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88" w:type="dxa"/>
            <w:vAlign w:val="top"/>
          </w:tcPr>
          <w:p w14:paraId="6CBA6D42">
            <w:pPr>
              <w:pStyle w:val="22"/>
              <w:keepNext w:val="0"/>
              <w:keepLines w:val="0"/>
              <w:suppressLineNumbers w:val="0"/>
              <w:spacing w:before="254" w:beforeAutospacing="0" w:after="0" w:afterAutospacing="0" w:line="178" w:lineRule="auto"/>
              <w:ind w:left="118" w:right="0"/>
              <w:rPr>
                <w:rFonts w:hint="default"/>
              </w:rPr>
            </w:pPr>
            <w:r>
              <w:rPr>
                <w:rFonts w:hint="default"/>
                <w:spacing w:val="-2"/>
              </w:rPr>
              <w:t>21.</w:t>
            </w:r>
          </w:p>
        </w:tc>
        <w:tc>
          <w:tcPr>
            <w:tcW w:w="1286" w:type="dxa"/>
            <w:vAlign w:val="top"/>
          </w:tcPr>
          <w:p w14:paraId="695189CD">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62F80B35">
            <w:pPr>
              <w:pStyle w:val="22"/>
              <w:keepNext w:val="0"/>
              <w:keepLines w:val="0"/>
              <w:suppressLineNumbers w:val="0"/>
              <w:spacing w:before="220" w:beforeAutospacing="0" w:after="0" w:afterAutospacing="0" w:line="208" w:lineRule="auto"/>
              <w:ind w:left="114" w:right="0"/>
              <w:rPr>
                <w:rFonts w:hint="default"/>
              </w:rPr>
            </w:pPr>
            <w:r>
              <w:rPr>
                <w:rFonts w:hint="default"/>
                <w:spacing w:val="-2"/>
              </w:rPr>
              <w:t>蒸汽管道</w:t>
            </w:r>
          </w:p>
        </w:tc>
        <w:tc>
          <w:tcPr>
            <w:tcW w:w="2117" w:type="dxa"/>
            <w:vAlign w:val="top"/>
          </w:tcPr>
          <w:p w14:paraId="7C56AAA5">
            <w:pPr>
              <w:pStyle w:val="22"/>
              <w:keepNext w:val="0"/>
              <w:keepLines w:val="0"/>
              <w:suppressLineNumbers w:val="0"/>
              <w:spacing w:before="220" w:beforeAutospacing="0" w:after="0" w:afterAutospacing="0" w:line="208" w:lineRule="auto"/>
              <w:ind w:left="536" w:right="0"/>
              <w:rPr>
                <w:rFonts w:hint="default"/>
              </w:rPr>
            </w:pPr>
            <w:r>
              <w:rPr>
                <w:rFonts w:hint="default"/>
                <w:spacing w:val="-1"/>
              </w:rPr>
              <w:t>DN32~ DN65</w:t>
            </w:r>
          </w:p>
        </w:tc>
        <w:tc>
          <w:tcPr>
            <w:tcW w:w="1727" w:type="dxa"/>
            <w:vAlign w:val="top"/>
          </w:tcPr>
          <w:p w14:paraId="2F3AF0BC">
            <w:pPr>
              <w:pStyle w:val="22"/>
              <w:keepNext w:val="0"/>
              <w:keepLines w:val="0"/>
              <w:suppressLineNumbers w:val="0"/>
              <w:spacing w:before="220" w:beforeAutospacing="0" w:after="0" w:afterAutospacing="0" w:line="208" w:lineRule="auto"/>
              <w:ind w:left="294" w:right="0"/>
              <w:rPr>
                <w:rFonts w:hint="default"/>
              </w:rPr>
            </w:pPr>
            <w:r>
              <w:rPr>
                <w:rFonts w:hint="default"/>
                <w:spacing w:val="-4"/>
              </w:rPr>
              <w:t>0.8；</w:t>
            </w:r>
            <w:r>
              <w:rPr>
                <w:rFonts w:hint="default"/>
                <w:spacing w:val="24"/>
              </w:rPr>
              <w:t xml:space="preserve"> </w:t>
            </w:r>
            <w:r>
              <w:rPr>
                <w:rFonts w:hint="default"/>
                <w:spacing w:val="-4"/>
              </w:rPr>
              <w:t>180℃</w:t>
            </w:r>
          </w:p>
        </w:tc>
        <w:tc>
          <w:tcPr>
            <w:tcW w:w="1797" w:type="dxa"/>
            <w:vAlign w:val="top"/>
          </w:tcPr>
          <w:p w14:paraId="6F8F7301">
            <w:pPr>
              <w:pStyle w:val="22"/>
              <w:keepNext w:val="0"/>
              <w:keepLines w:val="0"/>
              <w:suppressLineNumbers w:val="0"/>
              <w:spacing w:before="220" w:beforeAutospacing="0" w:after="0" w:afterAutospacing="0" w:line="208" w:lineRule="auto"/>
              <w:ind w:left="329" w:right="0"/>
              <w:rPr>
                <w:rFonts w:hint="default"/>
              </w:rPr>
            </w:pPr>
            <w:r>
              <w:rPr>
                <w:rFonts w:hint="default"/>
                <w:spacing w:val="-4"/>
              </w:rPr>
              <w:t>0.6；</w:t>
            </w:r>
            <w:r>
              <w:rPr>
                <w:rFonts w:hint="default"/>
                <w:spacing w:val="24"/>
              </w:rPr>
              <w:t xml:space="preserve"> </w:t>
            </w:r>
            <w:r>
              <w:rPr>
                <w:rFonts w:hint="default"/>
                <w:spacing w:val="-4"/>
              </w:rPr>
              <w:t>120℃</w:t>
            </w:r>
          </w:p>
        </w:tc>
        <w:tc>
          <w:tcPr>
            <w:tcW w:w="1159" w:type="dxa"/>
            <w:vAlign w:val="top"/>
          </w:tcPr>
          <w:p w14:paraId="7E5A2D31">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3AB7CA35">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694B2A77">
            <w:pPr>
              <w:pStyle w:val="22"/>
              <w:keepNext w:val="0"/>
              <w:keepLines w:val="0"/>
              <w:suppressLineNumbers w:val="0"/>
              <w:spacing w:before="220" w:beforeAutospacing="0" w:after="0" w:afterAutospacing="0" w:line="208" w:lineRule="auto"/>
              <w:ind w:left="141" w:right="0"/>
              <w:rPr>
                <w:rFonts w:hint="default"/>
              </w:rPr>
            </w:pPr>
            <w:r>
              <w:rPr>
                <w:rFonts w:hint="default"/>
                <w:spacing w:val="-2"/>
              </w:rPr>
              <w:t>若干</w:t>
            </w:r>
          </w:p>
        </w:tc>
        <w:tc>
          <w:tcPr>
            <w:tcW w:w="1996" w:type="dxa"/>
            <w:vAlign w:val="top"/>
          </w:tcPr>
          <w:p w14:paraId="1B67BD06">
            <w:pPr>
              <w:pStyle w:val="22"/>
              <w:keepNext w:val="0"/>
              <w:keepLines w:val="0"/>
              <w:suppressLineNumbers w:val="0"/>
              <w:spacing w:before="220" w:beforeAutospacing="0" w:after="0" w:afterAutospacing="0" w:line="208" w:lineRule="auto"/>
              <w:ind w:left="270" w:right="0"/>
              <w:rPr>
                <w:rFonts w:hint="default"/>
              </w:rPr>
            </w:pPr>
            <w:r>
              <w:rPr>
                <w:rFonts w:hint="default"/>
                <w:spacing w:val="-1"/>
              </w:rPr>
              <w:t>压力表、温度计</w:t>
            </w:r>
          </w:p>
        </w:tc>
      </w:tr>
      <w:tr w14:paraId="11E5E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88" w:type="dxa"/>
            <w:vAlign w:val="top"/>
          </w:tcPr>
          <w:p w14:paraId="470E7D9F">
            <w:pPr>
              <w:keepNext w:val="0"/>
              <w:keepLines w:val="0"/>
              <w:suppressLineNumbers w:val="0"/>
              <w:spacing w:before="0" w:beforeAutospacing="0" w:after="0" w:afterAutospacing="0" w:line="322" w:lineRule="auto"/>
              <w:ind w:left="0" w:right="0"/>
              <w:rPr>
                <w:rFonts w:hint="default" w:ascii="Arial"/>
                <w:sz w:val="21"/>
              </w:rPr>
            </w:pPr>
          </w:p>
          <w:p w14:paraId="4BD7F6D8">
            <w:pPr>
              <w:pStyle w:val="22"/>
              <w:keepNext w:val="0"/>
              <w:keepLines w:val="0"/>
              <w:suppressLineNumbers w:val="0"/>
              <w:spacing w:before="69" w:beforeAutospacing="0" w:after="0" w:afterAutospacing="0" w:line="182" w:lineRule="auto"/>
              <w:ind w:left="118" w:right="0"/>
              <w:rPr>
                <w:rFonts w:hint="default"/>
              </w:rPr>
            </w:pPr>
            <w:r>
              <w:rPr>
                <w:rFonts w:hint="default"/>
                <w:spacing w:val="-2"/>
              </w:rPr>
              <w:t>22.</w:t>
            </w:r>
          </w:p>
        </w:tc>
        <w:tc>
          <w:tcPr>
            <w:tcW w:w="1286" w:type="dxa"/>
            <w:vAlign w:val="top"/>
          </w:tcPr>
          <w:p w14:paraId="4F7EF857">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7A07C969">
            <w:pPr>
              <w:pStyle w:val="22"/>
              <w:keepNext w:val="0"/>
              <w:keepLines w:val="0"/>
              <w:suppressLineNumbers w:val="0"/>
              <w:spacing w:before="221" w:beforeAutospacing="0" w:after="0" w:afterAutospacing="0" w:line="223" w:lineRule="auto"/>
              <w:ind w:left="111" w:right="120" w:firstLine="1"/>
              <w:rPr>
                <w:rFonts w:hint="default"/>
              </w:rPr>
            </w:pPr>
            <w:r>
              <w:rPr>
                <w:rFonts w:hint="default"/>
                <w:spacing w:val="-2"/>
              </w:rPr>
              <w:t>仪表空气立式</w:t>
            </w:r>
            <w:r>
              <w:rPr>
                <w:rFonts w:hint="default"/>
                <w:spacing w:val="4"/>
              </w:rPr>
              <w:t xml:space="preserve"> </w:t>
            </w:r>
            <w:r>
              <w:rPr>
                <w:rFonts w:hint="default"/>
                <w:spacing w:val="-2"/>
              </w:rPr>
              <w:t>储罐</w:t>
            </w:r>
          </w:p>
        </w:tc>
        <w:tc>
          <w:tcPr>
            <w:tcW w:w="2117" w:type="dxa"/>
            <w:vAlign w:val="top"/>
          </w:tcPr>
          <w:p w14:paraId="0D09B001">
            <w:pPr>
              <w:keepNext w:val="0"/>
              <w:keepLines w:val="0"/>
              <w:suppressLineNumbers w:val="0"/>
              <w:spacing w:before="0" w:beforeAutospacing="0" w:after="0" w:afterAutospacing="0" w:line="282" w:lineRule="auto"/>
              <w:ind w:left="0" w:right="0"/>
              <w:rPr>
                <w:rFonts w:hint="default" w:ascii="Arial"/>
                <w:sz w:val="21"/>
              </w:rPr>
            </w:pPr>
          </w:p>
          <w:p w14:paraId="545FECBB">
            <w:pPr>
              <w:pStyle w:val="22"/>
              <w:keepNext w:val="0"/>
              <w:keepLines w:val="0"/>
              <w:suppressLineNumbers w:val="0"/>
              <w:spacing w:before="68" w:beforeAutospacing="0" w:after="0" w:afterAutospacing="0" w:line="279" w:lineRule="exact"/>
              <w:ind w:left="934" w:right="0"/>
              <w:rPr>
                <w:rFonts w:hint="default"/>
                <w:sz w:val="11"/>
                <w:szCs w:val="11"/>
              </w:rPr>
            </w:pPr>
            <w:r>
              <w:rPr>
                <w:rFonts w:hint="default"/>
                <w:spacing w:val="-3"/>
                <w:position w:val="-1"/>
              </w:rPr>
              <w:t>8m</w:t>
            </w:r>
            <w:r>
              <w:rPr>
                <w:rFonts w:hint="default"/>
                <w:spacing w:val="-3"/>
                <w:position w:val="9"/>
                <w:sz w:val="11"/>
                <w:szCs w:val="11"/>
              </w:rPr>
              <w:t>3</w:t>
            </w:r>
          </w:p>
        </w:tc>
        <w:tc>
          <w:tcPr>
            <w:tcW w:w="1727" w:type="dxa"/>
            <w:vAlign w:val="top"/>
          </w:tcPr>
          <w:p w14:paraId="6BFF8F26">
            <w:pPr>
              <w:keepNext w:val="0"/>
              <w:keepLines w:val="0"/>
              <w:suppressLineNumbers w:val="0"/>
              <w:spacing w:before="0" w:beforeAutospacing="0" w:after="0" w:afterAutospacing="0" w:line="287" w:lineRule="auto"/>
              <w:ind w:left="0" w:right="0"/>
              <w:rPr>
                <w:rFonts w:hint="default" w:ascii="Arial"/>
                <w:sz w:val="21"/>
              </w:rPr>
            </w:pPr>
          </w:p>
          <w:p w14:paraId="4FCDB43B">
            <w:pPr>
              <w:pStyle w:val="22"/>
              <w:keepNext w:val="0"/>
              <w:keepLines w:val="0"/>
              <w:suppressLineNumbers w:val="0"/>
              <w:spacing w:before="68" w:beforeAutospacing="0" w:after="0" w:afterAutospacing="0" w:line="216" w:lineRule="auto"/>
              <w:ind w:left="256" w:right="0"/>
              <w:rPr>
                <w:rFonts w:hint="default"/>
              </w:rPr>
            </w:pPr>
            <w:r>
              <w:rPr>
                <w:rFonts w:hint="default"/>
                <w:spacing w:val="-4"/>
              </w:rPr>
              <w:t>1.0mpa，常温</w:t>
            </w:r>
          </w:p>
        </w:tc>
        <w:tc>
          <w:tcPr>
            <w:tcW w:w="1797" w:type="dxa"/>
            <w:vAlign w:val="top"/>
          </w:tcPr>
          <w:p w14:paraId="0F5031E5">
            <w:pPr>
              <w:keepNext w:val="0"/>
              <w:keepLines w:val="0"/>
              <w:suppressLineNumbers w:val="0"/>
              <w:spacing w:before="0" w:beforeAutospacing="0" w:after="0" w:afterAutospacing="0" w:line="287" w:lineRule="auto"/>
              <w:ind w:left="0" w:right="0"/>
              <w:rPr>
                <w:rFonts w:hint="default" w:ascii="Arial"/>
                <w:sz w:val="21"/>
              </w:rPr>
            </w:pPr>
          </w:p>
          <w:p w14:paraId="22EA3F60">
            <w:pPr>
              <w:pStyle w:val="22"/>
              <w:keepNext w:val="0"/>
              <w:keepLines w:val="0"/>
              <w:suppressLineNumbers w:val="0"/>
              <w:spacing w:before="68" w:beforeAutospacing="0" w:after="0" w:afterAutospacing="0" w:line="216" w:lineRule="auto"/>
              <w:ind w:left="276" w:right="0"/>
              <w:rPr>
                <w:rFonts w:hint="default"/>
              </w:rPr>
            </w:pPr>
            <w:r>
              <w:rPr>
                <w:rFonts w:hint="default"/>
                <w:spacing w:val="-2"/>
              </w:rPr>
              <w:t>0.7mpa，常温</w:t>
            </w:r>
          </w:p>
        </w:tc>
        <w:tc>
          <w:tcPr>
            <w:tcW w:w="1159" w:type="dxa"/>
            <w:vAlign w:val="top"/>
          </w:tcPr>
          <w:p w14:paraId="432D9763">
            <w:pPr>
              <w:keepNext w:val="0"/>
              <w:keepLines w:val="0"/>
              <w:suppressLineNumbers w:val="0"/>
              <w:spacing w:before="0" w:beforeAutospacing="0" w:after="0" w:afterAutospacing="0" w:line="288" w:lineRule="auto"/>
              <w:ind w:left="0" w:right="0"/>
              <w:rPr>
                <w:rFonts w:hint="default" w:ascii="Arial"/>
                <w:sz w:val="21"/>
              </w:rPr>
            </w:pPr>
          </w:p>
          <w:p w14:paraId="268BCF2C">
            <w:pPr>
              <w:pStyle w:val="22"/>
              <w:keepNext w:val="0"/>
              <w:keepLines w:val="0"/>
              <w:suppressLineNumbers w:val="0"/>
              <w:spacing w:before="68" w:beforeAutospacing="0" w:after="0" w:afterAutospacing="0" w:line="221" w:lineRule="auto"/>
              <w:ind w:left="376" w:right="0"/>
              <w:rPr>
                <w:rFonts w:hint="default"/>
              </w:rPr>
            </w:pPr>
            <w:r>
              <w:rPr>
                <w:rFonts w:hint="default"/>
                <w:spacing w:val="-2"/>
              </w:rPr>
              <w:t>碳钢</w:t>
            </w:r>
          </w:p>
        </w:tc>
        <w:tc>
          <w:tcPr>
            <w:tcW w:w="1667" w:type="dxa"/>
            <w:vAlign w:val="top"/>
          </w:tcPr>
          <w:p w14:paraId="6EAF547D">
            <w:pPr>
              <w:keepNext w:val="0"/>
              <w:keepLines w:val="0"/>
              <w:suppressLineNumbers w:val="0"/>
              <w:spacing w:before="0" w:beforeAutospacing="0" w:after="0" w:afterAutospacing="0" w:line="287" w:lineRule="auto"/>
              <w:ind w:left="0" w:right="0"/>
              <w:rPr>
                <w:rFonts w:hint="default" w:ascii="Arial"/>
                <w:sz w:val="21"/>
              </w:rPr>
            </w:pPr>
          </w:p>
          <w:p w14:paraId="206B4A3D">
            <w:pPr>
              <w:pStyle w:val="22"/>
              <w:keepNext w:val="0"/>
              <w:keepLines w:val="0"/>
              <w:suppressLineNumbers w:val="0"/>
              <w:spacing w:before="69" w:beforeAutospacing="0" w:after="0" w:afterAutospacing="0" w:line="222" w:lineRule="auto"/>
              <w:ind w:left="640" w:right="0"/>
              <w:rPr>
                <w:rFonts w:hint="default"/>
              </w:rPr>
            </w:pPr>
            <w:r>
              <w:rPr>
                <w:rFonts w:hint="default"/>
                <w:spacing w:val="-4"/>
              </w:rPr>
              <w:t>空气</w:t>
            </w:r>
          </w:p>
        </w:tc>
        <w:tc>
          <w:tcPr>
            <w:tcW w:w="680" w:type="dxa"/>
            <w:vAlign w:val="top"/>
          </w:tcPr>
          <w:p w14:paraId="1310ADE8">
            <w:pPr>
              <w:keepNext w:val="0"/>
              <w:keepLines w:val="0"/>
              <w:suppressLineNumbers w:val="0"/>
              <w:spacing w:before="0" w:beforeAutospacing="0" w:after="0" w:afterAutospacing="0" w:line="321" w:lineRule="auto"/>
              <w:ind w:left="0" w:right="0"/>
              <w:rPr>
                <w:rFonts w:hint="default" w:ascii="Arial"/>
                <w:sz w:val="21"/>
              </w:rPr>
            </w:pPr>
          </w:p>
          <w:p w14:paraId="5511BE35">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6CF3F1A6">
            <w:pPr>
              <w:keepNext w:val="0"/>
              <w:keepLines w:val="0"/>
              <w:suppressLineNumbers w:val="0"/>
              <w:spacing w:before="0" w:beforeAutospacing="0" w:after="0" w:afterAutospacing="0" w:line="287" w:lineRule="auto"/>
              <w:ind w:left="0" w:right="0"/>
              <w:rPr>
                <w:rFonts w:hint="default" w:ascii="Arial"/>
                <w:sz w:val="21"/>
              </w:rPr>
            </w:pPr>
          </w:p>
          <w:p w14:paraId="021D2D4E">
            <w:pPr>
              <w:pStyle w:val="22"/>
              <w:keepNext w:val="0"/>
              <w:keepLines w:val="0"/>
              <w:suppressLineNumbers w:val="0"/>
              <w:spacing w:before="68" w:beforeAutospacing="0" w:after="0" w:afterAutospacing="0" w:line="221" w:lineRule="auto"/>
              <w:ind w:left="270" w:right="0"/>
              <w:rPr>
                <w:rFonts w:hint="default"/>
              </w:rPr>
            </w:pPr>
            <w:r>
              <w:rPr>
                <w:rFonts w:hint="default"/>
                <w:spacing w:val="-1"/>
              </w:rPr>
              <w:t>压力表、安全阀</w:t>
            </w:r>
          </w:p>
        </w:tc>
      </w:tr>
      <w:tr w14:paraId="1FADC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588" w:type="dxa"/>
            <w:vAlign w:val="top"/>
          </w:tcPr>
          <w:p w14:paraId="7BDD6BDC">
            <w:pPr>
              <w:keepNext w:val="0"/>
              <w:keepLines w:val="0"/>
              <w:suppressLineNumbers w:val="0"/>
              <w:spacing w:before="0" w:beforeAutospacing="0" w:after="0" w:afterAutospacing="0" w:line="323" w:lineRule="auto"/>
              <w:ind w:left="0" w:right="0"/>
              <w:rPr>
                <w:rFonts w:hint="default" w:ascii="Arial"/>
                <w:sz w:val="21"/>
              </w:rPr>
            </w:pPr>
          </w:p>
          <w:p w14:paraId="5AADED50">
            <w:pPr>
              <w:pStyle w:val="22"/>
              <w:keepNext w:val="0"/>
              <w:keepLines w:val="0"/>
              <w:suppressLineNumbers w:val="0"/>
              <w:spacing w:before="68" w:beforeAutospacing="0" w:after="0" w:afterAutospacing="0" w:line="182" w:lineRule="auto"/>
              <w:ind w:left="118" w:right="0"/>
              <w:rPr>
                <w:rFonts w:hint="default"/>
              </w:rPr>
            </w:pPr>
            <w:r>
              <w:rPr>
                <w:rFonts w:hint="default"/>
                <w:spacing w:val="-2"/>
              </w:rPr>
              <w:t>23.</w:t>
            </w:r>
          </w:p>
        </w:tc>
        <w:tc>
          <w:tcPr>
            <w:tcW w:w="1286" w:type="dxa"/>
            <w:vAlign w:val="top"/>
          </w:tcPr>
          <w:p w14:paraId="6A6FE532">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017C7D8A">
            <w:pPr>
              <w:pStyle w:val="22"/>
              <w:keepNext w:val="0"/>
              <w:keepLines w:val="0"/>
              <w:suppressLineNumbers w:val="0"/>
              <w:spacing w:before="220" w:beforeAutospacing="0" w:after="0" w:afterAutospacing="0" w:line="223" w:lineRule="auto"/>
              <w:ind w:left="111" w:right="120" w:firstLine="1"/>
              <w:rPr>
                <w:rFonts w:hint="default"/>
              </w:rPr>
            </w:pPr>
            <w:r>
              <w:rPr>
                <w:rFonts w:hint="default"/>
                <w:spacing w:val="-2"/>
              </w:rPr>
              <w:t>仪表空气立式</w:t>
            </w:r>
            <w:r>
              <w:rPr>
                <w:rFonts w:hint="default"/>
                <w:spacing w:val="4"/>
              </w:rPr>
              <w:t xml:space="preserve"> </w:t>
            </w:r>
            <w:r>
              <w:rPr>
                <w:rFonts w:hint="default"/>
                <w:spacing w:val="-2"/>
              </w:rPr>
              <w:t>储罐</w:t>
            </w:r>
          </w:p>
        </w:tc>
        <w:tc>
          <w:tcPr>
            <w:tcW w:w="2117" w:type="dxa"/>
            <w:vAlign w:val="top"/>
          </w:tcPr>
          <w:p w14:paraId="2578B8A2">
            <w:pPr>
              <w:keepNext w:val="0"/>
              <w:keepLines w:val="0"/>
              <w:suppressLineNumbers w:val="0"/>
              <w:spacing w:before="0" w:beforeAutospacing="0" w:after="0" w:afterAutospacing="0" w:line="283" w:lineRule="auto"/>
              <w:ind w:left="0" w:right="0"/>
              <w:rPr>
                <w:rFonts w:hint="default" w:ascii="Arial"/>
                <w:sz w:val="21"/>
              </w:rPr>
            </w:pPr>
          </w:p>
          <w:p w14:paraId="0AB82441">
            <w:pPr>
              <w:pStyle w:val="22"/>
              <w:keepNext w:val="0"/>
              <w:keepLines w:val="0"/>
              <w:suppressLineNumbers w:val="0"/>
              <w:spacing w:before="68" w:beforeAutospacing="0" w:after="0" w:afterAutospacing="0" w:line="279" w:lineRule="exact"/>
              <w:ind w:left="937" w:right="0"/>
              <w:rPr>
                <w:rFonts w:hint="default"/>
                <w:sz w:val="11"/>
                <w:szCs w:val="11"/>
              </w:rPr>
            </w:pPr>
            <w:r>
              <w:rPr>
                <w:rFonts w:hint="default"/>
                <w:spacing w:val="-4"/>
                <w:position w:val="-1"/>
              </w:rPr>
              <w:t>5m</w:t>
            </w:r>
            <w:r>
              <w:rPr>
                <w:rFonts w:hint="default"/>
                <w:spacing w:val="-4"/>
                <w:position w:val="9"/>
                <w:sz w:val="11"/>
                <w:szCs w:val="11"/>
              </w:rPr>
              <w:t>3</w:t>
            </w:r>
          </w:p>
        </w:tc>
        <w:tc>
          <w:tcPr>
            <w:tcW w:w="1727" w:type="dxa"/>
            <w:vAlign w:val="top"/>
          </w:tcPr>
          <w:p w14:paraId="2DFE4E52">
            <w:pPr>
              <w:keepNext w:val="0"/>
              <w:keepLines w:val="0"/>
              <w:suppressLineNumbers w:val="0"/>
              <w:spacing w:before="0" w:beforeAutospacing="0" w:after="0" w:afterAutospacing="0" w:line="287" w:lineRule="auto"/>
              <w:ind w:left="0" w:right="0"/>
              <w:rPr>
                <w:rFonts w:hint="default" w:ascii="Arial"/>
                <w:sz w:val="21"/>
              </w:rPr>
            </w:pPr>
          </w:p>
          <w:p w14:paraId="38DDD53C">
            <w:pPr>
              <w:pStyle w:val="22"/>
              <w:keepNext w:val="0"/>
              <w:keepLines w:val="0"/>
              <w:suppressLineNumbers w:val="0"/>
              <w:spacing w:before="69" w:beforeAutospacing="0" w:after="0" w:afterAutospacing="0" w:line="216" w:lineRule="auto"/>
              <w:ind w:left="256" w:right="0"/>
              <w:rPr>
                <w:rFonts w:hint="default"/>
              </w:rPr>
            </w:pPr>
            <w:r>
              <w:rPr>
                <w:rFonts w:hint="default"/>
                <w:spacing w:val="-4"/>
              </w:rPr>
              <w:t>1.0mpa，常温</w:t>
            </w:r>
          </w:p>
        </w:tc>
        <w:tc>
          <w:tcPr>
            <w:tcW w:w="1797" w:type="dxa"/>
            <w:vAlign w:val="top"/>
          </w:tcPr>
          <w:p w14:paraId="391F33DD">
            <w:pPr>
              <w:keepNext w:val="0"/>
              <w:keepLines w:val="0"/>
              <w:suppressLineNumbers w:val="0"/>
              <w:spacing w:before="0" w:beforeAutospacing="0" w:after="0" w:afterAutospacing="0" w:line="287" w:lineRule="auto"/>
              <w:ind w:left="0" w:right="0"/>
              <w:rPr>
                <w:rFonts w:hint="default" w:ascii="Arial"/>
                <w:sz w:val="21"/>
              </w:rPr>
            </w:pPr>
          </w:p>
          <w:p w14:paraId="02D96A35">
            <w:pPr>
              <w:pStyle w:val="22"/>
              <w:keepNext w:val="0"/>
              <w:keepLines w:val="0"/>
              <w:suppressLineNumbers w:val="0"/>
              <w:spacing w:before="69" w:beforeAutospacing="0" w:after="0" w:afterAutospacing="0" w:line="216" w:lineRule="auto"/>
              <w:ind w:left="276" w:right="0"/>
              <w:rPr>
                <w:rFonts w:hint="default"/>
              </w:rPr>
            </w:pPr>
            <w:r>
              <w:rPr>
                <w:rFonts w:hint="default"/>
                <w:spacing w:val="-2"/>
              </w:rPr>
              <w:t>0.7mpa，常温</w:t>
            </w:r>
          </w:p>
        </w:tc>
        <w:tc>
          <w:tcPr>
            <w:tcW w:w="1159" w:type="dxa"/>
            <w:vAlign w:val="top"/>
          </w:tcPr>
          <w:p w14:paraId="3A08D70F">
            <w:pPr>
              <w:keepNext w:val="0"/>
              <w:keepLines w:val="0"/>
              <w:suppressLineNumbers w:val="0"/>
              <w:spacing w:before="0" w:beforeAutospacing="0" w:after="0" w:afterAutospacing="0" w:line="288" w:lineRule="auto"/>
              <w:ind w:left="0" w:right="0"/>
              <w:rPr>
                <w:rFonts w:hint="default" w:ascii="Arial"/>
                <w:sz w:val="21"/>
              </w:rPr>
            </w:pPr>
          </w:p>
          <w:p w14:paraId="07BB2146">
            <w:pPr>
              <w:pStyle w:val="22"/>
              <w:keepNext w:val="0"/>
              <w:keepLines w:val="0"/>
              <w:suppressLineNumbers w:val="0"/>
              <w:spacing w:before="68" w:beforeAutospacing="0" w:after="0" w:afterAutospacing="0" w:line="221" w:lineRule="auto"/>
              <w:ind w:left="376" w:right="0"/>
              <w:rPr>
                <w:rFonts w:hint="default"/>
              </w:rPr>
            </w:pPr>
            <w:r>
              <w:rPr>
                <w:rFonts w:hint="default"/>
                <w:spacing w:val="-2"/>
              </w:rPr>
              <w:t>碳钢</w:t>
            </w:r>
          </w:p>
        </w:tc>
        <w:tc>
          <w:tcPr>
            <w:tcW w:w="1667" w:type="dxa"/>
            <w:vAlign w:val="top"/>
          </w:tcPr>
          <w:p w14:paraId="2139E72E">
            <w:pPr>
              <w:keepNext w:val="0"/>
              <w:keepLines w:val="0"/>
              <w:suppressLineNumbers w:val="0"/>
              <w:spacing w:before="0" w:beforeAutospacing="0" w:after="0" w:afterAutospacing="0" w:line="288" w:lineRule="auto"/>
              <w:ind w:left="0" w:right="0"/>
              <w:rPr>
                <w:rFonts w:hint="default" w:ascii="Arial"/>
                <w:sz w:val="21"/>
              </w:rPr>
            </w:pPr>
          </w:p>
          <w:p w14:paraId="6643C4E4">
            <w:pPr>
              <w:pStyle w:val="22"/>
              <w:keepNext w:val="0"/>
              <w:keepLines w:val="0"/>
              <w:suppressLineNumbers w:val="0"/>
              <w:spacing w:before="68" w:beforeAutospacing="0" w:after="0" w:afterAutospacing="0" w:line="222" w:lineRule="auto"/>
              <w:ind w:left="640" w:right="0"/>
              <w:rPr>
                <w:rFonts w:hint="default"/>
              </w:rPr>
            </w:pPr>
            <w:r>
              <w:rPr>
                <w:rFonts w:hint="default"/>
                <w:spacing w:val="-4"/>
              </w:rPr>
              <w:t>空气</w:t>
            </w:r>
          </w:p>
        </w:tc>
        <w:tc>
          <w:tcPr>
            <w:tcW w:w="680" w:type="dxa"/>
            <w:vAlign w:val="top"/>
          </w:tcPr>
          <w:p w14:paraId="01A12090">
            <w:pPr>
              <w:keepNext w:val="0"/>
              <w:keepLines w:val="0"/>
              <w:suppressLineNumbers w:val="0"/>
              <w:spacing w:before="0" w:beforeAutospacing="0" w:after="0" w:afterAutospacing="0" w:line="323" w:lineRule="auto"/>
              <w:ind w:left="0" w:right="0"/>
              <w:rPr>
                <w:rFonts w:hint="default" w:ascii="Arial"/>
                <w:sz w:val="21"/>
              </w:rPr>
            </w:pPr>
          </w:p>
          <w:p w14:paraId="484E0F24">
            <w:pPr>
              <w:pStyle w:val="22"/>
              <w:keepNext w:val="0"/>
              <w:keepLines w:val="0"/>
              <w:suppressLineNumbers w:val="0"/>
              <w:spacing w:before="68" w:beforeAutospacing="0" w:after="0" w:afterAutospacing="0" w:line="182" w:lineRule="auto"/>
              <w:ind w:left="298" w:right="0"/>
              <w:rPr>
                <w:rFonts w:hint="default"/>
              </w:rPr>
            </w:pPr>
            <w:r>
              <w:rPr>
                <w:rFonts w:hint="default"/>
              </w:rPr>
              <w:t>2</w:t>
            </w:r>
          </w:p>
        </w:tc>
        <w:tc>
          <w:tcPr>
            <w:tcW w:w="1996" w:type="dxa"/>
            <w:vAlign w:val="top"/>
          </w:tcPr>
          <w:p w14:paraId="10A58097">
            <w:pPr>
              <w:keepNext w:val="0"/>
              <w:keepLines w:val="0"/>
              <w:suppressLineNumbers w:val="0"/>
              <w:spacing w:before="0" w:beforeAutospacing="0" w:after="0" w:afterAutospacing="0" w:line="287" w:lineRule="auto"/>
              <w:ind w:left="0" w:right="0"/>
              <w:rPr>
                <w:rFonts w:hint="default" w:ascii="Arial"/>
                <w:sz w:val="21"/>
              </w:rPr>
            </w:pPr>
          </w:p>
          <w:p w14:paraId="47E42B15">
            <w:pPr>
              <w:pStyle w:val="22"/>
              <w:keepNext w:val="0"/>
              <w:keepLines w:val="0"/>
              <w:suppressLineNumbers w:val="0"/>
              <w:spacing w:before="69" w:beforeAutospacing="0" w:after="0" w:afterAutospacing="0" w:line="221" w:lineRule="auto"/>
              <w:ind w:left="270" w:right="0"/>
              <w:rPr>
                <w:rFonts w:hint="default"/>
              </w:rPr>
            </w:pPr>
            <w:r>
              <w:rPr>
                <w:rFonts w:hint="default"/>
                <w:spacing w:val="-1"/>
              </w:rPr>
              <w:t>压力表、安全阀</w:t>
            </w:r>
          </w:p>
        </w:tc>
      </w:tr>
      <w:tr w14:paraId="1843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88" w:type="dxa"/>
            <w:vAlign w:val="top"/>
          </w:tcPr>
          <w:p w14:paraId="26F43612">
            <w:pPr>
              <w:pStyle w:val="22"/>
              <w:keepNext w:val="0"/>
              <w:keepLines w:val="0"/>
              <w:suppressLineNumbers w:val="0"/>
              <w:spacing w:before="257" w:beforeAutospacing="0" w:after="0" w:afterAutospacing="0" w:line="175" w:lineRule="auto"/>
              <w:ind w:left="118" w:right="0"/>
              <w:rPr>
                <w:rFonts w:hint="default"/>
              </w:rPr>
            </w:pPr>
            <w:r>
              <w:rPr>
                <w:rFonts w:hint="default"/>
                <w:spacing w:val="-2"/>
              </w:rPr>
              <w:t>24.</w:t>
            </w:r>
          </w:p>
        </w:tc>
        <w:tc>
          <w:tcPr>
            <w:tcW w:w="1286" w:type="dxa"/>
            <w:vAlign w:val="top"/>
          </w:tcPr>
          <w:p w14:paraId="65ECCD33">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2EDC659A">
            <w:pPr>
              <w:pStyle w:val="22"/>
              <w:keepNext w:val="0"/>
              <w:keepLines w:val="0"/>
              <w:suppressLineNumbers w:val="0"/>
              <w:spacing w:before="222" w:beforeAutospacing="0" w:after="0" w:afterAutospacing="0" w:line="206" w:lineRule="auto"/>
              <w:ind w:left="113" w:right="0"/>
              <w:rPr>
                <w:rFonts w:hint="default"/>
              </w:rPr>
            </w:pPr>
            <w:r>
              <w:rPr>
                <w:rFonts w:hint="default"/>
                <w:spacing w:val="-2"/>
              </w:rPr>
              <w:t>液氮储罐</w:t>
            </w:r>
          </w:p>
        </w:tc>
        <w:tc>
          <w:tcPr>
            <w:tcW w:w="2117" w:type="dxa"/>
            <w:vAlign w:val="top"/>
          </w:tcPr>
          <w:p w14:paraId="6E06D10D">
            <w:pPr>
              <w:pStyle w:val="22"/>
              <w:keepNext w:val="0"/>
              <w:keepLines w:val="0"/>
              <w:suppressLineNumbers w:val="0"/>
              <w:spacing w:before="256" w:beforeAutospacing="0" w:after="0" w:afterAutospacing="0" w:line="176" w:lineRule="auto"/>
              <w:ind w:left="891" w:right="0"/>
              <w:rPr>
                <w:rFonts w:hint="default" w:ascii="Times New Roman" w:hAnsi="Times New Roman" w:eastAsia="Times New Roman" w:cs="Times New Roman"/>
              </w:rPr>
            </w:pPr>
            <w:r>
              <w:rPr>
                <w:rFonts w:hint="default"/>
                <w:spacing w:val="9"/>
              </w:rPr>
              <w:t>10m</w:t>
            </w:r>
            <w:r>
              <w:rPr>
                <w:rFonts w:hint="default" w:ascii="Times New Roman" w:hAnsi="Times New Roman" w:eastAsia="Times New Roman" w:cs="Times New Roman"/>
                <w:spacing w:val="9"/>
              </w:rPr>
              <w:t>3</w:t>
            </w:r>
          </w:p>
        </w:tc>
        <w:tc>
          <w:tcPr>
            <w:tcW w:w="1727" w:type="dxa"/>
            <w:vAlign w:val="top"/>
          </w:tcPr>
          <w:p w14:paraId="3622E18B">
            <w:pPr>
              <w:pStyle w:val="22"/>
              <w:keepNext w:val="0"/>
              <w:keepLines w:val="0"/>
              <w:suppressLineNumbers w:val="0"/>
              <w:spacing w:before="222" w:beforeAutospacing="0" w:after="0" w:afterAutospacing="0" w:line="206" w:lineRule="auto"/>
              <w:ind w:left="256" w:right="0"/>
              <w:rPr>
                <w:rFonts w:hint="default"/>
              </w:rPr>
            </w:pPr>
            <w:r>
              <w:rPr>
                <w:rFonts w:hint="default"/>
                <w:spacing w:val="-4"/>
              </w:rPr>
              <w:t>1.6MPa、常温</w:t>
            </w:r>
          </w:p>
        </w:tc>
        <w:tc>
          <w:tcPr>
            <w:tcW w:w="1797" w:type="dxa"/>
            <w:vAlign w:val="top"/>
          </w:tcPr>
          <w:p w14:paraId="4D1F479E">
            <w:pPr>
              <w:pStyle w:val="22"/>
              <w:keepNext w:val="0"/>
              <w:keepLines w:val="0"/>
              <w:suppressLineNumbers w:val="0"/>
              <w:spacing w:before="222" w:beforeAutospacing="0" w:after="0" w:afterAutospacing="0" w:line="206" w:lineRule="auto"/>
              <w:ind w:left="115" w:right="0"/>
              <w:rPr>
                <w:rFonts w:hint="default"/>
              </w:rPr>
            </w:pPr>
            <w:r>
              <w:rPr>
                <w:rFonts w:hint="default"/>
                <w:spacing w:val="-9"/>
              </w:rPr>
              <w:t>0.8-1.0mpa，常温</w:t>
            </w:r>
          </w:p>
        </w:tc>
        <w:tc>
          <w:tcPr>
            <w:tcW w:w="1159" w:type="dxa"/>
            <w:vAlign w:val="top"/>
          </w:tcPr>
          <w:p w14:paraId="32F72519">
            <w:pPr>
              <w:pStyle w:val="22"/>
              <w:keepNext w:val="0"/>
              <w:keepLines w:val="0"/>
              <w:suppressLineNumbers w:val="0"/>
              <w:spacing w:before="222" w:beforeAutospacing="0" w:after="0" w:afterAutospacing="0" w:line="206" w:lineRule="auto"/>
              <w:ind w:left="376" w:right="0"/>
              <w:rPr>
                <w:rFonts w:hint="default"/>
              </w:rPr>
            </w:pPr>
            <w:r>
              <w:rPr>
                <w:rFonts w:hint="default"/>
                <w:spacing w:val="-2"/>
              </w:rPr>
              <w:t>碳钢</w:t>
            </w:r>
          </w:p>
        </w:tc>
        <w:tc>
          <w:tcPr>
            <w:tcW w:w="1667" w:type="dxa"/>
            <w:vAlign w:val="top"/>
          </w:tcPr>
          <w:p w14:paraId="207C16CE">
            <w:pPr>
              <w:pStyle w:val="22"/>
              <w:keepNext w:val="0"/>
              <w:keepLines w:val="0"/>
              <w:suppressLineNumbers w:val="0"/>
              <w:spacing w:before="222" w:beforeAutospacing="0" w:after="0" w:afterAutospacing="0" w:line="206" w:lineRule="auto"/>
              <w:ind w:left="735" w:right="0"/>
              <w:rPr>
                <w:rFonts w:hint="default"/>
              </w:rPr>
            </w:pPr>
            <w:r>
              <w:rPr>
                <w:rFonts w:hint="default"/>
              </w:rPr>
              <w:t>氮</w:t>
            </w:r>
          </w:p>
        </w:tc>
        <w:tc>
          <w:tcPr>
            <w:tcW w:w="680" w:type="dxa"/>
            <w:vAlign w:val="top"/>
          </w:tcPr>
          <w:p w14:paraId="183976F6">
            <w:pPr>
              <w:pStyle w:val="22"/>
              <w:keepNext w:val="0"/>
              <w:keepLines w:val="0"/>
              <w:suppressLineNumbers w:val="0"/>
              <w:spacing w:before="256" w:beforeAutospacing="0" w:after="0" w:afterAutospacing="0" w:line="176" w:lineRule="auto"/>
              <w:ind w:left="312" w:right="0"/>
              <w:rPr>
                <w:rFonts w:hint="default"/>
              </w:rPr>
            </w:pPr>
            <w:r>
              <w:rPr>
                <w:rFonts w:hint="default"/>
              </w:rPr>
              <w:t>1</w:t>
            </w:r>
          </w:p>
        </w:tc>
        <w:tc>
          <w:tcPr>
            <w:tcW w:w="1996" w:type="dxa"/>
            <w:vAlign w:val="top"/>
          </w:tcPr>
          <w:p w14:paraId="50EBE65E">
            <w:pPr>
              <w:pStyle w:val="22"/>
              <w:keepNext w:val="0"/>
              <w:keepLines w:val="0"/>
              <w:suppressLineNumbers w:val="0"/>
              <w:spacing w:before="222" w:beforeAutospacing="0" w:after="0" w:afterAutospacing="0" w:line="206" w:lineRule="auto"/>
              <w:ind w:left="270" w:right="0"/>
              <w:rPr>
                <w:rFonts w:hint="default"/>
              </w:rPr>
            </w:pPr>
            <w:r>
              <w:rPr>
                <w:rFonts w:hint="default"/>
                <w:spacing w:val="-1"/>
              </w:rPr>
              <w:t>压力表、安全阀</w:t>
            </w:r>
          </w:p>
        </w:tc>
      </w:tr>
      <w:tr w14:paraId="5F959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88" w:type="dxa"/>
            <w:vAlign w:val="top"/>
          </w:tcPr>
          <w:p w14:paraId="76AB4646">
            <w:pPr>
              <w:pStyle w:val="22"/>
              <w:keepNext w:val="0"/>
              <w:keepLines w:val="0"/>
              <w:suppressLineNumbers w:val="0"/>
              <w:spacing w:before="258" w:beforeAutospacing="0" w:after="0" w:afterAutospacing="0" w:line="175" w:lineRule="auto"/>
              <w:ind w:left="118" w:right="0"/>
              <w:rPr>
                <w:rFonts w:hint="default"/>
              </w:rPr>
            </w:pPr>
            <w:r>
              <w:rPr>
                <w:rFonts w:hint="default"/>
                <w:spacing w:val="-2"/>
              </w:rPr>
              <w:t>25.</w:t>
            </w:r>
          </w:p>
        </w:tc>
        <w:tc>
          <w:tcPr>
            <w:tcW w:w="1286" w:type="dxa"/>
            <w:vAlign w:val="top"/>
          </w:tcPr>
          <w:p w14:paraId="01E968F9">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4D6E1265">
            <w:pPr>
              <w:pStyle w:val="22"/>
              <w:keepNext w:val="0"/>
              <w:keepLines w:val="0"/>
              <w:suppressLineNumbers w:val="0"/>
              <w:spacing w:before="223" w:beforeAutospacing="0" w:after="0" w:afterAutospacing="0" w:line="206" w:lineRule="auto"/>
              <w:ind w:left="110" w:right="0"/>
              <w:rPr>
                <w:rFonts w:hint="default"/>
              </w:rPr>
            </w:pPr>
            <w:r>
              <w:rPr>
                <w:rFonts w:hint="default"/>
                <w:spacing w:val="-1"/>
              </w:rPr>
              <w:t>碱洗塔</w:t>
            </w:r>
          </w:p>
        </w:tc>
        <w:tc>
          <w:tcPr>
            <w:tcW w:w="2117" w:type="dxa"/>
            <w:vAlign w:val="top"/>
          </w:tcPr>
          <w:p w14:paraId="1CA42E88">
            <w:pPr>
              <w:pStyle w:val="22"/>
              <w:keepNext w:val="0"/>
              <w:keepLines w:val="0"/>
              <w:suppressLineNumbers w:val="0"/>
              <w:spacing w:before="255" w:beforeAutospacing="0" w:after="0" w:afterAutospacing="0" w:line="178" w:lineRule="auto"/>
              <w:ind w:left="402" w:right="0"/>
              <w:rPr>
                <w:rFonts w:hint="default"/>
              </w:rPr>
            </w:pPr>
            <w:r>
              <w:rPr>
                <w:rFonts w:hint="default"/>
                <w:spacing w:val="-3"/>
              </w:rPr>
              <w:t>Φ3200</w:t>
            </w:r>
            <w:r>
              <w:rPr>
                <w:rFonts w:hint="default" w:ascii="Times New Roman" w:hAnsi="Times New Roman" w:eastAsia="Times New Roman" w:cs="Times New Roman"/>
                <w:spacing w:val="-3"/>
              </w:rPr>
              <w:t>×</w:t>
            </w:r>
            <w:r>
              <w:rPr>
                <w:rFonts w:hint="default"/>
                <w:spacing w:val="-3"/>
              </w:rPr>
              <w:t>6500mm</w:t>
            </w:r>
          </w:p>
        </w:tc>
        <w:tc>
          <w:tcPr>
            <w:tcW w:w="1727" w:type="dxa"/>
            <w:vAlign w:val="top"/>
          </w:tcPr>
          <w:p w14:paraId="19B1D935">
            <w:pPr>
              <w:pStyle w:val="22"/>
              <w:keepNext w:val="0"/>
              <w:keepLines w:val="0"/>
              <w:suppressLineNumbers w:val="0"/>
              <w:spacing w:before="223" w:beforeAutospacing="0" w:after="0" w:afterAutospacing="0" w:line="206" w:lineRule="auto"/>
              <w:ind w:left="348" w:right="0"/>
              <w:rPr>
                <w:rFonts w:hint="default"/>
              </w:rPr>
            </w:pPr>
            <w:r>
              <w:rPr>
                <w:rFonts w:hint="default"/>
                <w:spacing w:val="-2"/>
              </w:rPr>
              <w:t>常压，60℃</w:t>
            </w:r>
          </w:p>
        </w:tc>
        <w:tc>
          <w:tcPr>
            <w:tcW w:w="1797" w:type="dxa"/>
            <w:vAlign w:val="top"/>
          </w:tcPr>
          <w:p w14:paraId="5D2C69A1">
            <w:pPr>
              <w:pStyle w:val="22"/>
              <w:keepNext w:val="0"/>
              <w:keepLines w:val="0"/>
              <w:suppressLineNumbers w:val="0"/>
              <w:spacing w:before="223" w:beforeAutospacing="0" w:after="0" w:afterAutospacing="0" w:line="206" w:lineRule="auto"/>
              <w:ind w:left="275" w:right="0"/>
              <w:rPr>
                <w:rFonts w:hint="default"/>
              </w:rPr>
            </w:pPr>
            <w:r>
              <w:rPr>
                <w:rFonts w:hint="default"/>
                <w:spacing w:val="-1"/>
              </w:rPr>
              <w:t>微负压，40℃</w:t>
            </w:r>
          </w:p>
        </w:tc>
        <w:tc>
          <w:tcPr>
            <w:tcW w:w="1159" w:type="dxa"/>
            <w:vAlign w:val="top"/>
          </w:tcPr>
          <w:p w14:paraId="1DF8F2C1">
            <w:pPr>
              <w:pStyle w:val="22"/>
              <w:keepNext w:val="0"/>
              <w:keepLines w:val="0"/>
              <w:suppressLineNumbers w:val="0"/>
              <w:spacing w:before="260" w:beforeAutospacing="0" w:after="0" w:afterAutospacing="0" w:line="174" w:lineRule="auto"/>
              <w:ind w:left="479" w:right="0"/>
              <w:rPr>
                <w:rFonts w:hint="default"/>
              </w:rPr>
            </w:pPr>
            <w:r>
              <w:rPr>
                <w:rFonts w:hint="default"/>
                <w:spacing w:val="-1"/>
              </w:rPr>
              <w:t>PP</w:t>
            </w:r>
          </w:p>
        </w:tc>
        <w:tc>
          <w:tcPr>
            <w:tcW w:w="1667" w:type="dxa"/>
            <w:vAlign w:val="top"/>
          </w:tcPr>
          <w:p w14:paraId="2CB255CF">
            <w:pPr>
              <w:pStyle w:val="22"/>
              <w:keepNext w:val="0"/>
              <w:keepLines w:val="0"/>
              <w:suppressLineNumbers w:val="0"/>
              <w:spacing w:before="223" w:beforeAutospacing="0" w:after="0" w:afterAutospacing="0" w:line="206" w:lineRule="auto"/>
              <w:ind w:left="422" w:right="0"/>
              <w:rPr>
                <w:rFonts w:hint="default"/>
              </w:rPr>
            </w:pPr>
            <w:r>
              <w:rPr>
                <w:rFonts w:hint="default"/>
                <w:spacing w:val="-2"/>
              </w:rPr>
              <w:t>含酸尾气</w:t>
            </w:r>
          </w:p>
        </w:tc>
        <w:tc>
          <w:tcPr>
            <w:tcW w:w="680" w:type="dxa"/>
            <w:vAlign w:val="top"/>
          </w:tcPr>
          <w:p w14:paraId="369BA104">
            <w:pPr>
              <w:pStyle w:val="22"/>
              <w:keepNext w:val="0"/>
              <w:keepLines w:val="0"/>
              <w:suppressLineNumbers w:val="0"/>
              <w:spacing w:before="257" w:beforeAutospacing="0" w:after="0" w:afterAutospacing="0" w:line="176" w:lineRule="auto"/>
              <w:ind w:left="312" w:right="0"/>
              <w:rPr>
                <w:rFonts w:hint="default"/>
              </w:rPr>
            </w:pPr>
            <w:r>
              <w:rPr>
                <w:rFonts w:hint="default"/>
              </w:rPr>
              <w:t>1</w:t>
            </w:r>
          </w:p>
        </w:tc>
        <w:tc>
          <w:tcPr>
            <w:tcW w:w="1996" w:type="dxa"/>
            <w:vAlign w:val="top"/>
          </w:tcPr>
          <w:p w14:paraId="4FD367E9">
            <w:pPr>
              <w:pStyle w:val="22"/>
              <w:keepNext w:val="0"/>
              <w:keepLines w:val="0"/>
              <w:suppressLineNumbers w:val="0"/>
              <w:spacing w:before="223" w:beforeAutospacing="0" w:after="0" w:afterAutospacing="0" w:line="206" w:lineRule="auto"/>
              <w:ind w:left="691" w:right="0"/>
              <w:rPr>
                <w:rFonts w:hint="default"/>
              </w:rPr>
            </w:pPr>
            <w:r>
              <w:rPr>
                <w:rFonts w:hint="default"/>
                <w:spacing w:val="-2"/>
              </w:rPr>
              <w:t>温度表</w:t>
            </w:r>
          </w:p>
        </w:tc>
      </w:tr>
      <w:tr w14:paraId="4D916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88" w:type="dxa"/>
            <w:vAlign w:val="top"/>
          </w:tcPr>
          <w:p w14:paraId="22783F77">
            <w:pPr>
              <w:pStyle w:val="22"/>
              <w:keepNext w:val="0"/>
              <w:keepLines w:val="0"/>
              <w:suppressLineNumbers w:val="0"/>
              <w:spacing w:before="259" w:beforeAutospacing="0" w:after="0" w:afterAutospacing="0" w:line="174" w:lineRule="auto"/>
              <w:ind w:left="118" w:right="0"/>
              <w:rPr>
                <w:rFonts w:hint="default"/>
              </w:rPr>
            </w:pPr>
            <w:r>
              <w:rPr>
                <w:rFonts w:hint="default"/>
                <w:spacing w:val="-2"/>
              </w:rPr>
              <w:t>26.</w:t>
            </w:r>
          </w:p>
        </w:tc>
        <w:tc>
          <w:tcPr>
            <w:tcW w:w="1286" w:type="dxa"/>
            <w:vAlign w:val="top"/>
          </w:tcPr>
          <w:p w14:paraId="4F1ACFF1">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0DE3210B">
            <w:pPr>
              <w:pStyle w:val="22"/>
              <w:keepNext w:val="0"/>
              <w:keepLines w:val="0"/>
              <w:suppressLineNumbers w:val="0"/>
              <w:spacing w:before="222" w:beforeAutospacing="0" w:after="0" w:afterAutospacing="0" w:line="206" w:lineRule="auto"/>
              <w:ind w:left="114" w:right="0"/>
              <w:rPr>
                <w:rFonts w:hint="default"/>
              </w:rPr>
            </w:pPr>
            <w:r>
              <w:rPr>
                <w:rFonts w:hint="default"/>
                <w:spacing w:val="-2"/>
              </w:rPr>
              <w:t>水洗塔</w:t>
            </w:r>
          </w:p>
        </w:tc>
        <w:tc>
          <w:tcPr>
            <w:tcW w:w="2117" w:type="dxa"/>
            <w:vAlign w:val="top"/>
          </w:tcPr>
          <w:p w14:paraId="391D686D">
            <w:pPr>
              <w:pStyle w:val="22"/>
              <w:keepNext w:val="0"/>
              <w:keepLines w:val="0"/>
              <w:suppressLineNumbers w:val="0"/>
              <w:spacing w:before="254" w:beforeAutospacing="0" w:after="0" w:afterAutospacing="0" w:line="178" w:lineRule="auto"/>
              <w:ind w:left="402" w:right="0"/>
              <w:rPr>
                <w:rFonts w:hint="default"/>
              </w:rPr>
            </w:pPr>
            <w:r>
              <w:rPr>
                <w:rFonts w:hint="default"/>
                <w:spacing w:val="-3"/>
              </w:rPr>
              <w:t>Φ3200</w:t>
            </w:r>
            <w:r>
              <w:rPr>
                <w:rFonts w:hint="default" w:ascii="Times New Roman" w:hAnsi="Times New Roman" w:eastAsia="Times New Roman" w:cs="Times New Roman"/>
                <w:spacing w:val="-3"/>
              </w:rPr>
              <w:t>×</w:t>
            </w:r>
            <w:r>
              <w:rPr>
                <w:rFonts w:hint="default"/>
                <w:spacing w:val="-3"/>
              </w:rPr>
              <w:t>6500mm</w:t>
            </w:r>
          </w:p>
        </w:tc>
        <w:tc>
          <w:tcPr>
            <w:tcW w:w="1727" w:type="dxa"/>
            <w:vAlign w:val="top"/>
          </w:tcPr>
          <w:p w14:paraId="43F05593">
            <w:pPr>
              <w:pStyle w:val="22"/>
              <w:keepNext w:val="0"/>
              <w:keepLines w:val="0"/>
              <w:suppressLineNumbers w:val="0"/>
              <w:spacing w:before="222" w:beforeAutospacing="0" w:after="0" w:afterAutospacing="0" w:line="206" w:lineRule="auto"/>
              <w:ind w:left="348" w:right="0"/>
              <w:rPr>
                <w:rFonts w:hint="default"/>
              </w:rPr>
            </w:pPr>
            <w:r>
              <w:rPr>
                <w:rFonts w:hint="default"/>
                <w:spacing w:val="-2"/>
              </w:rPr>
              <w:t>常压，60℃</w:t>
            </w:r>
          </w:p>
        </w:tc>
        <w:tc>
          <w:tcPr>
            <w:tcW w:w="1797" w:type="dxa"/>
            <w:vAlign w:val="top"/>
          </w:tcPr>
          <w:p w14:paraId="3975FD40">
            <w:pPr>
              <w:pStyle w:val="22"/>
              <w:keepNext w:val="0"/>
              <w:keepLines w:val="0"/>
              <w:suppressLineNumbers w:val="0"/>
              <w:spacing w:before="222" w:beforeAutospacing="0" w:after="0" w:afterAutospacing="0" w:line="206" w:lineRule="auto"/>
              <w:ind w:left="275" w:right="0"/>
              <w:rPr>
                <w:rFonts w:hint="default"/>
              </w:rPr>
            </w:pPr>
            <w:r>
              <w:rPr>
                <w:rFonts w:hint="default"/>
                <w:spacing w:val="-1"/>
              </w:rPr>
              <w:t>微负压，40℃</w:t>
            </w:r>
          </w:p>
        </w:tc>
        <w:tc>
          <w:tcPr>
            <w:tcW w:w="1159" w:type="dxa"/>
            <w:vAlign w:val="top"/>
          </w:tcPr>
          <w:p w14:paraId="578FBE39">
            <w:pPr>
              <w:pStyle w:val="22"/>
              <w:keepNext w:val="0"/>
              <w:keepLines w:val="0"/>
              <w:suppressLineNumbers w:val="0"/>
              <w:spacing w:before="260" w:beforeAutospacing="0" w:after="0" w:afterAutospacing="0" w:line="173" w:lineRule="auto"/>
              <w:ind w:left="479" w:right="0"/>
              <w:rPr>
                <w:rFonts w:hint="default"/>
              </w:rPr>
            </w:pPr>
            <w:r>
              <w:rPr>
                <w:rFonts w:hint="default"/>
                <w:spacing w:val="-1"/>
              </w:rPr>
              <w:t>PP</w:t>
            </w:r>
          </w:p>
        </w:tc>
        <w:tc>
          <w:tcPr>
            <w:tcW w:w="1667" w:type="dxa"/>
            <w:vAlign w:val="top"/>
          </w:tcPr>
          <w:p w14:paraId="355723BE">
            <w:pPr>
              <w:pStyle w:val="22"/>
              <w:keepNext w:val="0"/>
              <w:keepLines w:val="0"/>
              <w:suppressLineNumbers w:val="0"/>
              <w:spacing w:before="222" w:beforeAutospacing="0" w:after="0" w:afterAutospacing="0" w:line="206" w:lineRule="auto"/>
              <w:ind w:left="422" w:right="0"/>
              <w:rPr>
                <w:rFonts w:hint="default"/>
              </w:rPr>
            </w:pPr>
            <w:r>
              <w:rPr>
                <w:rFonts w:hint="default"/>
                <w:spacing w:val="-2"/>
              </w:rPr>
              <w:t>含酸尾气</w:t>
            </w:r>
          </w:p>
        </w:tc>
        <w:tc>
          <w:tcPr>
            <w:tcW w:w="680" w:type="dxa"/>
            <w:vAlign w:val="top"/>
          </w:tcPr>
          <w:p w14:paraId="53E6693E">
            <w:pPr>
              <w:pStyle w:val="22"/>
              <w:keepNext w:val="0"/>
              <w:keepLines w:val="0"/>
              <w:suppressLineNumbers w:val="0"/>
              <w:spacing w:before="257" w:beforeAutospacing="0" w:after="0" w:afterAutospacing="0" w:line="175" w:lineRule="auto"/>
              <w:ind w:left="312" w:right="0"/>
              <w:rPr>
                <w:rFonts w:hint="default"/>
              </w:rPr>
            </w:pPr>
            <w:r>
              <w:rPr>
                <w:rFonts w:hint="default"/>
              </w:rPr>
              <w:t>1</w:t>
            </w:r>
          </w:p>
        </w:tc>
        <w:tc>
          <w:tcPr>
            <w:tcW w:w="1996" w:type="dxa"/>
            <w:vAlign w:val="top"/>
          </w:tcPr>
          <w:p w14:paraId="250E54DB">
            <w:pPr>
              <w:pStyle w:val="22"/>
              <w:keepNext w:val="0"/>
              <w:keepLines w:val="0"/>
              <w:suppressLineNumbers w:val="0"/>
              <w:spacing w:before="222" w:beforeAutospacing="0" w:after="0" w:afterAutospacing="0" w:line="206" w:lineRule="auto"/>
              <w:ind w:left="691" w:right="0"/>
              <w:rPr>
                <w:rFonts w:hint="default"/>
              </w:rPr>
            </w:pPr>
            <w:r>
              <w:rPr>
                <w:rFonts w:hint="default"/>
                <w:spacing w:val="-2"/>
              </w:rPr>
              <w:t>温度表</w:t>
            </w:r>
          </w:p>
        </w:tc>
      </w:tr>
      <w:tr w14:paraId="3C3BA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588" w:type="dxa"/>
            <w:vAlign w:val="top"/>
          </w:tcPr>
          <w:p w14:paraId="3AA72517">
            <w:pPr>
              <w:pStyle w:val="22"/>
              <w:keepNext w:val="0"/>
              <w:keepLines w:val="0"/>
              <w:suppressLineNumbers w:val="0"/>
              <w:spacing w:before="260" w:beforeAutospacing="0" w:after="0" w:afterAutospacing="0" w:line="172" w:lineRule="auto"/>
              <w:ind w:left="118" w:right="0"/>
              <w:rPr>
                <w:rFonts w:hint="default"/>
              </w:rPr>
            </w:pPr>
            <w:r>
              <w:rPr>
                <w:rFonts w:hint="default"/>
                <w:spacing w:val="-2"/>
              </w:rPr>
              <w:t>27.</w:t>
            </w:r>
          </w:p>
        </w:tc>
        <w:tc>
          <w:tcPr>
            <w:tcW w:w="1286" w:type="dxa"/>
            <w:vAlign w:val="top"/>
          </w:tcPr>
          <w:p w14:paraId="56A13167">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3DBFDEE3">
            <w:pPr>
              <w:pStyle w:val="22"/>
              <w:keepNext w:val="0"/>
              <w:keepLines w:val="0"/>
              <w:suppressLineNumbers w:val="0"/>
              <w:spacing w:before="223" w:beforeAutospacing="0" w:after="0" w:afterAutospacing="0" w:line="204" w:lineRule="auto"/>
              <w:ind w:left="115" w:right="0"/>
              <w:rPr>
                <w:rFonts w:hint="default"/>
              </w:rPr>
            </w:pPr>
            <w:r>
              <w:rPr>
                <w:rFonts w:hint="default"/>
                <w:spacing w:val="-2"/>
              </w:rPr>
              <w:t>活性炭吸附箱</w:t>
            </w:r>
          </w:p>
        </w:tc>
        <w:tc>
          <w:tcPr>
            <w:tcW w:w="2117" w:type="dxa"/>
            <w:vAlign w:val="top"/>
          </w:tcPr>
          <w:p w14:paraId="1AEFF730">
            <w:pPr>
              <w:pStyle w:val="22"/>
              <w:keepNext w:val="0"/>
              <w:keepLines w:val="0"/>
              <w:suppressLineNumbers w:val="0"/>
              <w:spacing w:before="223" w:beforeAutospacing="0" w:after="0" w:afterAutospacing="0" w:line="204" w:lineRule="auto"/>
              <w:ind w:left="174" w:right="0"/>
              <w:rPr>
                <w:rFonts w:hint="default"/>
              </w:rPr>
            </w:pPr>
            <w:r>
              <w:rPr>
                <w:rFonts w:hint="default"/>
                <w:spacing w:val="-1"/>
              </w:rPr>
              <w:t>蜂窝活性炭,抽屉式</w:t>
            </w:r>
          </w:p>
        </w:tc>
        <w:tc>
          <w:tcPr>
            <w:tcW w:w="1727" w:type="dxa"/>
            <w:vAlign w:val="top"/>
          </w:tcPr>
          <w:p w14:paraId="0F45579C">
            <w:pPr>
              <w:pStyle w:val="22"/>
              <w:keepNext w:val="0"/>
              <w:keepLines w:val="0"/>
              <w:suppressLineNumbers w:val="0"/>
              <w:spacing w:before="223" w:beforeAutospacing="0" w:after="0" w:afterAutospacing="0" w:line="204" w:lineRule="auto"/>
              <w:ind w:left="348" w:right="0"/>
              <w:rPr>
                <w:rFonts w:hint="default"/>
              </w:rPr>
            </w:pPr>
            <w:r>
              <w:rPr>
                <w:rFonts w:hint="default"/>
                <w:spacing w:val="-2"/>
              </w:rPr>
              <w:t>常压，60℃</w:t>
            </w:r>
          </w:p>
        </w:tc>
        <w:tc>
          <w:tcPr>
            <w:tcW w:w="1797" w:type="dxa"/>
            <w:vAlign w:val="top"/>
          </w:tcPr>
          <w:p w14:paraId="117844BC">
            <w:pPr>
              <w:pStyle w:val="22"/>
              <w:keepNext w:val="0"/>
              <w:keepLines w:val="0"/>
              <w:suppressLineNumbers w:val="0"/>
              <w:spacing w:before="223" w:beforeAutospacing="0" w:after="0" w:afterAutospacing="0" w:line="204" w:lineRule="auto"/>
              <w:ind w:left="275" w:right="0"/>
              <w:rPr>
                <w:rFonts w:hint="default"/>
              </w:rPr>
            </w:pPr>
            <w:r>
              <w:rPr>
                <w:rFonts w:hint="default"/>
                <w:spacing w:val="-1"/>
              </w:rPr>
              <w:t>微负压，40℃</w:t>
            </w:r>
          </w:p>
        </w:tc>
        <w:tc>
          <w:tcPr>
            <w:tcW w:w="1159" w:type="dxa"/>
            <w:vAlign w:val="top"/>
          </w:tcPr>
          <w:p w14:paraId="1F6684AB">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58171A14">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2AE172F6">
            <w:pPr>
              <w:pStyle w:val="22"/>
              <w:keepNext w:val="0"/>
              <w:keepLines w:val="0"/>
              <w:suppressLineNumbers w:val="0"/>
              <w:spacing w:before="259" w:beforeAutospacing="0" w:after="0" w:afterAutospacing="0" w:line="173" w:lineRule="auto"/>
              <w:ind w:left="312" w:right="0"/>
              <w:rPr>
                <w:rFonts w:hint="default"/>
              </w:rPr>
            </w:pPr>
            <w:r>
              <w:rPr>
                <w:rFonts w:hint="default"/>
              </w:rPr>
              <w:t>1</w:t>
            </w:r>
          </w:p>
        </w:tc>
        <w:tc>
          <w:tcPr>
            <w:tcW w:w="1996" w:type="dxa"/>
            <w:vAlign w:val="top"/>
          </w:tcPr>
          <w:p w14:paraId="3FA1B730">
            <w:pPr>
              <w:keepNext w:val="0"/>
              <w:keepLines w:val="0"/>
              <w:suppressLineNumbers w:val="0"/>
              <w:spacing w:before="0" w:beforeAutospacing="0" w:after="0" w:afterAutospacing="0"/>
              <w:ind w:left="0" w:right="0"/>
              <w:rPr>
                <w:rFonts w:hint="default" w:ascii="Arial"/>
                <w:sz w:val="21"/>
              </w:rPr>
            </w:pPr>
          </w:p>
        </w:tc>
      </w:tr>
      <w:tr w14:paraId="32D2E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8" w:type="dxa"/>
            <w:vAlign w:val="top"/>
          </w:tcPr>
          <w:p w14:paraId="34BDBEFD">
            <w:pPr>
              <w:keepNext w:val="0"/>
              <w:keepLines w:val="0"/>
              <w:suppressLineNumbers w:val="0"/>
              <w:spacing w:before="0" w:beforeAutospacing="0" w:after="0" w:afterAutospacing="0" w:line="325" w:lineRule="auto"/>
              <w:ind w:left="0" w:right="0"/>
              <w:rPr>
                <w:rFonts w:hint="default" w:ascii="Arial"/>
                <w:sz w:val="21"/>
              </w:rPr>
            </w:pPr>
          </w:p>
          <w:p w14:paraId="561E02CE">
            <w:pPr>
              <w:pStyle w:val="22"/>
              <w:keepNext w:val="0"/>
              <w:keepLines w:val="0"/>
              <w:suppressLineNumbers w:val="0"/>
              <w:spacing w:before="68" w:beforeAutospacing="0" w:after="0" w:afterAutospacing="0" w:line="182" w:lineRule="auto"/>
              <w:ind w:left="118" w:right="0"/>
              <w:rPr>
                <w:rFonts w:hint="default"/>
              </w:rPr>
            </w:pPr>
            <w:r>
              <w:rPr>
                <w:rFonts w:hint="default"/>
                <w:spacing w:val="-2"/>
              </w:rPr>
              <w:t>28.</w:t>
            </w:r>
          </w:p>
        </w:tc>
        <w:tc>
          <w:tcPr>
            <w:tcW w:w="1286" w:type="dxa"/>
            <w:vAlign w:val="top"/>
          </w:tcPr>
          <w:p w14:paraId="48D9B066">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0DA0F635">
            <w:pPr>
              <w:keepNext w:val="0"/>
              <w:keepLines w:val="0"/>
              <w:suppressLineNumbers w:val="0"/>
              <w:spacing w:before="0" w:beforeAutospacing="0" w:after="0" w:afterAutospacing="0" w:line="290" w:lineRule="auto"/>
              <w:ind w:left="0" w:right="0"/>
              <w:rPr>
                <w:rFonts w:hint="default" w:ascii="Arial"/>
                <w:sz w:val="21"/>
              </w:rPr>
            </w:pPr>
          </w:p>
          <w:p w14:paraId="08BF5004">
            <w:pPr>
              <w:pStyle w:val="22"/>
              <w:keepNext w:val="0"/>
              <w:keepLines w:val="0"/>
              <w:suppressLineNumbers w:val="0"/>
              <w:spacing w:before="68" w:beforeAutospacing="0" w:after="0" w:afterAutospacing="0" w:line="220" w:lineRule="auto"/>
              <w:ind w:left="112" w:right="0"/>
              <w:rPr>
                <w:rFonts w:hint="default"/>
              </w:rPr>
            </w:pPr>
            <w:r>
              <w:rPr>
                <w:rFonts w:hint="default"/>
                <w:spacing w:val="-2"/>
              </w:rPr>
              <w:t>尾气风机</w:t>
            </w:r>
          </w:p>
        </w:tc>
        <w:tc>
          <w:tcPr>
            <w:tcW w:w="2117" w:type="dxa"/>
            <w:vAlign w:val="top"/>
          </w:tcPr>
          <w:p w14:paraId="19A9C1F0">
            <w:pPr>
              <w:pStyle w:val="22"/>
              <w:keepNext w:val="0"/>
              <w:keepLines w:val="0"/>
              <w:suppressLineNumbers w:val="0"/>
              <w:spacing w:before="225" w:beforeAutospacing="0" w:after="0" w:afterAutospacing="0" w:line="222" w:lineRule="auto"/>
              <w:ind w:left="859" w:right="55" w:hanging="740"/>
              <w:rPr>
                <w:rFonts w:hint="default"/>
              </w:rPr>
            </w:pPr>
            <w:r>
              <w:rPr>
                <w:rFonts w:hint="default"/>
                <w:spacing w:val="-4"/>
              </w:rPr>
              <w:t>50000m³/h，3000Pa，</w:t>
            </w:r>
            <w:r>
              <w:rPr>
                <w:rFonts w:hint="default"/>
                <w:spacing w:val="9"/>
              </w:rPr>
              <w:t xml:space="preserve"> </w:t>
            </w:r>
            <w:r>
              <w:rPr>
                <w:rFonts w:hint="default"/>
                <w:spacing w:val="-3"/>
              </w:rPr>
              <w:t>75KW</w:t>
            </w:r>
          </w:p>
        </w:tc>
        <w:tc>
          <w:tcPr>
            <w:tcW w:w="1727" w:type="dxa"/>
            <w:vAlign w:val="top"/>
          </w:tcPr>
          <w:p w14:paraId="3836011E">
            <w:pPr>
              <w:keepNext w:val="0"/>
              <w:keepLines w:val="0"/>
              <w:suppressLineNumbers w:val="0"/>
              <w:spacing w:before="0" w:beforeAutospacing="0" w:after="0" w:afterAutospacing="0"/>
              <w:ind w:left="0" w:right="0"/>
              <w:rPr>
                <w:rFonts w:hint="default" w:ascii="Arial"/>
                <w:sz w:val="21"/>
              </w:rPr>
            </w:pPr>
          </w:p>
        </w:tc>
        <w:tc>
          <w:tcPr>
            <w:tcW w:w="1797" w:type="dxa"/>
            <w:vAlign w:val="top"/>
          </w:tcPr>
          <w:p w14:paraId="0459ED4A">
            <w:pPr>
              <w:keepNext w:val="0"/>
              <w:keepLines w:val="0"/>
              <w:suppressLineNumbers w:val="0"/>
              <w:spacing w:before="0" w:beforeAutospacing="0" w:after="0" w:afterAutospacing="0"/>
              <w:ind w:left="0" w:right="0"/>
              <w:rPr>
                <w:rFonts w:hint="default" w:ascii="Arial"/>
                <w:sz w:val="21"/>
              </w:rPr>
            </w:pPr>
          </w:p>
        </w:tc>
        <w:tc>
          <w:tcPr>
            <w:tcW w:w="1159" w:type="dxa"/>
            <w:vAlign w:val="top"/>
          </w:tcPr>
          <w:p w14:paraId="6A1E38E7">
            <w:pPr>
              <w:keepNext w:val="0"/>
              <w:keepLines w:val="0"/>
              <w:suppressLineNumbers w:val="0"/>
              <w:spacing w:before="0" w:beforeAutospacing="0" w:after="0" w:afterAutospacing="0" w:line="290" w:lineRule="auto"/>
              <w:ind w:left="0" w:right="0"/>
              <w:rPr>
                <w:rFonts w:hint="default" w:ascii="Arial"/>
                <w:sz w:val="21"/>
              </w:rPr>
            </w:pPr>
          </w:p>
          <w:p w14:paraId="43163592">
            <w:pPr>
              <w:pStyle w:val="22"/>
              <w:keepNext w:val="0"/>
              <w:keepLines w:val="0"/>
              <w:suppressLineNumbers w:val="0"/>
              <w:spacing w:before="68" w:beforeAutospacing="0" w:after="0" w:afterAutospacing="0" w:line="226" w:lineRule="auto"/>
              <w:ind w:left="111" w:right="0"/>
              <w:rPr>
                <w:rFonts w:hint="default"/>
              </w:rPr>
            </w:pPr>
            <w:r>
              <w:rPr>
                <w:rFonts w:hint="default"/>
                <w:spacing w:val="-1"/>
              </w:rPr>
              <w:t>FRP/SS304</w:t>
            </w:r>
          </w:p>
        </w:tc>
        <w:tc>
          <w:tcPr>
            <w:tcW w:w="1667" w:type="dxa"/>
            <w:vAlign w:val="top"/>
          </w:tcPr>
          <w:p w14:paraId="047EC8B7">
            <w:pPr>
              <w:keepNext w:val="0"/>
              <w:keepLines w:val="0"/>
              <w:suppressLineNumbers w:val="0"/>
              <w:spacing w:before="0" w:beforeAutospacing="0" w:after="0" w:afterAutospacing="0" w:line="290" w:lineRule="auto"/>
              <w:ind w:left="0" w:right="0"/>
              <w:rPr>
                <w:rFonts w:hint="default" w:ascii="Arial"/>
                <w:sz w:val="21"/>
              </w:rPr>
            </w:pPr>
          </w:p>
          <w:p w14:paraId="4642B2C4">
            <w:pPr>
              <w:pStyle w:val="22"/>
              <w:keepNext w:val="0"/>
              <w:keepLines w:val="0"/>
              <w:suppressLineNumbers w:val="0"/>
              <w:spacing w:before="69" w:beforeAutospacing="0" w:after="0" w:afterAutospacing="0" w:line="221" w:lineRule="auto"/>
              <w:ind w:left="425" w:right="0"/>
              <w:rPr>
                <w:rFonts w:hint="default"/>
              </w:rPr>
            </w:pPr>
            <w:r>
              <w:rPr>
                <w:rFonts w:hint="default"/>
                <w:spacing w:val="-2"/>
              </w:rPr>
              <w:t>净化尾气</w:t>
            </w:r>
          </w:p>
        </w:tc>
        <w:tc>
          <w:tcPr>
            <w:tcW w:w="680" w:type="dxa"/>
            <w:vAlign w:val="top"/>
          </w:tcPr>
          <w:p w14:paraId="012877A0">
            <w:pPr>
              <w:keepNext w:val="0"/>
              <w:keepLines w:val="0"/>
              <w:suppressLineNumbers w:val="0"/>
              <w:spacing w:before="0" w:beforeAutospacing="0" w:after="0" w:afterAutospacing="0" w:line="324" w:lineRule="auto"/>
              <w:ind w:left="0" w:right="0"/>
              <w:rPr>
                <w:rFonts w:hint="default" w:ascii="Arial"/>
                <w:sz w:val="21"/>
              </w:rPr>
            </w:pPr>
          </w:p>
          <w:p w14:paraId="425BA560">
            <w:pPr>
              <w:pStyle w:val="22"/>
              <w:keepNext w:val="0"/>
              <w:keepLines w:val="0"/>
              <w:suppressLineNumbers w:val="0"/>
              <w:spacing w:before="68" w:beforeAutospacing="0" w:after="0" w:afterAutospacing="0" w:line="183" w:lineRule="auto"/>
              <w:ind w:left="312" w:right="0"/>
              <w:rPr>
                <w:rFonts w:hint="default"/>
              </w:rPr>
            </w:pPr>
            <w:r>
              <w:rPr>
                <w:rFonts w:hint="default"/>
              </w:rPr>
              <w:t>1</w:t>
            </w:r>
          </w:p>
        </w:tc>
        <w:tc>
          <w:tcPr>
            <w:tcW w:w="1996" w:type="dxa"/>
            <w:vAlign w:val="top"/>
          </w:tcPr>
          <w:p w14:paraId="6FFFBC64">
            <w:pPr>
              <w:keepNext w:val="0"/>
              <w:keepLines w:val="0"/>
              <w:suppressLineNumbers w:val="0"/>
              <w:spacing w:before="0" w:beforeAutospacing="0" w:after="0" w:afterAutospacing="0"/>
              <w:ind w:left="0" w:right="0"/>
              <w:rPr>
                <w:rFonts w:hint="default" w:ascii="Arial"/>
                <w:sz w:val="21"/>
              </w:rPr>
            </w:pPr>
          </w:p>
        </w:tc>
      </w:tr>
      <w:tr w14:paraId="58AF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8" w:type="dxa"/>
            <w:vAlign w:val="top"/>
          </w:tcPr>
          <w:p w14:paraId="31D76A88">
            <w:pPr>
              <w:pStyle w:val="22"/>
              <w:keepNext w:val="0"/>
              <w:keepLines w:val="0"/>
              <w:suppressLineNumbers w:val="0"/>
              <w:spacing w:before="259" w:beforeAutospacing="0" w:after="0" w:afterAutospacing="0" w:line="178" w:lineRule="auto"/>
              <w:ind w:left="118" w:right="0"/>
              <w:rPr>
                <w:rFonts w:hint="default"/>
              </w:rPr>
            </w:pPr>
            <w:r>
              <w:rPr>
                <w:rFonts w:hint="default"/>
                <w:spacing w:val="-2"/>
              </w:rPr>
              <w:t>29.</w:t>
            </w:r>
          </w:p>
        </w:tc>
        <w:tc>
          <w:tcPr>
            <w:tcW w:w="1286" w:type="dxa"/>
            <w:vAlign w:val="top"/>
          </w:tcPr>
          <w:p w14:paraId="1A342B61">
            <w:pPr>
              <w:keepNext w:val="0"/>
              <w:keepLines w:val="0"/>
              <w:suppressLineNumbers w:val="0"/>
              <w:spacing w:before="0" w:beforeAutospacing="0" w:after="0" w:afterAutospacing="0"/>
              <w:ind w:left="0" w:right="0"/>
              <w:rPr>
                <w:rFonts w:hint="default" w:ascii="Arial"/>
                <w:sz w:val="21"/>
              </w:rPr>
            </w:pPr>
          </w:p>
        </w:tc>
        <w:tc>
          <w:tcPr>
            <w:tcW w:w="1492" w:type="dxa"/>
            <w:vAlign w:val="top"/>
          </w:tcPr>
          <w:p w14:paraId="4EB587E0">
            <w:pPr>
              <w:pStyle w:val="22"/>
              <w:keepNext w:val="0"/>
              <w:keepLines w:val="0"/>
              <w:suppressLineNumbers w:val="0"/>
              <w:spacing w:before="224" w:beforeAutospacing="0" w:after="0" w:afterAutospacing="0" w:line="209" w:lineRule="auto"/>
              <w:ind w:left="113" w:right="0"/>
              <w:rPr>
                <w:rFonts w:hint="default"/>
              </w:rPr>
            </w:pPr>
            <w:r>
              <w:rPr>
                <w:rFonts w:hint="default"/>
                <w:spacing w:val="-2"/>
              </w:rPr>
              <w:t>叉车</w:t>
            </w:r>
          </w:p>
        </w:tc>
        <w:tc>
          <w:tcPr>
            <w:tcW w:w="2117" w:type="dxa"/>
            <w:vAlign w:val="top"/>
          </w:tcPr>
          <w:p w14:paraId="347BA955">
            <w:pPr>
              <w:pStyle w:val="22"/>
              <w:keepNext w:val="0"/>
              <w:keepLines w:val="0"/>
              <w:suppressLineNumbers w:val="0"/>
              <w:spacing w:before="224" w:beforeAutospacing="0" w:after="0" w:afterAutospacing="0" w:line="209" w:lineRule="auto"/>
              <w:ind w:left="885" w:right="0"/>
              <w:rPr>
                <w:rFonts w:hint="default"/>
              </w:rPr>
            </w:pPr>
            <w:r>
              <w:rPr>
                <w:rFonts w:hint="default"/>
                <w:spacing w:val="-6"/>
              </w:rPr>
              <w:t>3</w:t>
            </w:r>
            <w:r>
              <w:rPr>
                <w:rFonts w:hint="default"/>
                <w:spacing w:val="-35"/>
              </w:rPr>
              <w:t xml:space="preserve"> </w:t>
            </w:r>
            <w:r>
              <w:rPr>
                <w:rFonts w:hint="default"/>
                <w:spacing w:val="-6"/>
              </w:rPr>
              <w:t>吨</w:t>
            </w:r>
          </w:p>
        </w:tc>
        <w:tc>
          <w:tcPr>
            <w:tcW w:w="1727" w:type="dxa"/>
            <w:vAlign w:val="top"/>
          </w:tcPr>
          <w:p w14:paraId="57B7D9CE">
            <w:pPr>
              <w:keepNext w:val="0"/>
              <w:keepLines w:val="0"/>
              <w:suppressLineNumbers w:val="0"/>
              <w:spacing w:before="0" w:beforeAutospacing="0" w:after="0" w:afterAutospacing="0"/>
              <w:ind w:left="0" w:right="0"/>
              <w:rPr>
                <w:rFonts w:hint="default" w:ascii="Arial"/>
                <w:sz w:val="21"/>
              </w:rPr>
            </w:pPr>
          </w:p>
        </w:tc>
        <w:tc>
          <w:tcPr>
            <w:tcW w:w="1797" w:type="dxa"/>
            <w:vAlign w:val="top"/>
          </w:tcPr>
          <w:p w14:paraId="5E756DD8">
            <w:pPr>
              <w:keepNext w:val="0"/>
              <w:keepLines w:val="0"/>
              <w:suppressLineNumbers w:val="0"/>
              <w:spacing w:before="0" w:beforeAutospacing="0" w:after="0" w:afterAutospacing="0"/>
              <w:ind w:left="0" w:right="0"/>
              <w:rPr>
                <w:rFonts w:hint="default" w:ascii="Arial"/>
                <w:sz w:val="21"/>
              </w:rPr>
            </w:pPr>
          </w:p>
        </w:tc>
        <w:tc>
          <w:tcPr>
            <w:tcW w:w="1159" w:type="dxa"/>
            <w:vAlign w:val="top"/>
          </w:tcPr>
          <w:p w14:paraId="56A9393A">
            <w:pPr>
              <w:keepNext w:val="0"/>
              <w:keepLines w:val="0"/>
              <w:suppressLineNumbers w:val="0"/>
              <w:spacing w:before="0" w:beforeAutospacing="0" w:after="0" w:afterAutospacing="0"/>
              <w:ind w:left="0" w:right="0"/>
              <w:rPr>
                <w:rFonts w:hint="default" w:ascii="Arial"/>
                <w:sz w:val="21"/>
              </w:rPr>
            </w:pPr>
          </w:p>
        </w:tc>
        <w:tc>
          <w:tcPr>
            <w:tcW w:w="1667" w:type="dxa"/>
            <w:vAlign w:val="top"/>
          </w:tcPr>
          <w:p w14:paraId="24114574">
            <w:pPr>
              <w:keepNext w:val="0"/>
              <w:keepLines w:val="0"/>
              <w:suppressLineNumbers w:val="0"/>
              <w:spacing w:before="0" w:beforeAutospacing="0" w:after="0" w:afterAutospacing="0"/>
              <w:ind w:left="0" w:right="0"/>
              <w:rPr>
                <w:rFonts w:hint="default" w:ascii="Arial"/>
                <w:sz w:val="21"/>
              </w:rPr>
            </w:pPr>
          </w:p>
        </w:tc>
        <w:tc>
          <w:tcPr>
            <w:tcW w:w="680" w:type="dxa"/>
            <w:vAlign w:val="top"/>
          </w:tcPr>
          <w:p w14:paraId="33522F0B">
            <w:pPr>
              <w:pStyle w:val="22"/>
              <w:keepNext w:val="0"/>
              <w:keepLines w:val="0"/>
              <w:suppressLineNumbers w:val="0"/>
              <w:spacing w:before="260" w:beforeAutospacing="0" w:after="0" w:afterAutospacing="0" w:line="177" w:lineRule="auto"/>
              <w:ind w:left="300" w:right="0"/>
              <w:rPr>
                <w:rFonts w:hint="default"/>
              </w:rPr>
            </w:pPr>
            <w:r>
              <w:rPr>
                <w:rFonts w:hint="default"/>
              </w:rPr>
              <w:t>5</w:t>
            </w:r>
          </w:p>
        </w:tc>
        <w:tc>
          <w:tcPr>
            <w:tcW w:w="1996" w:type="dxa"/>
            <w:vAlign w:val="top"/>
          </w:tcPr>
          <w:p w14:paraId="45259A7D">
            <w:pPr>
              <w:keepNext w:val="0"/>
              <w:keepLines w:val="0"/>
              <w:suppressLineNumbers w:val="0"/>
              <w:spacing w:before="0" w:beforeAutospacing="0" w:after="0" w:afterAutospacing="0"/>
              <w:ind w:left="0" w:right="0"/>
              <w:rPr>
                <w:rFonts w:hint="default" w:ascii="Arial"/>
                <w:sz w:val="21"/>
              </w:rPr>
            </w:pPr>
          </w:p>
        </w:tc>
      </w:tr>
    </w:tbl>
    <w:p w14:paraId="66077882">
      <w:pPr>
        <w:sectPr>
          <w:headerReference r:id="rId29" w:type="default"/>
          <w:footerReference r:id="rId30" w:type="default"/>
          <w:pgSz w:w="16839" w:h="11907"/>
          <w:pgMar w:top="1120" w:right="1303" w:bottom="946" w:left="1020" w:header="809" w:footer="685" w:gutter="0"/>
          <w:cols w:space="720" w:num="1"/>
        </w:sectPr>
      </w:pPr>
    </w:p>
    <w:p w14:paraId="68AABDDE">
      <w:pPr>
        <w:widowControl/>
        <w:numPr>
          <w:ilvl w:val="0"/>
          <w:numId w:val="0"/>
        </w:numPr>
        <w:spacing w:line="540" w:lineRule="exact"/>
        <w:ind w:leftChars="0"/>
        <w:rPr>
          <w:rFonts w:hint="eastAsia" w:ascii="宋体" w:hAnsi="宋体"/>
          <w:b/>
          <w:bCs/>
          <w:kern w:val="0"/>
          <w:sz w:val="28"/>
          <w:szCs w:val="28"/>
        </w:rPr>
      </w:pPr>
    </w:p>
    <w:p w14:paraId="6ADC9332">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“两重点一重大”情况</w:t>
      </w:r>
    </w:p>
    <w:p w14:paraId="6B53F795">
      <w:pPr>
        <w:widowControl/>
        <w:numPr>
          <w:ilvl w:val="0"/>
          <w:numId w:val="0"/>
        </w:numPr>
        <w:spacing w:line="540" w:lineRule="exact"/>
        <w:ind w:leftChars="0" w:firstLine="480" w:firstLineChars="200"/>
        <w:rPr>
          <w:rFonts w:hint="default" w:ascii="宋体" w:hAnsi="宋体" w:eastAsiaTheme="minorEastAsia"/>
          <w:b/>
          <w:bCs/>
          <w:kern w:val="0"/>
          <w:sz w:val="28"/>
          <w:szCs w:val="28"/>
          <w:lang w:val="en-US" w:eastAsia="zh-CN"/>
        </w:rPr>
      </w:pPr>
      <w:r>
        <w:rPr>
          <w:rFonts w:hint="eastAsia" w:ascii="宋体" w:hAnsi="宋体"/>
          <w:b w:val="0"/>
          <w:bCs w:val="0"/>
          <w:kern w:val="0"/>
          <w:sz w:val="24"/>
          <w:szCs w:val="24"/>
          <w:lang w:val="en-US" w:eastAsia="zh-CN"/>
        </w:rPr>
        <w:t>本项目涉及重点监管的危险化学品有液氨、氟化氢、双氧水；其中双氧水原料罐区和1#车间双氧水生产装置分别构成四级重大危险源；液氨储罐构成三级重大危险源；未涉及重点监管的危险工艺。</w:t>
      </w:r>
    </w:p>
    <w:p w14:paraId="0B8BB0A1">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危险化学品情况</w:t>
      </w:r>
    </w:p>
    <w:p w14:paraId="3B4A9C13">
      <w:pPr>
        <w:spacing w:before="91" w:line="354" w:lineRule="auto"/>
        <w:ind w:left="40" w:right="2" w:firstLine="563"/>
        <w:jc w:val="both"/>
        <w:rPr>
          <w:rFonts w:ascii="宋体" w:hAnsi="宋体" w:eastAsia="宋体" w:cs="宋体"/>
          <w:sz w:val="28"/>
          <w:szCs w:val="28"/>
        </w:rPr>
      </w:pPr>
      <w:r>
        <w:rPr>
          <w:rFonts w:ascii="宋体" w:hAnsi="宋体" w:eastAsia="宋体" w:cs="宋体"/>
          <w:spacing w:val="-10"/>
          <w:sz w:val="28"/>
          <w:szCs w:val="28"/>
        </w:rPr>
        <w:t>该项目工艺过程中的主要原辅料包括双氧水、液氨、异丙醇、电子级</w:t>
      </w:r>
      <w:r>
        <w:rPr>
          <w:rFonts w:ascii="宋体" w:hAnsi="宋体" w:eastAsia="宋体" w:cs="宋体"/>
          <w:spacing w:val="-62"/>
          <w:sz w:val="28"/>
          <w:szCs w:val="28"/>
        </w:rPr>
        <w:t xml:space="preserve"> </w:t>
      </w:r>
      <w:r>
        <w:rPr>
          <w:rFonts w:ascii="宋体" w:hAnsi="宋体" w:eastAsia="宋体" w:cs="宋体"/>
          <w:spacing w:val="-10"/>
          <w:sz w:val="28"/>
          <w:szCs w:val="28"/>
        </w:rPr>
        <w:t>HF、</w:t>
      </w:r>
      <w:r>
        <w:rPr>
          <w:rFonts w:ascii="宋体" w:hAnsi="宋体" w:eastAsia="宋体" w:cs="宋体"/>
          <w:sz w:val="28"/>
          <w:szCs w:val="28"/>
        </w:rPr>
        <w:t xml:space="preserve"> </w:t>
      </w:r>
      <w:r>
        <w:rPr>
          <w:rFonts w:ascii="宋体" w:hAnsi="宋体" w:eastAsia="宋体" w:cs="宋体"/>
          <w:spacing w:val="-5"/>
          <w:sz w:val="28"/>
          <w:szCs w:val="28"/>
        </w:rPr>
        <w:t>电子级</w:t>
      </w:r>
      <w:r>
        <w:rPr>
          <w:rFonts w:ascii="宋体" w:hAnsi="宋体" w:eastAsia="宋体" w:cs="宋体"/>
          <w:spacing w:val="-66"/>
          <w:sz w:val="28"/>
          <w:szCs w:val="28"/>
        </w:rPr>
        <w:t xml:space="preserve"> </w:t>
      </w:r>
      <w:r>
        <w:rPr>
          <w:rFonts w:ascii="宋体" w:hAnsi="宋体" w:eastAsia="宋体" w:cs="宋体"/>
          <w:spacing w:val="-5"/>
          <w:sz w:val="28"/>
          <w:szCs w:val="28"/>
        </w:rPr>
        <w:t>HNO</w:t>
      </w:r>
      <w:r>
        <w:rPr>
          <w:rFonts w:ascii="宋体" w:hAnsi="宋体" w:eastAsia="宋体" w:cs="宋体"/>
          <w:spacing w:val="-5"/>
          <w:position w:val="-1"/>
          <w:sz w:val="13"/>
          <w:szCs w:val="13"/>
        </w:rPr>
        <w:t>3</w:t>
      </w:r>
      <w:r>
        <w:rPr>
          <w:rFonts w:ascii="宋体" w:hAnsi="宋体" w:eastAsia="宋体" w:cs="宋体"/>
          <w:spacing w:val="-5"/>
          <w:sz w:val="28"/>
          <w:szCs w:val="28"/>
        </w:rPr>
        <w:t>（硝酸）、电子级氨水、电子级</w:t>
      </w:r>
      <w:r>
        <w:rPr>
          <w:rFonts w:ascii="宋体" w:hAnsi="宋体" w:eastAsia="宋体" w:cs="宋体"/>
          <w:spacing w:val="-66"/>
          <w:sz w:val="28"/>
          <w:szCs w:val="28"/>
        </w:rPr>
        <w:t xml:space="preserve"> </w:t>
      </w:r>
      <w:r>
        <w:rPr>
          <w:rFonts w:ascii="宋体" w:hAnsi="宋体" w:eastAsia="宋体" w:cs="宋体"/>
          <w:spacing w:val="-5"/>
          <w:sz w:val="28"/>
          <w:szCs w:val="28"/>
        </w:rPr>
        <w:t>NH</w:t>
      </w:r>
      <w:r>
        <w:rPr>
          <w:rFonts w:ascii="宋体" w:hAnsi="宋体" w:eastAsia="宋体" w:cs="宋体"/>
          <w:spacing w:val="-5"/>
          <w:position w:val="-1"/>
          <w:sz w:val="13"/>
          <w:szCs w:val="13"/>
        </w:rPr>
        <w:t>4</w:t>
      </w:r>
      <w:r>
        <w:rPr>
          <w:rFonts w:ascii="宋体" w:hAnsi="宋体" w:eastAsia="宋体" w:cs="宋体"/>
          <w:spacing w:val="-5"/>
          <w:sz w:val="28"/>
          <w:szCs w:val="28"/>
        </w:rPr>
        <w:t>F（氟化铵）、电子级</w:t>
      </w:r>
      <w:r>
        <w:rPr>
          <w:rFonts w:ascii="宋体" w:hAnsi="宋体" w:eastAsia="宋体" w:cs="宋体"/>
          <w:spacing w:val="-61"/>
          <w:sz w:val="28"/>
          <w:szCs w:val="28"/>
        </w:rPr>
        <w:t xml:space="preserve"> </w:t>
      </w:r>
      <w:r>
        <w:rPr>
          <w:rFonts w:ascii="宋体" w:hAnsi="宋体" w:eastAsia="宋体" w:cs="宋体"/>
          <w:spacing w:val="-5"/>
          <w:sz w:val="28"/>
          <w:szCs w:val="28"/>
        </w:rPr>
        <w:t>CH</w:t>
      </w:r>
      <w:r>
        <w:rPr>
          <w:rFonts w:ascii="宋体" w:hAnsi="宋体" w:eastAsia="宋体" w:cs="宋体"/>
          <w:spacing w:val="-5"/>
          <w:position w:val="-1"/>
          <w:sz w:val="13"/>
          <w:szCs w:val="13"/>
        </w:rPr>
        <w:t>3</w:t>
      </w:r>
      <w:r>
        <w:rPr>
          <w:rFonts w:ascii="宋体" w:hAnsi="宋体" w:eastAsia="宋体" w:cs="宋体"/>
          <w:spacing w:val="-5"/>
          <w:sz w:val="28"/>
          <w:szCs w:val="28"/>
        </w:rPr>
        <w:t>C</w:t>
      </w:r>
      <w:r>
        <w:rPr>
          <w:rFonts w:ascii="宋体" w:hAnsi="宋体" w:eastAsia="宋体" w:cs="宋体"/>
          <w:spacing w:val="-6"/>
          <w:sz w:val="28"/>
          <w:szCs w:val="28"/>
        </w:rPr>
        <w:t>OOH</w:t>
      </w:r>
      <w:r>
        <w:rPr>
          <w:rFonts w:ascii="宋体" w:hAnsi="宋体" w:eastAsia="宋体" w:cs="宋体"/>
          <w:sz w:val="28"/>
          <w:szCs w:val="28"/>
        </w:rPr>
        <w:t xml:space="preserve"> </w:t>
      </w:r>
      <w:r>
        <w:rPr>
          <w:rFonts w:ascii="宋体" w:hAnsi="宋体" w:eastAsia="宋体" w:cs="宋体"/>
          <w:spacing w:val="-3"/>
          <w:sz w:val="28"/>
          <w:szCs w:val="28"/>
        </w:rPr>
        <w:t>（乙酸）、电子级</w:t>
      </w:r>
      <w:r>
        <w:rPr>
          <w:rFonts w:ascii="宋体" w:hAnsi="宋体" w:eastAsia="宋体" w:cs="宋体"/>
          <w:spacing w:val="-68"/>
          <w:sz w:val="28"/>
          <w:szCs w:val="28"/>
        </w:rPr>
        <w:t xml:space="preserve"> </w:t>
      </w:r>
      <w:r>
        <w:rPr>
          <w:rFonts w:ascii="宋体" w:hAnsi="宋体" w:eastAsia="宋体" w:cs="宋体"/>
          <w:spacing w:val="-3"/>
          <w:sz w:val="28"/>
          <w:szCs w:val="28"/>
        </w:rPr>
        <w:t>H</w:t>
      </w:r>
      <w:r>
        <w:rPr>
          <w:rFonts w:ascii="宋体" w:hAnsi="宋体" w:eastAsia="宋体" w:cs="宋体"/>
          <w:spacing w:val="-3"/>
          <w:position w:val="-1"/>
          <w:sz w:val="13"/>
          <w:szCs w:val="13"/>
        </w:rPr>
        <w:t>2</w:t>
      </w:r>
      <w:r>
        <w:rPr>
          <w:rFonts w:ascii="宋体" w:hAnsi="宋体" w:eastAsia="宋体" w:cs="宋体"/>
          <w:spacing w:val="-3"/>
          <w:sz w:val="28"/>
          <w:szCs w:val="28"/>
        </w:rPr>
        <w:t>O</w:t>
      </w:r>
      <w:r>
        <w:rPr>
          <w:rFonts w:ascii="宋体" w:hAnsi="宋体" w:eastAsia="宋体" w:cs="宋体"/>
          <w:spacing w:val="-3"/>
          <w:position w:val="-1"/>
          <w:sz w:val="13"/>
          <w:szCs w:val="13"/>
        </w:rPr>
        <w:t>2</w:t>
      </w:r>
      <w:r>
        <w:rPr>
          <w:rFonts w:ascii="宋体" w:hAnsi="宋体" w:eastAsia="宋体" w:cs="宋体"/>
          <w:spacing w:val="-3"/>
          <w:sz w:val="28"/>
          <w:szCs w:val="28"/>
        </w:rPr>
        <w:t>（双氧水）、电子级</w:t>
      </w:r>
      <w:r>
        <w:rPr>
          <w:rFonts w:ascii="宋体" w:hAnsi="宋体" w:eastAsia="宋体" w:cs="宋体"/>
          <w:spacing w:val="-65"/>
          <w:sz w:val="28"/>
          <w:szCs w:val="28"/>
        </w:rPr>
        <w:t xml:space="preserve"> </w:t>
      </w:r>
      <w:r>
        <w:rPr>
          <w:rFonts w:ascii="宋体" w:hAnsi="宋体" w:eastAsia="宋体" w:cs="宋体"/>
          <w:spacing w:val="-3"/>
          <w:sz w:val="28"/>
          <w:szCs w:val="28"/>
        </w:rPr>
        <w:t>H</w:t>
      </w:r>
      <w:r>
        <w:rPr>
          <w:rFonts w:ascii="宋体" w:hAnsi="宋体" w:eastAsia="宋体" w:cs="宋体"/>
          <w:spacing w:val="-3"/>
          <w:position w:val="-1"/>
          <w:sz w:val="13"/>
          <w:szCs w:val="13"/>
        </w:rPr>
        <w:t>2</w:t>
      </w:r>
      <w:r>
        <w:rPr>
          <w:rFonts w:ascii="宋体" w:hAnsi="宋体" w:eastAsia="宋体" w:cs="宋体"/>
          <w:spacing w:val="-3"/>
          <w:sz w:val="28"/>
          <w:szCs w:val="28"/>
        </w:rPr>
        <w:t>SO</w:t>
      </w:r>
      <w:r>
        <w:rPr>
          <w:rFonts w:ascii="宋体" w:hAnsi="宋体" w:eastAsia="宋体" w:cs="宋体"/>
          <w:spacing w:val="-3"/>
          <w:position w:val="-1"/>
          <w:sz w:val="13"/>
          <w:szCs w:val="13"/>
        </w:rPr>
        <w:t>4</w:t>
      </w:r>
      <w:r>
        <w:rPr>
          <w:rFonts w:ascii="宋体" w:hAnsi="宋体" w:eastAsia="宋体" w:cs="宋体"/>
          <w:spacing w:val="-3"/>
          <w:sz w:val="28"/>
          <w:szCs w:val="28"/>
        </w:rPr>
        <w:t>（硫酸）</w:t>
      </w:r>
      <w:r>
        <w:rPr>
          <w:rFonts w:ascii="宋体" w:hAnsi="宋体" w:eastAsia="宋体" w:cs="宋体"/>
          <w:spacing w:val="-78"/>
          <w:sz w:val="28"/>
          <w:szCs w:val="28"/>
        </w:rPr>
        <w:t xml:space="preserve"> </w:t>
      </w:r>
      <w:r>
        <w:rPr>
          <w:rFonts w:ascii="宋体" w:hAnsi="宋体" w:eastAsia="宋体" w:cs="宋体"/>
          <w:spacing w:val="-3"/>
          <w:sz w:val="28"/>
          <w:szCs w:val="28"/>
        </w:rPr>
        <w:t>、电子级四甲基氢</w:t>
      </w:r>
      <w:r>
        <w:rPr>
          <w:rFonts w:ascii="宋体" w:hAnsi="宋体" w:eastAsia="宋体" w:cs="宋体"/>
          <w:sz w:val="28"/>
          <w:szCs w:val="28"/>
        </w:rPr>
        <w:t xml:space="preserve"> </w:t>
      </w:r>
      <w:r>
        <w:rPr>
          <w:rFonts w:ascii="宋体" w:hAnsi="宋体" w:eastAsia="宋体" w:cs="宋体"/>
          <w:spacing w:val="-7"/>
          <w:sz w:val="28"/>
          <w:szCs w:val="28"/>
        </w:rPr>
        <w:t>氧化铵、电子级二甲基亚砜、电子级甲基吡咯烷酮、</w:t>
      </w:r>
      <w:r>
        <w:rPr>
          <w:rFonts w:ascii="宋体" w:hAnsi="宋体" w:eastAsia="宋体" w:cs="宋体"/>
          <w:spacing w:val="-8"/>
          <w:sz w:val="28"/>
          <w:szCs w:val="28"/>
        </w:rPr>
        <w:t>电子级二丙二醇单甲醚、</w:t>
      </w:r>
      <w:r>
        <w:rPr>
          <w:rFonts w:ascii="宋体" w:hAnsi="宋体" w:eastAsia="宋体" w:cs="宋体"/>
          <w:sz w:val="28"/>
          <w:szCs w:val="28"/>
        </w:rPr>
        <w:t xml:space="preserve"> </w:t>
      </w:r>
      <w:r>
        <w:rPr>
          <w:rFonts w:ascii="宋体" w:hAnsi="宋体" w:eastAsia="宋体" w:cs="宋体"/>
          <w:spacing w:val="-1"/>
          <w:sz w:val="28"/>
          <w:szCs w:val="28"/>
        </w:rPr>
        <w:t>电子级亚氨基二乙酸、盐酸。</w:t>
      </w:r>
    </w:p>
    <w:p w14:paraId="1F266B00">
      <w:pPr>
        <w:spacing w:before="234" w:line="349" w:lineRule="auto"/>
        <w:ind w:left="38" w:firstLine="560"/>
        <w:jc w:val="both"/>
        <w:rPr>
          <w:rFonts w:ascii="宋体" w:hAnsi="宋体" w:eastAsia="宋体" w:cs="宋体"/>
          <w:spacing w:val="-1"/>
          <w:sz w:val="28"/>
          <w:szCs w:val="28"/>
        </w:rPr>
      </w:pPr>
      <w:r>
        <w:rPr>
          <w:rFonts w:ascii="宋体" w:hAnsi="宋体" w:eastAsia="宋体" w:cs="宋体"/>
          <w:spacing w:val="-1"/>
          <w:sz w:val="28"/>
          <w:szCs w:val="28"/>
        </w:rPr>
        <w:t>产品：超纯双氧水（31%）、副产</w:t>
      </w:r>
      <w:r>
        <w:rPr>
          <w:rFonts w:ascii="宋体" w:hAnsi="宋体" w:eastAsia="宋体" w:cs="宋体"/>
          <w:spacing w:val="-40"/>
          <w:sz w:val="28"/>
          <w:szCs w:val="28"/>
        </w:rPr>
        <w:t xml:space="preserve"> </w:t>
      </w:r>
      <w:r>
        <w:rPr>
          <w:rFonts w:ascii="宋体" w:hAnsi="宋体" w:eastAsia="宋体" w:cs="宋体"/>
          <w:spacing w:val="-1"/>
          <w:sz w:val="28"/>
          <w:szCs w:val="28"/>
        </w:rPr>
        <w:t>50%双氧水、超纯氨水</w:t>
      </w:r>
      <w:r>
        <w:rPr>
          <w:rFonts w:ascii="宋体" w:hAnsi="宋体" w:eastAsia="宋体" w:cs="宋体"/>
          <w:spacing w:val="-2"/>
          <w:sz w:val="28"/>
          <w:szCs w:val="28"/>
        </w:rPr>
        <w:t>（29%）、副产</w:t>
      </w:r>
      <w:r>
        <w:rPr>
          <w:rFonts w:ascii="宋体" w:hAnsi="宋体" w:eastAsia="宋体" w:cs="宋体"/>
          <w:sz w:val="28"/>
          <w:szCs w:val="28"/>
        </w:rPr>
        <w:t xml:space="preserve"> </w:t>
      </w:r>
      <w:r>
        <w:rPr>
          <w:rFonts w:ascii="宋体" w:hAnsi="宋体" w:eastAsia="宋体" w:cs="宋体"/>
          <w:spacing w:val="-2"/>
          <w:sz w:val="28"/>
          <w:szCs w:val="28"/>
        </w:rPr>
        <w:t>低浓度氨水（20-30%）、超纯异丙醇（99.9%</w:t>
      </w:r>
      <w:r>
        <w:rPr>
          <w:rFonts w:ascii="宋体" w:hAnsi="宋体" w:eastAsia="宋体" w:cs="宋体"/>
          <w:spacing w:val="-3"/>
          <w:sz w:val="28"/>
          <w:szCs w:val="28"/>
        </w:rPr>
        <w:t>）、副产异丙醇（50-99.9%）、</w:t>
      </w:r>
      <w:r>
        <w:rPr>
          <w:rFonts w:ascii="宋体" w:hAnsi="宋体" w:eastAsia="宋体" w:cs="宋体"/>
          <w:sz w:val="28"/>
          <w:szCs w:val="28"/>
        </w:rPr>
        <w:t xml:space="preserve"> </w:t>
      </w:r>
      <w:r>
        <w:rPr>
          <w:rFonts w:ascii="宋体" w:hAnsi="宋体" w:eastAsia="宋体" w:cs="宋体"/>
          <w:spacing w:val="-1"/>
          <w:sz w:val="28"/>
          <w:szCs w:val="28"/>
        </w:rPr>
        <w:t>蚀刻液、剥离液。</w:t>
      </w:r>
    </w:p>
    <w:p w14:paraId="4313280D">
      <w:pPr>
        <w:widowControl/>
        <w:numPr>
          <w:ilvl w:val="0"/>
          <w:numId w:val="1"/>
        </w:numPr>
        <w:spacing w:line="540" w:lineRule="exact"/>
        <w:ind w:left="425" w:leftChars="0" w:hanging="425" w:firstLineChars="0"/>
        <w:outlineLvl w:val="0"/>
        <w:rPr>
          <w:rFonts w:hint="default" w:ascii="宋体" w:hAnsi="宋体" w:eastAsiaTheme="minorEastAsia"/>
          <w:b/>
          <w:bCs/>
          <w:kern w:val="0"/>
          <w:sz w:val="28"/>
          <w:szCs w:val="28"/>
          <w:lang w:val="en-US" w:eastAsia="zh-CN"/>
        </w:rPr>
      </w:pPr>
      <w:bookmarkStart w:id="2" w:name="_Toc350"/>
      <w:r>
        <w:rPr>
          <w:rFonts w:hint="eastAsia" w:ascii="宋体" w:hAnsi="宋体"/>
          <w:b/>
          <w:bCs/>
          <w:kern w:val="0"/>
          <w:sz w:val="28"/>
          <w:szCs w:val="28"/>
        </w:rPr>
        <w:t>企业安全生产基本情况。</w:t>
      </w:r>
      <w:bookmarkEnd w:id="2"/>
    </w:p>
    <w:p w14:paraId="4D21CBB4">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安全生产管理制度、操作规程的建立及落实情况;</w:t>
      </w:r>
    </w:p>
    <w:p w14:paraId="0558D845">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通过企业安全标准化的建设，按照湖北省危险化学品生产企业安全生产管理制度编制导则结合公司实际情况，建立、健全公司安全生产管理制度和各岗位操作规程。公司安全生产委员会持续不断对安全管理制度及岗位操作规程进行适时的修订和评审，根据评审修改意见进行修改完善、打印装册、发文公布，并组织全员进行学习贯彻实施。制度的运行使得公司安全管理有制可查，有据可依，实现安全生产管理标准化、制度化。定期对安全生产规章制度和操作规程进行审查和更新，确保其与现行法律法规保持一致，并得到有效执行。</w:t>
      </w:r>
    </w:p>
    <w:p w14:paraId="6E9BC314">
      <w:pPr>
        <w:widowControl/>
        <w:numPr>
          <w:ilvl w:val="0"/>
          <w:numId w:val="0"/>
        </w:numPr>
        <w:spacing w:line="540" w:lineRule="exact"/>
        <w:ind w:leftChars="0" w:firstLine="480" w:firstLineChars="200"/>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2024年3月公司安全生产委员会对安全管理制度及岗位操作规程进行评审，根据评审修改意见进行修改完善、打印装册、发文公布，并组织全员进行学习贯彻实施。制度的运行使得公司安全管理有制可查，有据可依，实现企业安全生产管理标准化、制度化。</w:t>
      </w:r>
    </w:p>
    <w:p w14:paraId="4033E8EC">
      <w:pPr>
        <w:widowControl/>
        <w:numPr>
          <w:ilvl w:val="0"/>
          <w:numId w:val="0"/>
        </w:numPr>
        <w:spacing w:line="540" w:lineRule="exact"/>
        <w:ind w:leftChars="0"/>
        <w:rPr>
          <w:rFonts w:hint="default" w:ascii="宋体" w:hAnsi="宋体"/>
          <w:b w:val="0"/>
          <w:bCs w:val="0"/>
          <w:kern w:val="0"/>
          <w:sz w:val="24"/>
          <w:szCs w:val="24"/>
          <w:lang w:val="en-US" w:eastAsia="zh-CN"/>
        </w:rPr>
      </w:pPr>
      <w:r>
        <w:rPr>
          <w:rFonts w:hint="eastAsia" w:ascii="宋体" w:hAnsi="宋体"/>
          <w:b w:val="0"/>
          <w:bCs w:val="0"/>
          <w:kern w:val="0"/>
          <w:sz w:val="24"/>
          <w:szCs w:val="24"/>
          <w:lang w:val="en-US" w:eastAsia="zh-CN"/>
        </w:rPr>
        <w:t>安全生产管理制度、岗位操作规程清单见附录12。</w:t>
      </w:r>
    </w:p>
    <w:p w14:paraId="0F537F3A">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安全生产责任制落实及考核、奖惩情况；</w:t>
      </w:r>
    </w:p>
    <w:p w14:paraId="13B977A8">
      <w:pPr>
        <w:widowControl/>
        <w:numPr>
          <w:ilvl w:val="0"/>
          <w:numId w:val="0"/>
        </w:numPr>
        <w:spacing w:line="540" w:lineRule="exact"/>
        <w:ind w:leftChars="0"/>
        <w:rPr>
          <w:rFonts w:hint="default" w:ascii="宋体" w:hAnsi="宋体" w:eastAsiaTheme="minorEastAsia"/>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8"/>
          <w:szCs w:val="28"/>
          <w:lang w:val="en-US" w:eastAsia="zh-CN"/>
        </w:rPr>
        <w:t xml:space="preserve"> </w:t>
      </w:r>
      <w:r>
        <w:rPr>
          <w:rFonts w:hint="eastAsia" w:ascii="宋体" w:hAnsi="宋体"/>
          <w:b w:val="0"/>
          <w:bCs w:val="0"/>
          <w:kern w:val="0"/>
          <w:sz w:val="24"/>
          <w:szCs w:val="24"/>
          <w:lang w:val="en-US" w:eastAsia="zh-CN"/>
        </w:rPr>
        <w:t>公司明确安全生产管理组织体系，设置安全生产管理机构，配备专职安全管理人员4人；并任命安全总监，具体负责安全管理体系的建立、保持和改进工作。制定《安全生产责任制制度》，明确了主要负责人及各级单位、部门、岗位人员的安全职责清单，按《安全生产法》、“湖北省两个清单”规定的安全职责进行细化；明确各级管理人员及从业人员的安全职责，做到“一岗一责”。公司每年根据实际情况调整安委会成员，由EHS部负责开展日常安全工作，对全厂安全生产进行监管。发现有安全隐患的，要求各部门组织整改，未整改的予以相应的考核，将安全责任层层分解。每年层层签订安全目标责任书，同时通过制定、落实《安全生产责任目标考核管理制度》，加强对安全职责、安全目标落实情况的监管。</w:t>
      </w:r>
    </w:p>
    <w:p w14:paraId="0C92BB0D">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安全生产教育培训的组织及效果评估情况；</w:t>
      </w:r>
    </w:p>
    <w:p w14:paraId="6701BE87">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自开展安全标准化以来，严格执行新员工进场三级安全教育，对转岗、干部顶岗、脱岗半年以上的者均进行部门和班组的安全培训教育，经考核合格后方可从事新岗位工作。外来人员在学习公司安全注意事项后方可进行参观学习活动；公司制定了安全教育培训计划，全满覆盖了全体员工，在培训过程中通过实操培训、电子化考试、视频培训等新的方式提高培训能力取得良好的效果。确保每位员工都能掌握必要的安全生产知识和技能，员工的安全意识和理念有了较大的提升。员工建立了一人一档安全培训教育档案，班组定期开展安全活动，领导干部定期参与班组安全会。公司安环部负责制定年度安全生产教育培训计划，编制了培训教材，组织培训教师。学习内容包括公司规章制度、安全生产管理制度、操作规程、职业危害因素、防护用品使用、安全操作技能、危险化学品安全常识、应急救援预案、事故案例、法律法规等。公司每月组织安全生产会议，进行安全学习，根据年度培训计划制定每月的教育内容。有重要法律、法规更新或国内有重大安全生产事故发生，及时组织法律、法规的宣贯工作，开展事故案例教育、自查等。</w:t>
      </w:r>
    </w:p>
    <w:p w14:paraId="656318AB">
      <w:pPr>
        <w:widowControl/>
        <w:numPr>
          <w:ilvl w:val="0"/>
          <w:numId w:val="0"/>
        </w:numPr>
        <w:spacing w:line="540" w:lineRule="exact"/>
        <w:ind w:leftChars="0"/>
        <w:rPr>
          <w:rFonts w:hint="default" w:ascii="宋体" w:hAnsi="宋体" w:eastAsiaTheme="minorEastAsia"/>
          <w:b w:val="0"/>
          <w:bCs w:val="0"/>
          <w:kern w:val="0"/>
          <w:sz w:val="24"/>
          <w:szCs w:val="24"/>
          <w:lang w:val="en-US" w:eastAsia="zh-CN"/>
        </w:rPr>
      </w:pPr>
      <w:r>
        <w:rPr>
          <w:rFonts w:hint="eastAsia" w:ascii="宋体" w:hAnsi="宋体"/>
          <w:b w:val="0"/>
          <w:bCs w:val="0"/>
          <w:kern w:val="0"/>
          <w:sz w:val="24"/>
          <w:szCs w:val="24"/>
          <w:lang w:val="en-US" w:eastAsia="zh-CN"/>
        </w:rPr>
        <w:t>在培训方面安环部门也开展了些创新的工作，比如针对访客专门录制了专门的培训视频来提升培训效果，提高访客的培训效率。针对访客和承包商专门编制了入厂安全告知手册，开展多途径方式进行培训，起到了良好的培训效果。</w:t>
      </w:r>
    </w:p>
    <w:p w14:paraId="0BDADF99">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安全生产费用提取与使用情况</w:t>
      </w:r>
      <w:r>
        <w:rPr>
          <w:rFonts w:hint="eastAsia" w:ascii="宋体" w:hAnsi="宋体"/>
          <w:b/>
          <w:bCs/>
          <w:kern w:val="0"/>
          <w:sz w:val="28"/>
          <w:szCs w:val="28"/>
          <w:lang w:eastAsia="zh-CN"/>
        </w:rPr>
        <w:t>；</w:t>
      </w:r>
    </w:p>
    <w:p w14:paraId="6DDEB246">
      <w:pPr>
        <w:widowControl/>
        <w:numPr>
          <w:ilvl w:val="0"/>
          <w:numId w:val="0"/>
        </w:numPr>
        <w:spacing w:line="540" w:lineRule="exact"/>
        <w:ind w:leftChars="0"/>
        <w:rPr>
          <w:rFonts w:hint="default"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根据财政部、国家安全生产监督管理总局《关于印发&lt;企业安全生产费用提取和使用管理办法&gt;的通知》（以下简称《办法》）的规定，本公司严格按照规定提取和使用安全生产费用，并建立了安全生产费用提取和使用管理制度。2024年初就建立安全预算费用计划。</w:t>
      </w:r>
    </w:p>
    <w:p w14:paraId="51D4C4B2">
      <w:pPr>
        <w:widowControl/>
        <w:numPr>
          <w:ilvl w:val="0"/>
          <w:numId w:val="0"/>
        </w:numPr>
        <w:spacing w:line="540" w:lineRule="exact"/>
        <w:ind w:leftChars="0" w:firstLine="480" w:firstLineChars="200"/>
        <w:rPr>
          <w:rFonts w:hint="default" w:ascii="宋体" w:hAnsi="宋体"/>
          <w:b w:val="0"/>
          <w:bCs w:val="0"/>
          <w:kern w:val="0"/>
          <w:sz w:val="24"/>
          <w:szCs w:val="24"/>
          <w:lang w:val="en-US" w:eastAsia="zh-CN"/>
        </w:rPr>
      </w:pPr>
      <w:r>
        <w:rPr>
          <w:rFonts w:hint="default" w:ascii="宋体" w:hAnsi="宋体"/>
          <w:b w:val="0"/>
          <w:bCs w:val="0"/>
          <w:kern w:val="0"/>
          <w:sz w:val="24"/>
          <w:szCs w:val="24"/>
          <w:lang w:val="en-US" w:eastAsia="zh-CN"/>
        </w:rPr>
        <w:t>20</w:t>
      </w:r>
      <w:r>
        <w:rPr>
          <w:rFonts w:hint="eastAsia" w:ascii="宋体" w:hAnsi="宋体"/>
          <w:b w:val="0"/>
          <w:bCs w:val="0"/>
          <w:kern w:val="0"/>
          <w:sz w:val="24"/>
          <w:szCs w:val="24"/>
          <w:lang w:val="en-US" w:eastAsia="zh-CN"/>
        </w:rPr>
        <w:t>24</w:t>
      </w:r>
      <w:r>
        <w:rPr>
          <w:rFonts w:hint="default" w:ascii="宋体" w:hAnsi="宋体"/>
          <w:b w:val="0"/>
          <w:bCs w:val="0"/>
          <w:kern w:val="0"/>
          <w:sz w:val="24"/>
          <w:szCs w:val="24"/>
          <w:lang w:val="en-US" w:eastAsia="zh-CN"/>
        </w:rPr>
        <w:t xml:space="preserve">年安全生产费用提取和使用具体情况如下：    </w:t>
      </w:r>
    </w:p>
    <w:p w14:paraId="06D588DB">
      <w:pPr>
        <w:widowControl/>
        <w:numPr>
          <w:ilvl w:val="0"/>
          <w:numId w:val="0"/>
        </w:numPr>
        <w:spacing w:line="540" w:lineRule="exact"/>
        <w:ind w:leftChars="0" w:firstLine="480" w:firstLineChars="200"/>
        <w:rPr>
          <w:rFonts w:hint="default" w:ascii="宋体" w:hAnsi="宋体"/>
          <w:b w:val="0"/>
          <w:bCs w:val="0"/>
          <w:kern w:val="0"/>
          <w:sz w:val="24"/>
          <w:szCs w:val="24"/>
          <w:lang w:val="en-US" w:eastAsia="zh-CN"/>
        </w:rPr>
      </w:pPr>
      <w:r>
        <w:rPr>
          <w:rFonts w:hint="eastAsia" w:ascii="宋体" w:hAnsi="宋体"/>
          <w:b w:val="0"/>
          <w:bCs w:val="0"/>
          <w:kern w:val="0"/>
          <w:sz w:val="24"/>
          <w:szCs w:val="24"/>
          <w:lang w:val="en-US" w:eastAsia="zh-CN"/>
        </w:rPr>
        <w:t>2024年1月-6月</w:t>
      </w:r>
      <w:r>
        <w:rPr>
          <w:rFonts w:hint="default" w:ascii="宋体" w:hAnsi="宋体"/>
          <w:b w:val="0"/>
          <w:bCs w:val="0"/>
          <w:kern w:val="0"/>
          <w:sz w:val="24"/>
          <w:szCs w:val="24"/>
          <w:lang w:val="en-US" w:eastAsia="zh-CN"/>
        </w:rPr>
        <w:t>安全生产费用提取总额为</w:t>
      </w:r>
      <w:r>
        <w:rPr>
          <w:rFonts w:hint="eastAsia" w:ascii="宋体" w:hAnsi="宋体"/>
          <w:b w:val="0"/>
          <w:bCs w:val="0"/>
          <w:kern w:val="0"/>
          <w:sz w:val="24"/>
          <w:szCs w:val="24"/>
          <w:lang w:val="en-US" w:eastAsia="zh-CN"/>
        </w:rPr>
        <w:t>373325.52</w:t>
      </w:r>
      <w:r>
        <w:rPr>
          <w:rFonts w:hint="default" w:ascii="宋体" w:hAnsi="宋体"/>
          <w:b w:val="0"/>
          <w:bCs w:val="0"/>
          <w:kern w:val="0"/>
          <w:sz w:val="24"/>
          <w:szCs w:val="24"/>
          <w:lang w:val="en-US" w:eastAsia="zh-CN"/>
        </w:rPr>
        <w:t>万元</w:t>
      </w:r>
      <w:r>
        <w:rPr>
          <w:rFonts w:hint="eastAsia" w:ascii="宋体" w:hAnsi="宋体"/>
          <w:b w:val="0"/>
          <w:bCs w:val="0"/>
          <w:kern w:val="0"/>
          <w:sz w:val="24"/>
          <w:szCs w:val="24"/>
          <w:lang w:val="en-US" w:eastAsia="zh-CN"/>
        </w:rPr>
        <w:t>，上半年投入费用为279921.53元。</w:t>
      </w:r>
    </w:p>
    <w:p w14:paraId="61C57854">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重点部位或重要危险源、重大危险源、职业危害辨识和控制情况；</w:t>
      </w:r>
    </w:p>
    <w:p w14:paraId="6BEB1C78">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公司为危险化学品生产企业，根据GB18218-2018《危险化学品重大危险源辨识》，公司液氨储罐构成三级重大危险源，双氧水罐区构成四级重大危险源；1#车间双氧水生产装置构成四级重大危险源。</w:t>
      </w:r>
    </w:p>
    <w:p w14:paraId="03F3C811">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公司落实重大危险源包保责任制要求，建立了三级安全责任人监控机制。同时确定了关键装置、重点部位，建立并落实关键装置、重点部位联系点机制，严格要求监控责任人每天必须对责任区域不定时进行巡查，车间、班组监控责任人每小时定时巡查，确保岗位人员按章操作。同时要求厂级责任人积极组织开展安全培训、安全检查和应急活动，并对储罐区等关键装置、重点部位设置有监控系统，以便及时发现和处理突发情况，确保危险源和重点部位安全运行。</w:t>
      </w:r>
    </w:p>
    <w:p w14:paraId="07AACC57">
      <w:pPr>
        <w:widowControl/>
        <w:numPr>
          <w:ilvl w:val="0"/>
          <w:numId w:val="0"/>
        </w:numPr>
        <w:spacing w:line="540" w:lineRule="exact"/>
        <w:ind w:leftChars="0" w:firstLine="480" w:firstLineChars="200"/>
        <w:rPr>
          <w:rFonts w:hint="default" w:ascii="宋体" w:hAnsi="宋体" w:eastAsiaTheme="minorEastAsia"/>
          <w:b w:val="0"/>
          <w:bCs w:val="0"/>
          <w:kern w:val="0"/>
          <w:sz w:val="24"/>
          <w:szCs w:val="24"/>
          <w:lang w:val="en-US" w:eastAsia="zh-CN"/>
        </w:rPr>
      </w:pPr>
      <w:r>
        <w:rPr>
          <w:rFonts w:hint="eastAsia" w:ascii="宋体" w:hAnsi="宋体"/>
          <w:b w:val="0"/>
          <w:bCs w:val="0"/>
          <w:kern w:val="0"/>
          <w:sz w:val="24"/>
          <w:szCs w:val="24"/>
          <w:lang w:val="en-US" w:eastAsia="zh-CN"/>
        </w:rPr>
        <w:t>公司对危险源、重点监控装置均进行了职业危害辨识，岗前对员工进行危险源告知。同时委托第三方机构进行了职业卫生评估，并建立员工身体健康监护档案，为员工进行岗前体检，建立职业卫生管理档案，管理员工健康检查结果，对职业病进行安全防护，在生产现场悬挂职业病危害因素告知牌予以告知。针对职业危害情况，采取了通风、喷淋和配戴劳保用品等措施，对职业危害因素进行监测并公示。对接触职业危害因素的员工，定期体检，建立有健康监护档案。通过一系列措施，公司职业危害控制得较好，未发生职业病、职业中毒等事故。</w:t>
      </w:r>
    </w:p>
    <w:p w14:paraId="156B0F52">
      <w:pPr>
        <w:widowControl/>
        <w:numPr>
          <w:ilvl w:val="1"/>
          <w:numId w:val="1"/>
        </w:numPr>
        <w:spacing w:line="540" w:lineRule="exact"/>
        <w:ind w:left="567" w:leftChars="0" w:hanging="567" w:firstLineChars="0"/>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安全生产隐患排查治理“两化”系统使用及效果情况;</w:t>
      </w:r>
    </w:p>
    <w:p w14:paraId="54AA16E5">
      <w:pPr>
        <w:widowControl/>
        <w:numPr>
          <w:ilvl w:val="0"/>
          <w:numId w:val="0"/>
        </w:numPr>
        <w:spacing w:line="540" w:lineRule="exact"/>
        <w:ind w:leftChars="0"/>
        <w:outlineLvl w:val="1"/>
        <w:rPr>
          <w:rFonts w:hint="default" w:ascii="宋体" w:hAnsi="宋体" w:eastAsia="宋体" w:cs="Times New Roman"/>
          <w:b w:val="0"/>
          <w:bCs w:val="0"/>
          <w:kern w:val="0"/>
          <w:sz w:val="24"/>
          <w:szCs w:val="24"/>
          <w:lang w:val="en-US" w:eastAsia="zh-CN"/>
        </w:rPr>
      </w:pPr>
      <w:r>
        <w:rPr>
          <w:rFonts w:hint="eastAsia" w:ascii="宋体" w:hAnsi="宋体" w:eastAsia="宋体" w:cs="Times New Roman"/>
          <w:b/>
          <w:bCs/>
          <w:kern w:val="0"/>
          <w:sz w:val="28"/>
          <w:szCs w:val="28"/>
          <w:lang w:val="en-US" w:eastAsia="zh-CN"/>
        </w:rPr>
        <w:t xml:space="preserve">   </w:t>
      </w:r>
      <w:r>
        <w:rPr>
          <w:rFonts w:hint="eastAsia" w:ascii="宋体" w:hAnsi="宋体" w:eastAsia="宋体" w:cs="Times New Roman"/>
          <w:b w:val="0"/>
          <w:bCs w:val="0"/>
          <w:kern w:val="0"/>
          <w:sz w:val="28"/>
          <w:szCs w:val="28"/>
          <w:lang w:val="en-US" w:eastAsia="zh-CN"/>
        </w:rPr>
        <w:t xml:space="preserve"> </w:t>
      </w:r>
      <w:r>
        <w:rPr>
          <w:rFonts w:hint="eastAsia" w:ascii="宋体" w:hAnsi="宋体" w:eastAsia="宋体" w:cs="Times New Roman"/>
          <w:b w:val="0"/>
          <w:bCs w:val="0"/>
          <w:kern w:val="0"/>
          <w:sz w:val="24"/>
          <w:szCs w:val="24"/>
          <w:lang w:val="en-US" w:eastAsia="zh-CN"/>
        </w:rPr>
        <w:t>公司2023年7月开展了安全风险分级管控及隐患排查治理，通过建立作业活动清单和设备、设施清单，每年组织人员按车间进行危险有害因素分析，分析对象包括作业活动、设备设施及场所，并通过选择科学有效的风险评价方法，进行风险分析和控制，形成安全风险分级管控清单。公司倡导各级从业人员积极参与风险评价和风险控制，并对评价结果及对应控制措施进行宣传、培训。</w:t>
      </w:r>
    </w:p>
    <w:p w14:paraId="5BAEDC9A">
      <w:pPr>
        <w:widowControl/>
        <w:numPr>
          <w:ilvl w:val="0"/>
          <w:numId w:val="0"/>
        </w:numPr>
        <w:spacing w:line="540" w:lineRule="exact"/>
        <w:ind w:leftChars="0" w:firstLine="480" w:firstLineChars="200"/>
        <w:outlineLvl w:val="1"/>
        <w:rPr>
          <w:rFonts w:hint="eastAsia" w:ascii="宋体" w:hAnsi="宋体" w:eastAsia="宋体" w:cs="Times New Roman"/>
          <w:b w:val="0"/>
          <w:bCs w:val="0"/>
          <w:kern w:val="0"/>
          <w:sz w:val="24"/>
          <w:szCs w:val="24"/>
          <w:lang w:val="en-US" w:eastAsia="zh-CN"/>
        </w:rPr>
      </w:pPr>
      <w:r>
        <w:rPr>
          <w:rFonts w:hint="eastAsia" w:ascii="宋体" w:hAnsi="宋体" w:eastAsia="宋体" w:cs="Times New Roman"/>
          <w:b w:val="0"/>
          <w:bCs w:val="0"/>
          <w:kern w:val="0"/>
          <w:sz w:val="24"/>
          <w:szCs w:val="24"/>
          <w:lang w:val="en-US" w:eastAsia="zh-CN"/>
        </w:rPr>
        <w:t>公司于2023年7月开展了安全风险分级管控及隐患排查治理工作，根据“双控风险辨识与分析结果”编制了双重预防机制手册。2024年12月开始接入了省厅的“双控”信息化平台，运行了省“双控”平台。公司定期开展隐患排查工作，通过采用检查表等多种形式对关键装置、重点部位进行检查，形成了隐患排查治理台账，对排查出的隐患进行跟踪确认。2023年总计排查安全隐患496项，完成率85%；2024年1月至今排查安全隐患总计537项，持续跟进整改中。通过以上风险管理方法有利的降低了安全风险，确保了生产安全。</w:t>
      </w:r>
    </w:p>
    <w:p w14:paraId="10B06CEF">
      <w:pPr>
        <w:widowControl/>
        <w:numPr>
          <w:ilvl w:val="0"/>
          <w:numId w:val="0"/>
        </w:numPr>
        <w:spacing w:line="540" w:lineRule="exact"/>
        <w:ind w:leftChars="0" w:firstLine="480" w:firstLineChars="200"/>
        <w:outlineLvl w:val="1"/>
        <w:rPr>
          <w:rFonts w:hint="default" w:ascii="宋体" w:hAnsi="宋体" w:eastAsia="宋体" w:cs="Times New Roman"/>
          <w:b w:val="0"/>
          <w:bCs w:val="0"/>
          <w:kern w:val="0"/>
          <w:sz w:val="24"/>
          <w:szCs w:val="24"/>
          <w:lang w:val="en-US" w:eastAsia="zh-CN"/>
        </w:rPr>
      </w:pPr>
      <w:r>
        <w:rPr>
          <w:rFonts w:hint="eastAsia" w:ascii="宋体" w:hAnsi="宋体" w:eastAsia="宋体" w:cs="Times New Roman"/>
          <w:b w:val="0"/>
          <w:bCs w:val="0"/>
          <w:kern w:val="0"/>
          <w:sz w:val="24"/>
          <w:szCs w:val="24"/>
          <w:lang w:val="en-US" w:eastAsia="zh-CN"/>
        </w:rPr>
        <w:t>公司计划2024年9月完成建设自己的安全生产信息管理平台。</w:t>
      </w:r>
    </w:p>
    <w:p w14:paraId="7246ECCC">
      <w:pPr>
        <w:widowControl/>
        <w:numPr>
          <w:ilvl w:val="1"/>
          <w:numId w:val="1"/>
        </w:numPr>
        <w:spacing w:line="540" w:lineRule="exact"/>
        <w:ind w:left="567" w:leftChars="0" w:hanging="567" w:firstLineChars="0"/>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安全生产责任险缴纳情况；</w:t>
      </w:r>
    </w:p>
    <w:p w14:paraId="6EF21C36">
      <w:pPr>
        <w:widowControl/>
        <w:numPr>
          <w:ilvl w:val="0"/>
          <w:numId w:val="0"/>
        </w:numPr>
        <w:spacing w:line="540" w:lineRule="exact"/>
        <w:ind w:leftChars="0"/>
        <w:rPr>
          <w:rFonts w:hint="eastAsia" w:ascii="宋体" w:hAnsi="宋体" w:eastAsia="宋体" w:cs="Times New Roman"/>
          <w:b w:val="0"/>
          <w:bCs w:val="0"/>
          <w:kern w:val="0"/>
          <w:sz w:val="24"/>
          <w:szCs w:val="24"/>
          <w:lang w:val="en-US" w:eastAsia="zh-CN"/>
        </w:rPr>
      </w:pPr>
      <w:r>
        <w:rPr>
          <w:rFonts w:hint="eastAsia" w:ascii="宋体" w:hAnsi="宋体" w:eastAsia="宋体" w:cs="Times New Roman"/>
          <w:b/>
          <w:bCs/>
          <w:kern w:val="0"/>
          <w:sz w:val="28"/>
          <w:szCs w:val="28"/>
          <w:lang w:val="en-US" w:eastAsia="zh-CN"/>
        </w:rPr>
        <w:t xml:space="preserve"> </w:t>
      </w:r>
      <w:r>
        <w:rPr>
          <w:rFonts w:hint="eastAsia" w:ascii="宋体" w:hAnsi="宋体" w:eastAsia="宋体" w:cs="Times New Roman"/>
          <w:b/>
          <w:bCs/>
          <w:kern w:val="0"/>
          <w:sz w:val="24"/>
          <w:szCs w:val="24"/>
          <w:lang w:val="en-US" w:eastAsia="zh-CN"/>
        </w:rPr>
        <w:t xml:space="preserve">  </w:t>
      </w:r>
      <w:r>
        <w:rPr>
          <w:rFonts w:hint="eastAsia" w:ascii="宋体" w:hAnsi="宋体" w:eastAsia="宋体" w:cs="Times New Roman"/>
          <w:b w:val="0"/>
          <w:bCs w:val="0"/>
          <w:kern w:val="0"/>
          <w:sz w:val="24"/>
          <w:szCs w:val="24"/>
          <w:lang w:val="en-US" w:eastAsia="zh-CN"/>
        </w:rPr>
        <w:t>根据《湖北省高危行业领域强制推行安全生产责任保险实施方案》（鄂政办发【2020】16号），我公司每年为员工缴纳安全生产责任险。</w:t>
      </w:r>
    </w:p>
    <w:p w14:paraId="25FCD984">
      <w:pPr>
        <w:widowControl/>
        <w:numPr>
          <w:ilvl w:val="0"/>
          <w:numId w:val="0"/>
        </w:numPr>
        <w:spacing w:line="540" w:lineRule="exact"/>
        <w:ind w:leftChars="0" w:firstLine="480" w:firstLineChars="200"/>
        <w:rPr>
          <w:rFonts w:hint="default" w:ascii="宋体" w:hAnsi="宋体" w:eastAsia="宋体" w:cs="Times New Roman"/>
          <w:b w:val="0"/>
          <w:bCs w:val="0"/>
          <w:kern w:val="0"/>
          <w:sz w:val="24"/>
          <w:szCs w:val="24"/>
          <w:lang w:val="en-US" w:eastAsia="zh-CN"/>
        </w:rPr>
      </w:pPr>
      <w:r>
        <w:rPr>
          <w:rFonts w:hint="eastAsia" w:ascii="宋体" w:hAnsi="宋体" w:eastAsia="宋体" w:cs="Times New Roman"/>
          <w:b w:val="0"/>
          <w:bCs w:val="0"/>
          <w:kern w:val="0"/>
          <w:sz w:val="24"/>
          <w:szCs w:val="24"/>
          <w:lang w:val="en-US" w:eastAsia="zh-CN"/>
        </w:rPr>
        <w:t>2024年6月，我公司与中国平安财产保险股份有限公司湖北分公司签订了安全责任险合同，并足额缴纳安全生产责任保险金，应缴纳保险金 73920元，实际缴纳保险金73920元。</w:t>
      </w:r>
    </w:p>
    <w:p w14:paraId="06EEA153">
      <w:pPr>
        <w:widowControl/>
        <w:numPr>
          <w:ilvl w:val="1"/>
          <w:numId w:val="1"/>
        </w:numPr>
        <w:spacing w:line="540" w:lineRule="exact"/>
        <w:ind w:left="567" w:leftChars="0" w:hanging="567" w:firstLineChars="0"/>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应急管理情况等</w:t>
      </w:r>
      <w:r>
        <w:rPr>
          <w:rFonts w:hint="eastAsia" w:ascii="宋体" w:hAnsi="宋体" w:eastAsia="宋体" w:cs="Times New Roman"/>
          <w:b/>
          <w:bCs/>
          <w:kern w:val="0"/>
          <w:sz w:val="28"/>
          <w:szCs w:val="28"/>
          <w:lang w:eastAsia="zh-CN"/>
        </w:rPr>
        <w:t>；</w:t>
      </w:r>
    </w:p>
    <w:p w14:paraId="369B4B6C">
      <w:pPr>
        <w:widowControl/>
        <w:numPr>
          <w:ilvl w:val="0"/>
          <w:numId w:val="0"/>
        </w:numPr>
        <w:spacing w:line="540" w:lineRule="exact"/>
        <w:ind w:leftChars="0"/>
        <w:outlineLvl w:val="1"/>
        <w:rPr>
          <w:rFonts w:hint="default" w:ascii="宋体" w:hAnsi="宋体" w:eastAsia="宋体" w:cs="Times New Roman"/>
          <w:b w:val="0"/>
          <w:bCs w:val="0"/>
          <w:kern w:val="0"/>
          <w:sz w:val="24"/>
          <w:szCs w:val="24"/>
          <w:lang w:val="en-US" w:eastAsia="zh-CN"/>
        </w:rPr>
      </w:pPr>
      <w:r>
        <w:rPr>
          <w:rFonts w:hint="eastAsia" w:ascii="宋体" w:hAnsi="宋体" w:eastAsia="宋体" w:cs="Times New Roman"/>
          <w:b/>
          <w:bCs/>
          <w:kern w:val="0"/>
          <w:sz w:val="28"/>
          <w:szCs w:val="28"/>
          <w:lang w:val="en-US" w:eastAsia="zh-CN"/>
        </w:rPr>
        <w:t xml:space="preserve">   </w:t>
      </w:r>
      <w:r>
        <w:rPr>
          <w:rFonts w:hint="eastAsia" w:ascii="宋体" w:hAnsi="宋体" w:eastAsia="宋体" w:cs="Times New Roman"/>
          <w:b w:val="0"/>
          <w:bCs w:val="0"/>
          <w:kern w:val="0"/>
          <w:sz w:val="28"/>
          <w:szCs w:val="28"/>
          <w:lang w:val="en-US" w:eastAsia="zh-CN"/>
        </w:rPr>
        <w:t xml:space="preserve"> </w:t>
      </w:r>
      <w:r>
        <w:rPr>
          <w:rFonts w:hint="eastAsia" w:ascii="宋体" w:hAnsi="宋体" w:eastAsia="宋体" w:cs="Times New Roman"/>
          <w:b w:val="0"/>
          <w:bCs w:val="0"/>
          <w:kern w:val="0"/>
          <w:sz w:val="24"/>
          <w:szCs w:val="24"/>
          <w:lang w:val="en-US" w:eastAsia="zh-CN"/>
        </w:rPr>
        <w:t>公司按要求编制了《生产安全事故应急预案》，并于2022年9月在潜江市应急管理局备案，备案文号是：安监429005202200043</w:t>
      </w:r>
    </w:p>
    <w:p w14:paraId="02E1187F">
      <w:pPr>
        <w:widowControl/>
        <w:numPr>
          <w:ilvl w:val="0"/>
          <w:numId w:val="0"/>
        </w:numPr>
        <w:spacing w:line="540" w:lineRule="exact"/>
        <w:ind w:leftChars="0" w:firstLine="480" w:firstLineChars="200"/>
        <w:outlineLvl w:val="1"/>
        <w:rPr>
          <w:rFonts w:hint="eastAsia" w:ascii="宋体" w:hAnsi="宋体" w:eastAsia="宋体" w:cs="Times New Roman"/>
          <w:b w:val="0"/>
          <w:bCs w:val="0"/>
          <w:kern w:val="0"/>
          <w:sz w:val="24"/>
          <w:szCs w:val="24"/>
          <w:lang w:val="en-US" w:eastAsia="zh-CN"/>
        </w:rPr>
      </w:pPr>
      <w:r>
        <w:rPr>
          <w:rFonts w:hint="eastAsia" w:ascii="宋体" w:hAnsi="宋体" w:eastAsia="宋体" w:cs="Times New Roman"/>
          <w:b w:val="0"/>
          <w:bCs w:val="0"/>
          <w:kern w:val="0"/>
          <w:sz w:val="24"/>
          <w:szCs w:val="24"/>
          <w:lang w:val="en-US" w:eastAsia="zh-CN"/>
        </w:rPr>
        <w:t>应急预案中明确了公司的应急组织体系，其由以总经理为总指挥的应急指挥部、应急救援办公室、应急专业小组（应急抢险组、应急疏散组、后勤救援组、信息联络组 消防救援组 事故善后组）组成。并明确了各人员的应急责任。</w:t>
      </w:r>
    </w:p>
    <w:p w14:paraId="14C654DB">
      <w:pPr>
        <w:widowControl/>
        <w:numPr>
          <w:ilvl w:val="0"/>
          <w:numId w:val="0"/>
        </w:numPr>
        <w:spacing w:line="540" w:lineRule="exact"/>
        <w:ind w:leftChars="0" w:firstLine="480" w:firstLineChars="200"/>
        <w:outlineLvl w:val="1"/>
        <w:rPr>
          <w:rFonts w:hint="eastAsia" w:ascii="宋体" w:hAnsi="宋体" w:eastAsia="宋体" w:cs="Times New Roman"/>
          <w:b w:val="0"/>
          <w:bCs w:val="0"/>
          <w:kern w:val="0"/>
          <w:sz w:val="24"/>
          <w:szCs w:val="24"/>
          <w:lang w:val="en-US" w:eastAsia="zh-CN"/>
        </w:rPr>
      </w:pPr>
      <w:r>
        <w:rPr>
          <w:rFonts w:hint="eastAsia" w:ascii="宋体" w:hAnsi="宋体" w:eastAsia="宋体" w:cs="Times New Roman"/>
          <w:b w:val="0"/>
          <w:bCs w:val="0"/>
          <w:kern w:val="0"/>
          <w:sz w:val="24"/>
          <w:szCs w:val="24"/>
          <w:lang w:val="en-US" w:eastAsia="zh-CN"/>
        </w:rPr>
        <w:t>应急预案包括有：综合预案；火灾爆炸、中毒窒息、泄露事故、重大危险源等专项预案以及各岗位现场处置方案。公司针对根据该项目情况，对其相关现场处置方案进行了修订，并开展了多次现场演练，演练后对演练效果进行了评估。</w:t>
      </w:r>
    </w:p>
    <w:p w14:paraId="27A7C294">
      <w:pPr>
        <w:widowControl/>
        <w:numPr>
          <w:ilvl w:val="0"/>
          <w:numId w:val="0"/>
        </w:numPr>
        <w:spacing w:line="540" w:lineRule="exact"/>
        <w:ind w:leftChars="0" w:firstLine="480" w:firstLineChars="200"/>
        <w:outlineLvl w:val="1"/>
        <w:rPr>
          <w:rFonts w:hint="default" w:ascii="宋体" w:hAnsi="宋体" w:eastAsia="宋体" w:cs="Times New Roman"/>
          <w:b w:val="0"/>
          <w:bCs w:val="0"/>
          <w:kern w:val="0"/>
          <w:sz w:val="24"/>
          <w:szCs w:val="24"/>
          <w:lang w:val="en-US"/>
        </w:rPr>
      </w:pPr>
      <w:r>
        <w:rPr>
          <w:rFonts w:hint="eastAsia" w:ascii="宋体" w:hAnsi="宋体" w:eastAsia="宋体" w:cs="Times New Roman"/>
          <w:b w:val="0"/>
          <w:bCs w:val="0"/>
          <w:kern w:val="0"/>
          <w:sz w:val="24"/>
          <w:szCs w:val="24"/>
          <w:lang w:val="en-US" w:eastAsia="zh-CN"/>
        </w:rPr>
        <w:t xml:space="preserve">公司根据实际生产情况，配备了应急救援中所需的器材，并制定了《应急救援装备维护保养制度》，定期对应急物资进行检查、维护与更新，保证始终处于完好状态。企业对应急物资进行集中管理，统一调配，同时相关装置和设施也配有相应的应急救援器材。 </w:t>
      </w:r>
    </w:p>
    <w:p w14:paraId="052746D6">
      <w:pPr>
        <w:widowControl/>
        <w:numPr>
          <w:ilvl w:val="0"/>
          <w:numId w:val="1"/>
        </w:numPr>
        <w:spacing w:line="540" w:lineRule="exact"/>
        <w:ind w:left="425" w:leftChars="0" w:hanging="425" w:firstLineChars="0"/>
        <w:outlineLvl w:val="0"/>
        <w:rPr>
          <w:rFonts w:hint="eastAsia" w:ascii="宋体" w:hAnsi="宋体" w:eastAsia="宋体" w:cs="Times New Roman"/>
          <w:b/>
          <w:bCs/>
          <w:kern w:val="0"/>
          <w:sz w:val="28"/>
          <w:szCs w:val="28"/>
        </w:rPr>
      </w:pPr>
      <w:bookmarkStart w:id="3" w:name="_Toc12957"/>
      <w:r>
        <w:rPr>
          <w:rFonts w:hint="eastAsia" w:ascii="宋体" w:hAnsi="宋体" w:eastAsia="宋体" w:cs="Times New Roman"/>
          <w:b/>
          <w:bCs/>
          <w:kern w:val="0"/>
          <w:sz w:val="28"/>
          <w:szCs w:val="28"/>
        </w:rPr>
        <w:t>自评标准的适应性分析</w:t>
      </w:r>
      <w:bookmarkEnd w:id="3"/>
    </w:p>
    <w:p w14:paraId="3969D33F">
      <w:pPr>
        <w:widowControl/>
        <w:numPr>
          <w:ilvl w:val="0"/>
          <w:numId w:val="1"/>
        </w:numPr>
        <w:spacing w:line="540" w:lineRule="exact"/>
        <w:ind w:left="425" w:leftChars="0" w:hanging="425" w:firstLineChars="0"/>
        <w:outlineLvl w:val="0"/>
        <w:rPr>
          <w:rFonts w:hint="eastAsia" w:ascii="宋体" w:hAnsi="宋体"/>
          <w:b/>
          <w:bCs/>
          <w:kern w:val="0"/>
          <w:sz w:val="28"/>
          <w:szCs w:val="28"/>
        </w:rPr>
      </w:pPr>
      <w:bookmarkStart w:id="4" w:name="_Toc30400"/>
      <w:r>
        <w:rPr>
          <w:rFonts w:hint="eastAsia" w:ascii="宋体" w:hAnsi="宋体"/>
          <w:b/>
          <w:bCs/>
          <w:kern w:val="0"/>
          <w:sz w:val="28"/>
          <w:szCs w:val="28"/>
        </w:rPr>
        <w:t>自评程序及方法</w:t>
      </w:r>
      <w:bookmarkEnd w:id="4"/>
    </w:p>
    <w:p w14:paraId="04ABC436">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自评范围</w:t>
      </w:r>
    </w:p>
    <w:p w14:paraId="39D12542">
      <w:pPr>
        <w:widowControl/>
        <w:numPr>
          <w:ilvl w:val="0"/>
          <w:numId w:val="0"/>
        </w:numPr>
        <w:spacing w:line="540" w:lineRule="exact"/>
        <w:ind w:leftChars="0"/>
        <w:rPr>
          <w:rFonts w:hint="default" w:ascii="宋体" w:hAnsi="宋体" w:eastAsiaTheme="minorEastAsia"/>
          <w:b w:val="0"/>
          <w:bCs w:val="0"/>
          <w:kern w:val="0"/>
          <w:sz w:val="24"/>
          <w:szCs w:val="24"/>
          <w:lang w:val="en-US" w:eastAsia="zh-CN"/>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 xml:space="preserve"> 安全生产全员、全过程和《危险化学品从业单位安全生产标准化评审标准》（安监总管三〔2011〕93 号）管理要素覆盖的范围。具体自评范围主要包括公司厂区内与公司生产、经营相关的所有场所、环境、部门、人员及安全管理文件等。</w:t>
      </w:r>
    </w:p>
    <w:p w14:paraId="4944FEDE">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自评依据</w:t>
      </w:r>
    </w:p>
    <w:p w14:paraId="05E50945">
      <w:pPr>
        <w:snapToGrid w:val="0"/>
        <w:spacing w:line="360" w:lineRule="auto"/>
        <w:ind w:firstLine="562" w:firstLineChars="200"/>
        <w:jc w:val="left"/>
        <w:rPr>
          <w:rFonts w:ascii="Times New Roman" w:hAnsi="Times New Roman"/>
          <w:sz w:val="24"/>
        </w:rPr>
      </w:pPr>
      <w:r>
        <w:rPr>
          <w:rFonts w:hint="eastAsia" w:ascii="宋体" w:hAnsi="宋体"/>
          <w:b/>
          <w:bCs/>
          <w:kern w:val="0"/>
          <w:sz w:val="28"/>
          <w:szCs w:val="28"/>
          <w:lang w:val="en-US" w:eastAsia="zh-CN"/>
        </w:rPr>
        <w:t xml:space="preserve">   </w:t>
      </w:r>
      <w:r>
        <w:rPr>
          <w:rFonts w:ascii="Times New Roman" w:hAnsi="Times New Roman"/>
          <w:sz w:val="24"/>
        </w:rPr>
        <w:t>1、《中华人民共和国安全生产法》（</w:t>
      </w:r>
      <w:r>
        <w:rPr>
          <w:rFonts w:ascii="Times New Roman" w:hAnsi="Times New Roman"/>
          <w:sz w:val="24"/>
          <w:szCs w:val="24"/>
          <w:lang w:val="zh-CN"/>
        </w:rPr>
        <w:t>中华人民共和国主席令〔2021〕第88号</w:t>
      </w:r>
      <w:r>
        <w:rPr>
          <w:rFonts w:ascii="Times New Roman" w:hAnsi="Times New Roman"/>
          <w:sz w:val="24"/>
        </w:rPr>
        <w:t>）；</w:t>
      </w:r>
    </w:p>
    <w:p w14:paraId="17F1D68C">
      <w:pPr>
        <w:snapToGrid w:val="0"/>
        <w:spacing w:line="360" w:lineRule="auto"/>
        <w:ind w:firstLine="480" w:firstLineChars="200"/>
        <w:jc w:val="left"/>
        <w:rPr>
          <w:rFonts w:ascii="Times New Roman" w:hAnsi="Times New Roman"/>
          <w:sz w:val="24"/>
        </w:rPr>
      </w:pPr>
      <w:r>
        <w:rPr>
          <w:rFonts w:ascii="Times New Roman" w:hAnsi="Times New Roman"/>
          <w:sz w:val="24"/>
        </w:rPr>
        <w:t>2、《中华人民共和国职业病防治法》（中华人民共和国主席令第五十二号 2018年12月29日第十三届全国人民代表大会常务委员会第七次会议修正）；</w:t>
      </w:r>
    </w:p>
    <w:p w14:paraId="7E2EA5A4">
      <w:pPr>
        <w:snapToGrid w:val="0"/>
        <w:spacing w:line="360" w:lineRule="auto"/>
        <w:ind w:firstLine="480" w:firstLineChars="200"/>
        <w:jc w:val="left"/>
        <w:rPr>
          <w:rFonts w:ascii="Times New Roman" w:hAnsi="Times New Roman"/>
          <w:sz w:val="24"/>
        </w:rPr>
      </w:pPr>
      <w:r>
        <w:rPr>
          <w:rFonts w:ascii="Times New Roman" w:hAnsi="Times New Roman"/>
          <w:sz w:val="24"/>
        </w:rPr>
        <w:t>3、《中华人民共和国消防法》（中华人民共和国主席令第六号 2021年修订版）；</w:t>
      </w:r>
    </w:p>
    <w:p w14:paraId="7D0948CB">
      <w:pPr>
        <w:snapToGrid w:val="0"/>
        <w:spacing w:line="360" w:lineRule="auto"/>
        <w:ind w:firstLine="480" w:firstLineChars="200"/>
        <w:jc w:val="left"/>
        <w:rPr>
          <w:rFonts w:ascii="Times New Roman" w:hAnsi="Times New Roman"/>
          <w:sz w:val="24"/>
        </w:rPr>
      </w:pPr>
      <w:r>
        <w:rPr>
          <w:rFonts w:ascii="Times New Roman" w:hAnsi="Times New Roman"/>
          <w:sz w:val="24"/>
        </w:rPr>
        <w:t>4、《安全生产许可证条例》（中华人民共和国国务院令第653号）；</w:t>
      </w:r>
    </w:p>
    <w:p w14:paraId="3AFE7986">
      <w:pPr>
        <w:snapToGrid w:val="0"/>
        <w:spacing w:line="360" w:lineRule="auto"/>
        <w:ind w:firstLine="480" w:firstLineChars="200"/>
        <w:jc w:val="left"/>
        <w:rPr>
          <w:rFonts w:ascii="Times New Roman" w:hAnsi="Times New Roman"/>
          <w:sz w:val="24"/>
        </w:rPr>
      </w:pPr>
      <w:r>
        <w:rPr>
          <w:rFonts w:ascii="Times New Roman" w:hAnsi="Times New Roman"/>
          <w:sz w:val="24"/>
        </w:rPr>
        <w:t>5、《危险化学品安全管理条例》（中华人民共和国国务院令第 591 号）；</w:t>
      </w:r>
    </w:p>
    <w:p w14:paraId="7F06C8F5">
      <w:pPr>
        <w:snapToGrid w:val="0"/>
        <w:spacing w:line="360" w:lineRule="auto"/>
        <w:ind w:firstLine="480" w:firstLineChars="200"/>
        <w:jc w:val="left"/>
        <w:rPr>
          <w:rFonts w:ascii="Times New Roman" w:hAnsi="Times New Roman"/>
          <w:sz w:val="24"/>
        </w:rPr>
      </w:pPr>
      <w:r>
        <w:rPr>
          <w:rFonts w:ascii="Times New Roman" w:hAnsi="Times New Roman"/>
          <w:sz w:val="24"/>
        </w:rPr>
        <w:t>6、《特种设备安全监察条例》（中华人民共和国国务院令第549号）；</w:t>
      </w:r>
    </w:p>
    <w:p w14:paraId="3A2E7E9C">
      <w:pPr>
        <w:snapToGrid w:val="0"/>
        <w:spacing w:line="360" w:lineRule="auto"/>
        <w:ind w:firstLine="480" w:firstLineChars="200"/>
        <w:jc w:val="left"/>
        <w:rPr>
          <w:rFonts w:ascii="Times New Roman" w:hAnsi="Times New Roman"/>
          <w:sz w:val="24"/>
        </w:rPr>
      </w:pPr>
      <w:r>
        <w:rPr>
          <w:rFonts w:ascii="Times New Roman" w:hAnsi="Times New Roman"/>
          <w:sz w:val="24"/>
        </w:rPr>
        <w:t>7、《生产安全事故报告和调查处理条例》(中华人民共和国国务院令第 493 号)；</w:t>
      </w:r>
    </w:p>
    <w:p w14:paraId="31D47F83">
      <w:pPr>
        <w:snapToGrid w:val="0"/>
        <w:spacing w:line="360" w:lineRule="auto"/>
        <w:ind w:firstLine="480" w:firstLineChars="200"/>
        <w:jc w:val="left"/>
        <w:rPr>
          <w:rFonts w:ascii="Times New Roman" w:hAnsi="Times New Roman"/>
          <w:sz w:val="24"/>
        </w:rPr>
      </w:pPr>
      <w:r>
        <w:rPr>
          <w:rFonts w:ascii="Times New Roman" w:hAnsi="Times New Roman"/>
          <w:sz w:val="24"/>
        </w:rPr>
        <w:t>8、《湖北省安全生产条例》（2022年版）；</w:t>
      </w:r>
    </w:p>
    <w:p w14:paraId="0BA165AA">
      <w:pPr>
        <w:snapToGrid w:val="0"/>
        <w:spacing w:line="360" w:lineRule="auto"/>
        <w:ind w:firstLine="480" w:firstLineChars="200"/>
        <w:jc w:val="left"/>
        <w:rPr>
          <w:rFonts w:ascii="Times New Roman" w:hAnsi="Times New Roman"/>
          <w:sz w:val="24"/>
        </w:rPr>
      </w:pPr>
      <w:r>
        <w:rPr>
          <w:rFonts w:ascii="Times New Roman" w:hAnsi="Times New Roman"/>
          <w:sz w:val="24"/>
        </w:rPr>
        <w:t>9、《生产安全事故应急预案管理办法》（应急管理部令第2号）；</w:t>
      </w:r>
    </w:p>
    <w:p w14:paraId="72981C4F">
      <w:pPr>
        <w:snapToGrid w:val="0"/>
        <w:spacing w:line="360" w:lineRule="auto"/>
        <w:ind w:firstLine="480" w:firstLineChars="200"/>
        <w:jc w:val="left"/>
        <w:rPr>
          <w:rFonts w:ascii="Times New Roman" w:hAnsi="Times New Roman"/>
          <w:sz w:val="24"/>
        </w:rPr>
      </w:pPr>
      <w:r>
        <w:rPr>
          <w:rFonts w:ascii="Times New Roman" w:hAnsi="Times New Roman"/>
          <w:sz w:val="24"/>
        </w:rPr>
        <w:t>10、《国家安全监管总局关于公布第二批重点监管的危险化学品名录的通知》（安监总管三[2013]12 号）；</w:t>
      </w:r>
    </w:p>
    <w:p w14:paraId="4808AA3F">
      <w:pPr>
        <w:snapToGrid w:val="0"/>
        <w:spacing w:line="360" w:lineRule="auto"/>
        <w:ind w:firstLine="480" w:firstLineChars="200"/>
        <w:jc w:val="left"/>
        <w:rPr>
          <w:rFonts w:ascii="Times New Roman" w:hAnsi="Times New Roman"/>
          <w:sz w:val="24"/>
        </w:rPr>
      </w:pPr>
      <w:r>
        <w:rPr>
          <w:rFonts w:ascii="Times New Roman" w:hAnsi="Times New Roman"/>
          <w:sz w:val="24"/>
        </w:rPr>
        <w:t>11、《国家安全监管总局关于公布首批重点监管的危险化学品名录的通知》（安监总管三[2011] 95 号）；</w:t>
      </w:r>
    </w:p>
    <w:p w14:paraId="353E0B9B">
      <w:pPr>
        <w:snapToGrid w:val="0"/>
        <w:spacing w:line="360" w:lineRule="auto"/>
        <w:ind w:firstLine="480" w:firstLineChars="200"/>
        <w:jc w:val="left"/>
        <w:rPr>
          <w:rFonts w:ascii="Times New Roman" w:hAnsi="Times New Roman"/>
          <w:sz w:val="24"/>
        </w:rPr>
      </w:pPr>
      <w:r>
        <w:rPr>
          <w:rFonts w:ascii="Times New Roman" w:hAnsi="Times New Roman"/>
          <w:sz w:val="24"/>
        </w:rPr>
        <w:t>12、《省委办公厅、省政府办公厅关于迅速开展湖北长江经济带沿江重化工及造纸行业企业专项集中整治行动的通知》（鄂办文[2016]34 号）；</w:t>
      </w:r>
    </w:p>
    <w:p w14:paraId="479D851F">
      <w:pPr>
        <w:snapToGrid w:val="0"/>
        <w:spacing w:line="360" w:lineRule="auto"/>
        <w:ind w:firstLine="480" w:firstLineChars="200"/>
        <w:jc w:val="left"/>
        <w:rPr>
          <w:rFonts w:ascii="Times New Roman" w:hAnsi="Times New Roman"/>
          <w:sz w:val="24"/>
        </w:rPr>
      </w:pPr>
      <w:r>
        <w:rPr>
          <w:rFonts w:ascii="Times New Roman" w:hAnsi="Times New Roman"/>
          <w:sz w:val="24"/>
        </w:rPr>
        <w:t>13、《省人民政府关于进一步加强危险化学品安全生产工作的意见》鄂政发〔2016〕19 号；</w:t>
      </w:r>
    </w:p>
    <w:p w14:paraId="2AE6DF24">
      <w:pPr>
        <w:snapToGrid w:val="0"/>
        <w:spacing w:line="360" w:lineRule="auto"/>
        <w:ind w:firstLine="480" w:firstLineChars="200"/>
        <w:jc w:val="left"/>
        <w:rPr>
          <w:rFonts w:ascii="Times New Roman" w:hAnsi="Times New Roman"/>
          <w:sz w:val="24"/>
        </w:rPr>
      </w:pPr>
      <w:r>
        <w:rPr>
          <w:rFonts w:ascii="Times New Roman" w:hAnsi="Times New Roman"/>
          <w:sz w:val="24"/>
        </w:rPr>
        <w:t>14、《湖北省危险化学品重大危险源监督管理实施办法》鄂应急规〔2021〕4号；</w:t>
      </w:r>
    </w:p>
    <w:p w14:paraId="1215CC59">
      <w:pPr>
        <w:snapToGrid w:val="0"/>
        <w:spacing w:line="360" w:lineRule="auto"/>
        <w:ind w:firstLine="480" w:firstLineChars="200"/>
        <w:jc w:val="left"/>
        <w:rPr>
          <w:rFonts w:ascii="Times New Roman" w:hAnsi="Times New Roman"/>
          <w:kern w:val="0"/>
          <w:sz w:val="24"/>
        </w:rPr>
      </w:pPr>
      <w:r>
        <w:rPr>
          <w:rFonts w:ascii="Times New Roman" w:hAnsi="Times New Roman"/>
          <w:sz w:val="24"/>
        </w:rPr>
        <w:t>15、</w:t>
      </w:r>
      <w:r>
        <w:rPr>
          <w:rFonts w:ascii="Times New Roman" w:hAnsi="Times New Roman"/>
          <w:kern w:val="0"/>
          <w:sz w:val="24"/>
        </w:rPr>
        <w:t>《企业安全生产标准化建设定级办法》（应急〔2021〕83号）；</w:t>
      </w:r>
    </w:p>
    <w:p w14:paraId="056C99EE">
      <w:pPr>
        <w:snapToGrid w:val="0"/>
        <w:spacing w:line="360" w:lineRule="auto"/>
        <w:ind w:firstLine="480" w:firstLineChars="200"/>
        <w:jc w:val="left"/>
        <w:rPr>
          <w:rFonts w:ascii="Times New Roman" w:hAnsi="Times New Roman"/>
          <w:kern w:val="0"/>
          <w:sz w:val="24"/>
        </w:rPr>
      </w:pPr>
      <w:r>
        <w:rPr>
          <w:rFonts w:ascii="Times New Roman" w:hAnsi="Times New Roman"/>
          <w:kern w:val="0"/>
          <w:sz w:val="24"/>
        </w:rPr>
        <w:t>16、《省应急管理厅办公室关于认真落实《企业安全生产标准化建设定级办法》的通知》（鄂应急办〔2022〕6 号）</w:t>
      </w:r>
    </w:p>
    <w:p w14:paraId="4ADFAD04">
      <w:pPr>
        <w:snapToGrid w:val="0"/>
        <w:spacing w:line="360" w:lineRule="auto"/>
        <w:ind w:firstLine="480" w:firstLineChars="200"/>
        <w:jc w:val="left"/>
        <w:rPr>
          <w:rFonts w:ascii="Times New Roman" w:hAnsi="Times New Roman"/>
          <w:sz w:val="24"/>
        </w:rPr>
      </w:pPr>
      <w:r>
        <w:rPr>
          <w:rFonts w:ascii="Times New Roman" w:hAnsi="Times New Roman"/>
          <w:sz w:val="24"/>
        </w:rPr>
        <w:t>17、《湖北省安全生产技术协会关于印发&lt;湖北省企业安全生产标准化评审报告编制导则&gt;&lt;湖北省企业安全生产标准化自评报告编制导则&gt;的通知》（鄂安协（2014）25号）；</w:t>
      </w:r>
    </w:p>
    <w:p w14:paraId="27483A58">
      <w:pPr>
        <w:snapToGrid w:val="0"/>
        <w:spacing w:line="360" w:lineRule="auto"/>
        <w:ind w:firstLine="480" w:firstLineChars="200"/>
        <w:jc w:val="left"/>
        <w:rPr>
          <w:rFonts w:ascii="Times New Roman" w:hAnsi="Times New Roman"/>
          <w:sz w:val="24"/>
        </w:rPr>
      </w:pPr>
      <w:r>
        <w:rPr>
          <w:rFonts w:ascii="Times New Roman" w:hAnsi="Times New Roman"/>
          <w:sz w:val="24"/>
        </w:rPr>
        <w:t>18、《危险化学品从业单位安全生产标准化评审标准》（安监总管三【2011】93号文）；</w:t>
      </w:r>
    </w:p>
    <w:p w14:paraId="165C2F95">
      <w:pPr>
        <w:snapToGrid w:val="0"/>
        <w:spacing w:line="360" w:lineRule="auto"/>
        <w:ind w:firstLine="480" w:firstLineChars="200"/>
        <w:jc w:val="left"/>
        <w:rPr>
          <w:rFonts w:ascii="Times New Roman" w:hAnsi="Times New Roman"/>
          <w:sz w:val="24"/>
        </w:rPr>
      </w:pPr>
      <w:r>
        <w:rPr>
          <w:rFonts w:ascii="Times New Roman" w:hAnsi="Times New Roman"/>
          <w:sz w:val="24"/>
        </w:rPr>
        <w:t>19、《企业安全生产标准化基本规范》（GB/T33000－2016）；</w:t>
      </w:r>
    </w:p>
    <w:p w14:paraId="60D380F1">
      <w:pPr>
        <w:snapToGrid w:val="0"/>
        <w:spacing w:line="360" w:lineRule="auto"/>
        <w:ind w:firstLine="480" w:firstLineChars="200"/>
        <w:jc w:val="left"/>
        <w:rPr>
          <w:rFonts w:ascii="Times New Roman" w:hAnsi="Times New Roman"/>
          <w:sz w:val="24"/>
        </w:rPr>
      </w:pPr>
      <w:r>
        <w:rPr>
          <w:rFonts w:ascii="Times New Roman" w:hAnsi="Times New Roman"/>
          <w:sz w:val="24"/>
        </w:rPr>
        <w:t>20、《国民经济行业分类（2019版）》（GB/T 4754-2017）；</w:t>
      </w:r>
    </w:p>
    <w:p w14:paraId="0076DF4B">
      <w:pPr>
        <w:snapToGrid w:val="0"/>
        <w:spacing w:line="360" w:lineRule="auto"/>
        <w:ind w:firstLine="480" w:firstLineChars="200"/>
        <w:jc w:val="left"/>
        <w:rPr>
          <w:rFonts w:ascii="Times New Roman" w:hAnsi="Times New Roman"/>
          <w:sz w:val="24"/>
        </w:rPr>
      </w:pPr>
      <w:r>
        <w:rPr>
          <w:rFonts w:ascii="Times New Roman" w:hAnsi="Times New Roman"/>
          <w:sz w:val="24"/>
        </w:rPr>
        <w:t>21、《危险化学品目录（2022年调整版）》（2015 版）；</w:t>
      </w:r>
    </w:p>
    <w:p w14:paraId="0C33DDA0">
      <w:pPr>
        <w:snapToGrid w:val="0"/>
        <w:spacing w:line="360" w:lineRule="auto"/>
        <w:ind w:firstLine="480" w:firstLineChars="200"/>
        <w:jc w:val="left"/>
        <w:rPr>
          <w:rFonts w:ascii="Times New Roman" w:hAnsi="Times New Roman"/>
          <w:sz w:val="24"/>
        </w:rPr>
      </w:pPr>
      <w:r>
        <w:rPr>
          <w:rFonts w:ascii="Times New Roman" w:hAnsi="Times New Roman"/>
          <w:sz w:val="24"/>
        </w:rPr>
        <w:t>22、《危险化学品重大危险源辨识》（GB18218-2018）；</w:t>
      </w:r>
    </w:p>
    <w:p w14:paraId="2C4B881A">
      <w:pPr>
        <w:widowControl/>
        <w:numPr>
          <w:ilvl w:val="0"/>
          <w:numId w:val="1"/>
        </w:numPr>
        <w:spacing w:line="540" w:lineRule="exact"/>
        <w:ind w:left="425" w:leftChars="0" w:hanging="425" w:firstLineChars="0"/>
        <w:outlineLvl w:val="0"/>
        <w:rPr>
          <w:rFonts w:hint="eastAsia" w:ascii="宋体" w:hAnsi="宋体"/>
          <w:b/>
          <w:bCs/>
          <w:kern w:val="0"/>
          <w:sz w:val="28"/>
          <w:szCs w:val="28"/>
        </w:rPr>
      </w:pPr>
      <w:bookmarkStart w:id="5" w:name="_Toc32293"/>
      <w:r>
        <w:rPr>
          <w:rFonts w:hint="eastAsia" w:ascii="宋体" w:hAnsi="宋体"/>
          <w:b/>
          <w:bCs/>
          <w:kern w:val="0"/>
          <w:sz w:val="28"/>
          <w:szCs w:val="28"/>
        </w:rPr>
        <w:t>要素评审</w:t>
      </w:r>
      <w:bookmarkEnd w:id="5"/>
    </w:p>
    <w:p w14:paraId="0C8C1905">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 xml:space="preserve">各项评审要素的落实情况及运行效果  </w:t>
      </w:r>
    </w:p>
    <w:p w14:paraId="795BE5D5">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rPr>
        <w:t>法律法规和标准</w:t>
      </w:r>
    </w:p>
    <w:p w14:paraId="65CDBEB4">
      <w:pPr>
        <w:spacing w:line="348" w:lineRule="auto"/>
        <w:ind w:firstLine="480" w:firstLineChars="200"/>
        <w:rPr>
          <w:rFonts w:ascii="Times New Roman" w:hAnsi="Times New Roman"/>
          <w:sz w:val="24"/>
        </w:rPr>
      </w:pPr>
      <w:r>
        <w:rPr>
          <w:rFonts w:ascii="Times New Roman" w:hAnsi="Times New Roman"/>
          <w:sz w:val="24"/>
        </w:rPr>
        <w:t>公司建立《识别和获取法律，法规和其他要求管理制度》，明确责任部门、获取渠道、方式，及时识别和获取适用的安全生产法律法规和标准及政府其他有关要求，形成法律法规、标准及政府其他有关要求的清单和文本数据库，并定期更新。采用适当的方式、方法，将适用的安全生产法律、法规、标准及其他要求及时传达给相关方。每年至少1次对适用的安全生产法律、法规、标准及其他有关要求的执行情况进行符合性评价；对评价出的不符合项进行原因分析，制定整改计划和措施；编制符合性评价报告。</w:t>
      </w:r>
    </w:p>
    <w:p w14:paraId="23248F61">
      <w:pPr>
        <w:spacing w:line="348" w:lineRule="auto"/>
        <w:ind w:firstLine="480" w:firstLineChars="200"/>
        <w:rPr>
          <w:rFonts w:ascii="Times New Roman" w:hAnsi="Times New Roman"/>
          <w:sz w:val="24"/>
        </w:rPr>
      </w:pPr>
      <w:r>
        <w:rPr>
          <w:rFonts w:ascii="Times New Roman" w:hAnsi="Times New Roman"/>
          <w:sz w:val="24"/>
        </w:rPr>
        <w:t>公司依据要求建立安全标准化体系以来一直本着“严格遵守法律法规要求，不断提升安全标准化管理体系运行质量”的指导方针，认真开展法律法规培训、宣传、教育及贯彻实施，有针对性的落实检查，对不完善的地方进行改进。组织公司员工认真学习相关法律法规并将其融入公司日常安全管理中，提高员工安全意识，自觉遵守法律法规要求，取得了良好效果。</w:t>
      </w:r>
    </w:p>
    <w:p w14:paraId="294E5374">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机构和职责</w:t>
      </w:r>
    </w:p>
    <w:p w14:paraId="1E49D538">
      <w:pPr>
        <w:spacing w:line="348" w:lineRule="auto"/>
        <w:ind w:firstLine="480" w:firstLineChars="200"/>
        <w:rPr>
          <w:rFonts w:ascii="Times New Roman" w:hAnsi="Times New Roman"/>
          <w:sz w:val="24"/>
        </w:rPr>
      </w:pPr>
      <w:r>
        <w:rPr>
          <w:rFonts w:ascii="Times New Roman" w:hAnsi="Times New Roman"/>
          <w:sz w:val="24"/>
        </w:rPr>
        <w:t>公司明确安全生产管理组织体系，设置安全生产管理机构，配备专职安全管理人员3人；并任命安全总监，具体负责安全管理体系的建立、保持和改进工作。制定《安全生产责任制制度》，明确了主要负责人及各级单位、部门、岗位人员的安全职责清单，按《安全生产法》、“湖北省两个清单”规定的安全职责进行细化；明确各级管理人员及从业人员的安全职责，做到“一岗一责”。公司每年根据实际情况调整安委会成员，由EHS部负责开展日常安全工作，对全厂安全生产进行监管。发现有安全隐患的，要求各部门组织整改，未整改的予以相应的考核，将安全责任层层分解。每年层层签订安全目标责任书，同时通过制定、落实《安全生产责任目标考核管理制度》，加强对安全职责、安全目标落实情况的监管。公司严格落实领导干部带班制度。</w:t>
      </w:r>
    </w:p>
    <w:p w14:paraId="518C2B74">
      <w:pPr>
        <w:spacing w:line="348" w:lineRule="auto"/>
        <w:ind w:firstLine="480" w:firstLineChars="200"/>
        <w:rPr>
          <w:rFonts w:hint="default" w:ascii="宋体" w:hAnsi="宋体"/>
          <w:b/>
          <w:bCs/>
          <w:kern w:val="0"/>
          <w:sz w:val="28"/>
          <w:szCs w:val="28"/>
          <w:lang w:val="en-US"/>
        </w:rPr>
      </w:pPr>
      <w:r>
        <w:rPr>
          <w:rFonts w:ascii="Times New Roman" w:hAnsi="Times New Roman"/>
          <w:sz w:val="24"/>
        </w:rPr>
        <w:t>公司制定有《安全生产费用提取与使用管理制度》，按要求建立了支出明细台账，为全部从业人员缴纳了相关保险费用，并统一投保了全员安全生产责任保险。公司已初步形成了安全文化体系。</w:t>
      </w:r>
    </w:p>
    <w:p w14:paraId="5B1B8F8C">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rPr>
        <w:t>风险</w:t>
      </w:r>
      <w:r>
        <w:rPr>
          <w:rFonts w:hint="eastAsia" w:ascii="宋体" w:hAnsi="宋体"/>
          <w:b/>
          <w:bCs/>
          <w:kern w:val="0"/>
          <w:sz w:val="28"/>
          <w:szCs w:val="28"/>
          <w:lang w:val="en-US" w:eastAsia="zh-CN"/>
        </w:rPr>
        <w:t>管理</w:t>
      </w:r>
    </w:p>
    <w:p w14:paraId="752AD6E6">
      <w:pPr>
        <w:spacing w:line="360" w:lineRule="auto"/>
        <w:ind w:firstLine="480" w:firstLineChars="200"/>
        <w:jc w:val="left"/>
        <w:rPr>
          <w:rFonts w:ascii="Times New Roman" w:hAnsi="Times New Roman"/>
          <w:sz w:val="24"/>
        </w:rPr>
      </w:pPr>
      <w:r>
        <w:rPr>
          <w:rFonts w:ascii="Times New Roman" w:hAnsi="Times New Roman"/>
          <w:kern w:val="0"/>
          <w:sz w:val="24"/>
        </w:rPr>
        <w:t>公司通过建立作业活动清单和设备、设施清单，每年组织人员按车间进行危险有害因素分析，分析对象包括作业活动、设备设施及场所，并通过选择科学有效的风险评价方法，进行风险分析和控制，形成安全风险分级管控清单。公司倡导各级从业人员积极参与风险评价和风险控制，并对评价结果及对应控制措施进行宣传、培训。</w:t>
      </w:r>
    </w:p>
    <w:p w14:paraId="42D1D622">
      <w:pPr>
        <w:spacing w:line="360" w:lineRule="auto"/>
        <w:ind w:firstLine="480" w:firstLineChars="200"/>
        <w:jc w:val="left"/>
        <w:rPr>
          <w:rFonts w:ascii="Times New Roman" w:hAnsi="Times New Roman"/>
          <w:sz w:val="24"/>
        </w:rPr>
      </w:pPr>
      <w:r>
        <w:rPr>
          <w:rFonts w:ascii="Times New Roman" w:hAnsi="Times New Roman"/>
          <w:sz w:val="24"/>
        </w:rPr>
        <w:t>公司根据安全标准化工作方案，完善公司安全考核细则，完善各类安全检查表和风险管理记录、台账，完善作业票证，同时加强安全监督执行力度，将风险管理日常化，作业前进行危险源辨识和风险评估，制定风险控制措施，确定工作方案，作业过程中如有变更，必须履行变更手续，严格生产现场动火作业、设备检修、有限空间作业、高处作业审批，并随时进行复查，保证危险作业安全可控，有效防范和避免了安全事故的发生。</w:t>
      </w:r>
    </w:p>
    <w:p w14:paraId="567FFDFE">
      <w:pPr>
        <w:widowControl/>
        <w:numPr>
          <w:ilvl w:val="0"/>
          <w:numId w:val="0"/>
        </w:numPr>
        <w:spacing w:line="540" w:lineRule="exact"/>
        <w:ind w:leftChars="0"/>
        <w:rPr>
          <w:rFonts w:hint="eastAsia" w:ascii="宋体" w:hAnsi="宋体"/>
          <w:b/>
          <w:bCs/>
          <w:kern w:val="0"/>
          <w:sz w:val="28"/>
          <w:szCs w:val="28"/>
        </w:rPr>
      </w:pPr>
      <w:r>
        <w:rPr>
          <w:rFonts w:ascii="Times New Roman" w:hAnsi="Times New Roman"/>
          <w:kern w:val="0"/>
          <w:sz w:val="24"/>
        </w:rPr>
        <w:t>公司有健全的隐患排查治理程序，各项检查发现的问题，公司都落实了隐患治理责任人和防范措施，明确责任人和治理时限，对检查出的隐患问题落实整改时间、责任人，及时进行了整改，并保存有相关记录，隐患治理也都按期完成。</w:t>
      </w:r>
    </w:p>
    <w:p w14:paraId="4AFB3E41">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管理制度和操作规程</w:t>
      </w:r>
    </w:p>
    <w:p w14:paraId="4EE170C5">
      <w:pPr>
        <w:widowControl/>
        <w:numPr>
          <w:ilvl w:val="0"/>
          <w:numId w:val="0"/>
        </w:numPr>
        <w:spacing w:line="540" w:lineRule="exact"/>
        <w:ind w:firstLine="480" w:firstLineChars="200"/>
        <w:rPr>
          <w:rFonts w:hint="eastAsia" w:ascii="宋体" w:hAnsi="宋体"/>
          <w:b/>
          <w:bCs/>
          <w:kern w:val="0"/>
          <w:sz w:val="24"/>
          <w:szCs w:val="24"/>
        </w:rPr>
      </w:pPr>
      <w:r>
        <w:rPr>
          <w:rFonts w:hint="eastAsia" w:ascii="宋体" w:hAnsi="宋体"/>
          <w:b w:val="0"/>
          <w:bCs w:val="0"/>
          <w:kern w:val="0"/>
          <w:sz w:val="24"/>
          <w:szCs w:val="24"/>
        </w:rPr>
        <w:t>通过企业安全标准化的建设，按照湖北省危险化学品生产企业安全生产管理制度编制导则结合公司实际情况，建立、健全公司安全生产管理制度和各岗位操作规程。公司安全生产委员会持续不断对安全管理制度及岗位操作规程进行适时的修订和评审，根据评审修改意见进行修改完善、打印装册、发文公布，并组织全员进行学习贯彻实施。制度的运行使得公司安全管理有制可查，有据可依，实现安全生产管理标准化、制度化。定期对安全生产规章制度和操作规程进行审查和更新，确保其与现行法律法规保持一致，并得到有效执行。</w:t>
      </w:r>
    </w:p>
    <w:p w14:paraId="44A39DFE">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安全培训教育</w:t>
      </w:r>
    </w:p>
    <w:p w14:paraId="3A2D8C9A">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自开展安全标准化以来，严格执行新员工进场三级安全教育，对转岗、干部顶岗、脱岗半年以上的者均进行部门和班组的安全培训教育，经考核合格后方可从事新岗位工作。外来人员在学习公司安全注意事项后方可进行参观学习活动；公司制定了安全教育培训计划，全满覆盖了全体员工，在培训过程中通过实操培训、电子化考试、视频培训等新的方式提高培训能力取得良好的效果。确保每位员工都能掌握必要的安全生产知识和技能，员工的安全意识和理念有了较大的提升。员工建立了一人一档安全培训教育档案，班组定期开展安全活动，领导干部定期参与班组安全会。公司安环部负责制定年度安全生产教育培训计划，编制了培训教材，组织培训教师。学习内容包括公司规章制度、安全生产管理制度、操作规程、职业危害因素、防护用品使用、安全操作技能、危险化学品安全常识、应急救援预案、事故案例、法律法规等。公司每月组织安全生产会议，进行安全学习，根据年度培训计划制定每月的教育内容。有重要法律、法规更新或国内有重大安全生产事故发生，及时组织法律、法规的宣贯工作，开展事故案例教育、自查等。在培训方面安环部门也开展了些创新的工作，比如针对访客专门录制了专门的培训视频来提升培训效果，提高访客的培训效率。针对访客和承包商专门编制了入厂安全告知手册，开展多途径方式进行培训，起到了良好的培训效果。</w:t>
      </w:r>
    </w:p>
    <w:p w14:paraId="4105F673">
      <w:pPr>
        <w:widowControl/>
        <w:numPr>
          <w:ilvl w:val="2"/>
          <w:numId w:val="1"/>
        </w:numPr>
        <w:spacing w:line="540" w:lineRule="exact"/>
        <w:ind w:left="545" w:leftChars="0" w:hanging="545" w:firstLineChars="0"/>
        <w:rPr>
          <w:rFonts w:hint="eastAsia" w:ascii="宋体" w:hAnsi="宋体"/>
          <w:b/>
          <w:bCs/>
          <w:kern w:val="0"/>
          <w:sz w:val="28"/>
          <w:szCs w:val="28"/>
        </w:rPr>
      </w:pPr>
      <w:r>
        <w:rPr>
          <w:rFonts w:ascii="Times New Roman" w:hAnsi="Times New Roman"/>
          <w:b/>
          <w:sz w:val="24"/>
        </w:rPr>
        <w:t>生产设施与工艺安全</w:t>
      </w:r>
    </w:p>
    <w:p w14:paraId="38D02E8C">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通过安全标准化建设建立了完善的设施维护和检查制度，定期对生产设备进行维护保养，确保设施始终处于良好运行状态。通过定期的检查和预防性维修，有效预防了设备故障和事故的发生。针对生产过程中发现的安全隐患和工艺改进需求，公司专业部门及时对设备进行了更新改造，提升了设备的安全性能和生产效率。公司专业部门建立了设备设施管理台帐，定期对设备设施进行维护检测；</w:t>
      </w:r>
    </w:p>
    <w:p w14:paraId="6F12E7F8">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通过实施严格的工艺控制措施和实时参数监控，确保了生产过程中的各项工艺参数在安全范围内运行，有效防止了工艺失控情况的发生。定期组织针对生产工艺安全的专业培训，提高了员工的安全意识和操作技能。通过有效的生产设施及工艺安全管理，企业的生产安全事故率显著降低，近两年内未发生重伤及以上生产安全事故。</w:t>
      </w:r>
    </w:p>
    <w:p w14:paraId="2C6C54A5">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作业安全</w:t>
      </w:r>
    </w:p>
    <w:p w14:paraId="7A7A15F1">
      <w:pPr>
        <w:widowControl/>
        <w:numPr>
          <w:ilvl w:val="0"/>
          <w:numId w:val="0"/>
        </w:numPr>
        <w:spacing w:line="540" w:lineRule="exact"/>
        <w:ind w:leftChars="0"/>
        <w:rPr>
          <w:rFonts w:hint="default" w:ascii="宋体" w:hAnsi="宋体"/>
          <w:b w:val="0"/>
          <w:bCs w:val="0"/>
          <w:kern w:val="0"/>
          <w:sz w:val="24"/>
          <w:szCs w:val="24"/>
          <w:lang w:val="en-US"/>
        </w:rPr>
      </w:pPr>
      <w:r>
        <w:rPr>
          <w:rFonts w:hint="eastAsia" w:ascii="宋体" w:hAnsi="宋体"/>
          <w:b/>
          <w:bCs/>
          <w:kern w:val="0"/>
          <w:sz w:val="28"/>
          <w:szCs w:val="28"/>
          <w:lang w:val="en-US" w:eastAsia="zh-CN"/>
        </w:rPr>
        <w:t xml:space="preserve">  </w:t>
      </w:r>
      <w:r>
        <w:rPr>
          <w:rFonts w:hint="eastAsia" w:ascii="宋体" w:hAnsi="宋体"/>
          <w:b w:val="0"/>
          <w:bCs w:val="0"/>
          <w:kern w:val="0"/>
          <w:sz w:val="24"/>
          <w:szCs w:val="24"/>
          <w:lang w:val="en-US" w:eastAsia="zh-CN"/>
        </w:rPr>
        <w:t xml:space="preserve">  通过标准化建设公司制定了严谨和完善的特殊作业管理制度，并严格执行了次制度要求，严格了管控了特殊作业的安全风险。全员对特殊作业管理都有较高的认识，都具备了特殊作业的填写、风险辨识分析、现场如何监督监管等能力。</w:t>
      </w:r>
    </w:p>
    <w:p w14:paraId="36E5DCC7">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职业健康</w:t>
      </w:r>
    </w:p>
    <w:p w14:paraId="1CED0464">
      <w:pPr>
        <w:widowControl/>
        <w:numPr>
          <w:ilvl w:val="0"/>
          <w:numId w:val="0"/>
        </w:numPr>
        <w:spacing w:line="540" w:lineRule="exact"/>
        <w:ind w:leftChars="0" w:firstLine="480" w:firstLineChars="200"/>
        <w:rPr>
          <w:rFonts w:hint="eastAsia" w:ascii="宋体" w:hAnsi="宋体"/>
          <w:b w:val="0"/>
          <w:bCs w:val="0"/>
          <w:kern w:val="0"/>
          <w:sz w:val="24"/>
          <w:szCs w:val="24"/>
          <w:lang w:val="en-US" w:eastAsia="zh-CN"/>
        </w:rPr>
      </w:pPr>
      <w:r>
        <w:rPr>
          <w:rFonts w:hint="eastAsia" w:ascii="宋体" w:hAnsi="宋体"/>
          <w:b w:val="0"/>
          <w:bCs w:val="0"/>
          <w:kern w:val="0"/>
          <w:sz w:val="24"/>
          <w:szCs w:val="24"/>
          <w:lang w:val="en-US" w:eastAsia="zh-CN"/>
        </w:rPr>
        <w:t>通过标准化建设公司建立了完善的职业健康管理体系，设置了专人负责职业健康的管理建立了一人一档档案管理，确保了职业健康管理工作的系统性和规范性。定期请第三方机构对公司进行职业健康风险评估，识别和评价工作场所存在的职业健康危害因素，如化学品、噪声、粉尘等。针对识别出的风险，企业采取了有效的控制措施，包括工程技术控制、个人防护、健康监测等，以降低或消除员工的职业健康风险。制定了岗位个人防护用品发放的矩阵和标准。为员工提供了定期体检，特别是对接触职业病危害的员工进行专项体检，确保员工的健康状况得到妥善管理。定期组织职业健康培训，提高了员工对职业健康重要性的认识，增强了自我保护意识。</w:t>
      </w:r>
    </w:p>
    <w:p w14:paraId="69E29BE1">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危险化学品管理</w:t>
      </w:r>
    </w:p>
    <w:p w14:paraId="62A64F24">
      <w:pPr>
        <w:spacing w:line="348" w:lineRule="auto"/>
        <w:ind w:firstLine="480" w:firstLineChars="200"/>
        <w:jc w:val="left"/>
        <w:rPr>
          <w:rFonts w:ascii="Times New Roman" w:hAnsi="Times New Roman"/>
          <w:sz w:val="24"/>
        </w:rPr>
      </w:pPr>
      <w:r>
        <w:rPr>
          <w:rFonts w:ascii="Times New Roman" w:hAnsi="Times New Roman"/>
          <w:sz w:val="24"/>
        </w:rPr>
        <w:t>公司对所有危险化学品进行普查；建立了危险化学品档案。在危险化学品使用、储存现场设置了安全告知牌，并对从业人员及相关方进行宣传、培训，使其了解本企业、本岗位涉及危险化学品的危险特性、活性危害、禁配物等，以及采取的预防及应急处理措施。危险化学品专用仓库符合安全、消防要求，设置明显安全标志、通讯和报警装置，并由专人管理。</w:t>
      </w:r>
    </w:p>
    <w:p w14:paraId="51AD10F2">
      <w:pPr>
        <w:spacing w:line="348" w:lineRule="auto"/>
        <w:ind w:firstLine="480" w:firstLineChars="200"/>
        <w:jc w:val="left"/>
        <w:rPr>
          <w:rFonts w:hint="default" w:ascii="宋体" w:hAnsi="宋体"/>
          <w:b/>
          <w:bCs/>
          <w:kern w:val="0"/>
          <w:sz w:val="28"/>
          <w:szCs w:val="28"/>
          <w:lang w:val="en-US"/>
        </w:rPr>
      </w:pPr>
      <w:r>
        <w:rPr>
          <w:rFonts w:ascii="Times New Roman" w:hAnsi="Times New Roman"/>
          <w:sz w:val="24"/>
        </w:rPr>
        <w:t>公司危险化学品生产区域及储存区域加强巡查，确保安全运行。公司危化品管理取得了很好的效果，未发生危化品相关事故。</w:t>
      </w:r>
    </w:p>
    <w:p w14:paraId="5830AE97">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应急管理</w:t>
      </w:r>
    </w:p>
    <w:p w14:paraId="63E8C7CC">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通过标准化建设，建立了完善的事故报告调查及纠正预防程序严格执行事故报告制度，确保所有事故都能够及时、准确地向上级主管部门报告。对于发生的每起事故，建立了事故台账，公司都能够按照“四不放过”原则进行深入调查和分析，查明事故原因，制定整改措施，防止事故重复发生。编制了完善的生产安全事故应急预案，根据应急演练计划定期开展了事故应急演练提高了人员的应急能力，员工对事故预防与应急管理的认识得到加强，安全意识普遍提高，积极参与到安全生产和应急管理工作中。通过有效的事故与应急管理，企业的生产安全事故发生率显著降低，实现了安全生产目标。</w:t>
      </w:r>
    </w:p>
    <w:p w14:paraId="3DD14E54">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检查与自评</w:t>
      </w:r>
    </w:p>
    <w:p w14:paraId="71CD57B7">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根据标准化规范要求，进行了综合检查、专业检查、季节性检查、节假日检查以及日常检查；在安全检查过程中，发现的隐患及时予以整改；每月将安全生产考核纳入绩效考核中，兑现奖惩。检查表内容，需要完善、提高。建立了自评管理制度，规定每年至少一次对安全标准化运行进行自评，提出进一步完善安全标准化的计划和措施。</w:t>
      </w:r>
    </w:p>
    <w:p w14:paraId="65C92ACF">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公司成立了安全生产标准化自评小组，小组依据《应急管理部关于印发企业安全生产标准化建设定级办法的通知》（应急【2021】83号）及《危险化学品从业单位安全生产标准化评审标准》（安监总管三【2011】93号）对达诺尔（湖北）微电子材料有限公司安全生产标准化实时运行情况进行自评，并编制了自评报告，并对不符合项进行持续改进。</w:t>
      </w:r>
    </w:p>
    <w:p w14:paraId="627B57A7">
      <w:pPr>
        <w:widowControl/>
        <w:numPr>
          <w:ilvl w:val="0"/>
          <w:numId w:val="0"/>
        </w:numPr>
        <w:spacing w:line="540" w:lineRule="exact"/>
        <w:ind w:leftChars="0" w:firstLine="480" w:firstLineChars="200"/>
        <w:rPr>
          <w:rFonts w:hint="eastAsia" w:ascii="宋体" w:hAnsi="宋体"/>
          <w:b/>
          <w:bCs/>
          <w:kern w:val="0"/>
          <w:sz w:val="28"/>
          <w:szCs w:val="28"/>
        </w:rPr>
      </w:pPr>
      <w:r>
        <w:rPr>
          <w:rFonts w:hint="eastAsia" w:ascii="宋体" w:hAnsi="宋体"/>
          <w:b w:val="0"/>
          <w:bCs w:val="0"/>
          <w:kern w:val="0"/>
          <w:sz w:val="24"/>
          <w:szCs w:val="24"/>
        </w:rPr>
        <w:t>通过安全生产标准化的实施运行，使得公司自身的本质安全水平及安全管理水平均得到了有效提升，秉承持续改进的原则，坚持采用PDCA管理模式常态化运行安全生产标准化。</w:t>
      </w:r>
    </w:p>
    <w:p w14:paraId="66052B09">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lang w:val="en-US" w:eastAsia="zh-CN"/>
        </w:rPr>
        <w:t>本地区要求</w:t>
      </w:r>
    </w:p>
    <w:p w14:paraId="21AA0D7B">
      <w:pPr>
        <w:widowControl/>
        <w:numPr>
          <w:ilvl w:val="0"/>
          <w:numId w:val="0"/>
        </w:numPr>
        <w:spacing w:line="540" w:lineRule="exact"/>
        <w:ind w:leftChars="0" w:firstLine="480" w:firstLineChars="200"/>
        <w:rPr>
          <w:rFonts w:hint="default" w:ascii="宋体" w:hAnsi="宋体"/>
          <w:b w:val="0"/>
          <w:bCs w:val="0"/>
          <w:kern w:val="0"/>
          <w:sz w:val="24"/>
          <w:szCs w:val="24"/>
          <w:lang w:val="en-US"/>
        </w:rPr>
      </w:pPr>
      <w:r>
        <w:rPr>
          <w:rFonts w:hint="eastAsia" w:ascii="宋体" w:hAnsi="宋体"/>
          <w:b w:val="0"/>
          <w:bCs w:val="0"/>
          <w:kern w:val="0"/>
          <w:sz w:val="24"/>
          <w:szCs w:val="24"/>
          <w:lang w:val="en-US" w:eastAsia="zh-CN"/>
        </w:rPr>
        <w:t>公司主要负责人、安全负责人、技术负责人及其他分管负责人等人的学历及从业经验都满足要求；公司配备了4名注册安全工程师，本公司不涉及危险化工工艺，一线操作人员都具具有高中学历且经过，培训合格，落实工艺安全及安全管理要求。公司对承包商管理建立相应的管理制度和流程，确保了承包商的安全风险可控。</w:t>
      </w:r>
    </w:p>
    <w:p w14:paraId="5F81A9AD">
      <w:pPr>
        <w:widowControl/>
        <w:numPr>
          <w:ilvl w:val="0"/>
          <w:numId w:val="1"/>
        </w:numPr>
        <w:spacing w:line="540" w:lineRule="exact"/>
        <w:ind w:left="425" w:leftChars="0" w:hanging="425" w:firstLineChars="0"/>
        <w:outlineLvl w:val="0"/>
        <w:rPr>
          <w:rFonts w:hint="eastAsia" w:ascii="宋体" w:hAnsi="宋体"/>
          <w:b/>
          <w:bCs/>
          <w:kern w:val="0"/>
          <w:sz w:val="28"/>
          <w:szCs w:val="28"/>
        </w:rPr>
      </w:pPr>
      <w:bookmarkStart w:id="6" w:name="_Toc6711"/>
      <w:r>
        <w:rPr>
          <w:rFonts w:hint="eastAsia" w:ascii="宋体" w:hAnsi="宋体"/>
          <w:b/>
          <w:bCs/>
          <w:kern w:val="0"/>
          <w:sz w:val="28"/>
          <w:szCs w:val="28"/>
        </w:rPr>
        <w:t>自评综述及评分表</w:t>
      </w:r>
      <w:bookmarkEnd w:id="6"/>
    </w:p>
    <w:p w14:paraId="6C2B4B72">
      <w:pPr>
        <w:jc w:val="center"/>
        <w:rPr>
          <w:rFonts w:ascii="黑体" w:eastAsia="黑体"/>
          <w:b/>
          <w:sz w:val="44"/>
          <w:szCs w:val="44"/>
        </w:rPr>
      </w:pPr>
      <w:r>
        <w:rPr>
          <w:rFonts w:hint="eastAsia" w:ascii="黑体" w:eastAsia="黑体"/>
          <w:b/>
          <w:sz w:val="44"/>
          <w:szCs w:val="44"/>
          <w:lang w:val="en-US" w:eastAsia="zh-CN"/>
        </w:rPr>
        <w:t>达诺尔（湖北）微电子材料有限公司</w:t>
      </w:r>
      <w:r>
        <w:rPr>
          <w:rFonts w:hint="eastAsia" w:ascii="黑体" w:eastAsia="黑体"/>
          <w:b/>
          <w:sz w:val="44"/>
          <w:szCs w:val="44"/>
        </w:rPr>
        <w:t>安全生产标准化自评表</w:t>
      </w:r>
    </w:p>
    <w:p w14:paraId="396A8F8A">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黑体" w:eastAsia="黑体"/>
          <w:sz w:val="28"/>
          <w:szCs w:val="24"/>
        </w:rPr>
      </w:pPr>
      <w:r>
        <w:rPr>
          <w:rFonts w:hint="eastAsia" w:ascii="黑体" w:eastAsia="黑体"/>
          <w:sz w:val="28"/>
          <w:szCs w:val="24"/>
        </w:rPr>
        <w:t>自评单位：达诺尔（湖北）微电子材料有限公司</w:t>
      </w:r>
    </w:p>
    <w:p w14:paraId="4EECE4E1">
      <w:pPr>
        <w:keepNext w:val="0"/>
        <w:keepLines w:val="0"/>
        <w:pageBreakBefore w:val="0"/>
        <w:widowControl w:val="0"/>
        <w:kinsoku/>
        <w:wordWrap/>
        <w:overflowPunct/>
        <w:topLinePunct w:val="0"/>
        <w:autoSpaceDE/>
        <w:autoSpaceDN/>
        <w:bidi w:val="0"/>
        <w:adjustRightInd/>
        <w:snapToGrid/>
        <w:ind w:left="420" w:leftChars="200"/>
        <w:textAlignment w:val="auto"/>
        <w:rPr>
          <w:rFonts w:ascii="黑体" w:eastAsia="黑体"/>
          <w:sz w:val="28"/>
          <w:szCs w:val="24"/>
        </w:rPr>
      </w:pPr>
      <w:r>
        <w:rPr>
          <w:rFonts w:hint="eastAsia" w:ascii="黑体" w:eastAsia="黑体"/>
          <w:sz w:val="28"/>
          <w:szCs w:val="24"/>
        </w:rPr>
        <w:t>自评时间：2</w:t>
      </w:r>
      <w:r>
        <w:rPr>
          <w:rFonts w:ascii="黑体" w:eastAsia="黑体"/>
          <w:sz w:val="28"/>
          <w:szCs w:val="24"/>
        </w:rPr>
        <w:t>0</w:t>
      </w:r>
      <w:r>
        <w:rPr>
          <w:rFonts w:hint="eastAsia" w:ascii="黑体" w:eastAsia="黑体"/>
          <w:sz w:val="28"/>
          <w:szCs w:val="24"/>
          <w:lang w:val="en-US" w:eastAsia="zh-CN"/>
        </w:rPr>
        <w:t>24</w:t>
      </w:r>
      <w:r>
        <w:rPr>
          <w:rFonts w:hint="eastAsia" w:ascii="黑体" w:eastAsia="黑体"/>
          <w:sz w:val="28"/>
          <w:szCs w:val="24"/>
        </w:rPr>
        <w:t>年</w:t>
      </w:r>
      <w:r>
        <w:rPr>
          <w:rFonts w:hint="eastAsia" w:ascii="黑体" w:eastAsia="黑体"/>
          <w:sz w:val="28"/>
          <w:szCs w:val="24"/>
          <w:lang w:val="en-US" w:eastAsia="zh-CN"/>
        </w:rPr>
        <w:t>8</w:t>
      </w:r>
      <w:r>
        <w:rPr>
          <w:rFonts w:hint="eastAsia" w:ascii="黑体" w:eastAsia="黑体"/>
          <w:sz w:val="28"/>
          <w:szCs w:val="24"/>
        </w:rPr>
        <w:t>月</w:t>
      </w:r>
      <w:r>
        <w:rPr>
          <w:rFonts w:hint="eastAsia" w:ascii="黑体" w:eastAsia="黑体"/>
          <w:sz w:val="28"/>
          <w:szCs w:val="24"/>
          <w:lang w:val="en-US" w:eastAsia="zh-CN"/>
        </w:rPr>
        <w:t>1</w:t>
      </w:r>
      <w:r>
        <w:rPr>
          <w:rFonts w:hint="eastAsia" w:ascii="黑体" w:eastAsia="黑体"/>
          <w:sz w:val="28"/>
          <w:szCs w:val="24"/>
        </w:rPr>
        <w:t>日</w:t>
      </w:r>
    </w:p>
    <w:p w14:paraId="74645F29">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黑体" w:eastAsia="黑体"/>
          <w:sz w:val="28"/>
          <w:szCs w:val="24"/>
          <w:lang w:val="en-US" w:eastAsia="zh-CN"/>
        </w:rPr>
      </w:pPr>
      <w:r>
        <w:rPr>
          <w:rFonts w:hint="eastAsia" w:ascii="黑体" w:eastAsia="黑体"/>
          <w:sz w:val="28"/>
          <w:szCs w:val="24"/>
        </w:rPr>
        <w:t>自评组组长：</w:t>
      </w:r>
      <w:r>
        <w:rPr>
          <w:rFonts w:hint="eastAsia" w:ascii="黑体" w:eastAsia="黑体"/>
          <w:sz w:val="28"/>
          <w:szCs w:val="24"/>
          <w:lang w:val="en-US" w:eastAsia="zh-CN"/>
        </w:rPr>
        <w:t>白昊</w:t>
      </w:r>
    </w:p>
    <w:p w14:paraId="7AD4BDBA">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黑体" w:eastAsia="黑体"/>
          <w:sz w:val="28"/>
          <w:szCs w:val="24"/>
          <w:lang w:val="en-US" w:eastAsia="zh-CN"/>
        </w:rPr>
      </w:pPr>
      <w:r>
        <w:rPr>
          <w:rFonts w:hint="eastAsia" w:ascii="黑体" w:eastAsia="黑体"/>
          <w:sz w:val="28"/>
          <w:szCs w:val="24"/>
        </w:rPr>
        <w:t>自评组主要成员：</w:t>
      </w:r>
      <w:r>
        <w:rPr>
          <w:rFonts w:hint="eastAsia" w:ascii="黑体" w:eastAsia="黑体"/>
          <w:sz w:val="28"/>
          <w:szCs w:val="24"/>
          <w:lang w:val="en-US" w:eastAsia="zh-CN"/>
        </w:rPr>
        <w:t>阮汝明 刘丰波 魏永祥 姚淑敏 阳玲 吴署 王玮 湛正科 胡莎莎 丁思盼</w:t>
      </w:r>
    </w:p>
    <w:p w14:paraId="24201219">
      <w:pPr>
        <w:keepNext w:val="0"/>
        <w:keepLines w:val="0"/>
        <w:pageBreakBefore w:val="0"/>
        <w:widowControl w:val="0"/>
        <w:kinsoku/>
        <w:wordWrap/>
        <w:overflowPunct/>
        <w:topLinePunct w:val="0"/>
        <w:autoSpaceDE/>
        <w:autoSpaceDN/>
        <w:bidi w:val="0"/>
        <w:adjustRightInd/>
        <w:snapToGrid/>
        <w:ind w:left="420" w:leftChars="200"/>
        <w:textAlignment w:val="auto"/>
        <w:rPr>
          <w:rFonts w:ascii="黑体" w:eastAsia="黑体"/>
          <w:sz w:val="28"/>
          <w:szCs w:val="24"/>
        </w:rPr>
      </w:pPr>
      <w:r>
        <w:rPr>
          <w:rFonts w:hint="eastAsia" w:ascii="黑体" w:eastAsia="黑体"/>
          <w:sz w:val="28"/>
          <w:szCs w:val="24"/>
        </w:rPr>
        <w:t>自评得分：</w:t>
      </w:r>
      <w:r>
        <w:rPr>
          <w:rFonts w:hint="eastAsia" w:ascii="黑体" w:eastAsia="黑体"/>
          <w:sz w:val="28"/>
          <w:szCs w:val="24"/>
          <w:lang w:val="en-US" w:eastAsia="zh-CN"/>
        </w:rPr>
        <w:t xml:space="preserve">  79.76  </w:t>
      </w:r>
      <w:r>
        <w:rPr>
          <w:rFonts w:hint="eastAsia" w:ascii="黑体" w:eastAsia="黑体"/>
          <w:sz w:val="28"/>
          <w:szCs w:val="24"/>
        </w:rPr>
        <w:t>分。</w:t>
      </w:r>
    </w:p>
    <w:tbl>
      <w:tblPr>
        <w:tblStyle w:val="13"/>
        <w:tblpPr w:leftFromText="180" w:rightFromText="180" w:vertAnchor="text" w:tblpXSpec="center" w:tblpY="1"/>
        <w:tblOverlap w:val="never"/>
        <w:tblW w:w="48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644"/>
        <w:gridCol w:w="1928"/>
        <w:gridCol w:w="1903"/>
        <w:gridCol w:w="1721"/>
        <w:gridCol w:w="1537"/>
        <w:gridCol w:w="1923"/>
        <w:gridCol w:w="397"/>
        <w:gridCol w:w="486"/>
        <w:gridCol w:w="2285"/>
      </w:tblGrid>
      <w:tr w14:paraId="6BF9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256" w:type="pct"/>
            <w:vMerge w:val="restart"/>
            <w:vAlign w:val="center"/>
          </w:tcPr>
          <w:p w14:paraId="28109661">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A级要素</w:t>
            </w:r>
          </w:p>
        </w:tc>
        <w:tc>
          <w:tcPr>
            <w:tcW w:w="244" w:type="pct"/>
            <w:vMerge w:val="restart"/>
            <w:vAlign w:val="center"/>
          </w:tcPr>
          <w:p w14:paraId="4FD8756B">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B级要素</w:t>
            </w:r>
          </w:p>
        </w:tc>
        <w:tc>
          <w:tcPr>
            <w:tcW w:w="719" w:type="pct"/>
            <w:vMerge w:val="restart"/>
            <w:vAlign w:val="center"/>
          </w:tcPr>
          <w:p w14:paraId="4C0C7F3B">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lang w:val="en-US" w:eastAsia="zh-CN"/>
              </w:rPr>
            </w:pPr>
            <w:r>
              <w:rPr>
                <w:rFonts w:hint="eastAsia" w:ascii="仿宋" w:hAnsi="仿宋" w:eastAsia="仿宋" w:cs="仿宋"/>
                <w:b/>
                <w:sz w:val="18"/>
                <w:lang w:val="en-US" w:eastAsia="zh-CN"/>
              </w:rPr>
              <w:t>标准化要求</w:t>
            </w:r>
          </w:p>
        </w:tc>
        <w:tc>
          <w:tcPr>
            <w:tcW w:w="710" w:type="pct"/>
            <w:vMerge w:val="restart"/>
            <w:vAlign w:val="center"/>
          </w:tcPr>
          <w:p w14:paraId="2ED6E050">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企业达标标准</w:t>
            </w:r>
          </w:p>
        </w:tc>
        <w:tc>
          <w:tcPr>
            <w:tcW w:w="642" w:type="pct"/>
            <w:vMerge w:val="restart"/>
            <w:vAlign w:val="center"/>
          </w:tcPr>
          <w:p w14:paraId="44BB4969">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lang w:val="en-US" w:eastAsia="zh-CN"/>
              </w:rPr>
            </w:pPr>
            <w:r>
              <w:rPr>
                <w:rFonts w:hint="eastAsia" w:ascii="仿宋" w:hAnsi="仿宋" w:eastAsia="仿宋" w:cs="仿宋"/>
                <w:b/>
                <w:sz w:val="18"/>
                <w:lang w:val="en-US" w:eastAsia="zh-CN"/>
              </w:rPr>
              <w:t>评审方法</w:t>
            </w:r>
          </w:p>
        </w:tc>
        <w:tc>
          <w:tcPr>
            <w:tcW w:w="1291" w:type="pct"/>
            <w:gridSpan w:val="2"/>
          </w:tcPr>
          <w:p w14:paraId="0D47C5B9">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评审标准</w:t>
            </w:r>
          </w:p>
        </w:tc>
        <w:tc>
          <w:tcPr>
            <w:tcW w:w="132" w:type="pct"/>
            <w:vMerge w:val="restart"/>
          </w:tcPr>
          <w:p w14:paraId="2725F0FD">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lang w:val="en-US" w:eastAsia="zh-CN"/>
              </w:rPr>
            </w:pPr>
            <w:r>
              <w:rPr>
                <w:rFonts w:hint="eastAsia" w:ascii="仿宋" w:hAnsi="仿宋" w:eastAsia="仿宋" w:cs="仿宋"/>
                <w:b/>
                <w:sz w:val="18"/>
                <w:lang w:val="en-US" w:eastAsia="zh-CN"/>
              </w:rPr>
              <w:t>空项</w:t>
            </w:r>
          </w:p>
        </w:tc>
        <w:tc>
          <w:tcPr>
            <w:tcW w:w="152" w:type="pct"/>
            <w:vMerge w:val="restart"/>
          </w:tcPr>
          <w:p w14:paraId="5D8E9B2A">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lang w:val="en-US" w:eastAsia="zh-CN"/>
              </w:rPr>
            </w:pPr>
            <w:r>
              <w:rPr>
                <w:rFonts w:hint="eastAsia" w:ascii="仿宋" w:hAnsi="仿宋" w:eastAsia="仿宋" w:cs="仿宋"/>
                <w:b/>
                <w:sz w:val="18"/>
                <w:lang w:val="en-US" w:eastAsia="zh-CN"/>
              </w:rPr>
              <w:t>扣分</w:t>
            </w:r>
          </w:p>
        </w:tc>
        <w:tc>
          <w:tcPr>
            <w:tcW w:w="851" w:type="pct"/>
            <w:vMerge w:val="restart"/>
          </w:tcPr>
          <w:p w14:paraId="144EC67C">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自评描述/不符合描述</w:t>
            </w:r>
          </w:p>
        </w:tc>
      </w:tr>
      <w:tr w14:paraId="1D04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256" w:type="pct"/>
            <w:vMerge w:val="continue"/>
          </w:tcPr>
          <w:p w14:paraId="68FC7CE5">
            <w:pPr>
              <w:keepNext w:val="0"/>
              <w:keepLines w:val="0"/>
              <w:suppressLineNumbers w:val="0"/>
              <w:spacing w:before="0" w:beforeAutospacing="0" w:after="0" w:afterAutospacing="0" w:line="360" w:lineRule="exact"/>
              <w:ind w:left="0" w:right="0"/>
              <w:rPr>
                <w:rFonts w:hint="eastAsia" w:ascii="仿宋" w:hAnsi="仿宋" w:eastAsia="仿宋" w:cs="仿宋"/>
                <w:b/>
                <w:sz w:val="18"/>
              </w:rPr>
            </w:pPr>
          </w:p>
        </w:tc>
        <w:tc>
          <w:tcPr>
            <w:tcW w:w="244" w:type="pct"/>
            <w:vMerge w:val="continue"/>
          </w:tcPr>
          <w:p w14:paraId="5A4EB615">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719" w:type="pct"/>
            <w:vMerge w:val="continue"/>
          </w:tcPr>
          <w:p w14:paraId="54947E6D">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710" w:type="pct"/>
            <w:vMerge w:val="continue"/>
          </w:tcPr>
          <w:p w14:paraId="2B8F9DA6">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642" w:type="pct"/>
            <w:vMerge w:val="continue"/>
          </w:tcPr>
          <w:p w14:paraId="3C627D5C">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574" w:type="pct"/>
          </w:tcPr>
          <w:p w14:paraId="7EE61ABC">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否决项</w:t>
            </w:r>
          </w:p>
        </w:tc>
        <w:tc>
          <w:tcPr>
            <w:tcW w:w="716" w:type="pct"/>
          </w:tcPr>
          <w:p w14:paraId="5B936AAD">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r>
              <w:rPr>
                <w:rFonts w:hint="eastAsia" w:ascii="仿宋" w:hAnsi="仿宋" w:eastAsia="仿宋" w:cs="仿宋"/>
                <w:b/>
                <w:sz w:val="18"/>
              </w:rPr>
              <w:t>扣分项</w:t>
            </w:r>
          </w:p>
        </w:tc>
        <w:tc>
          <w:tcPr>
            <w:tcW w:w="132" w:type="pct"/>
            <w:vMerge w:val="continue"/>
          </w:tcPr>
          <w:p w14:paraId="7BCA1C09">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152" w:type="pct"/>
            <w:vMerge w:val="continue"/>
          </w:tcPr>
          <w:p w14:paraId="25555166">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c>
          <w:tcPr>
            <w:tcW w:w="851" w:type="pct"/>
            <w:vMerge w:val="continue"/>
          </w:tcPr>
          <w:p w14:paraId="5912EB0C">
            <w:pPr>
              <w:keepNext w:val="0"/>
              <w:keepLines w:val="0"/>
              <w:suppressLineNumbers w:val="0"/>
              <w:spacing w:before="0" w:beforeAutospacing="0" w:after="0" w:afterAutospacing="0" w:line="360" w:lineRule="exact"/>
              <w:ind w:left="0" w:right="0"/>
              <w:jc w:val="center"/>
              <w:rPr>
                <w:rFonts w:hint="eastAsia" w:ascii="仿宋" w:hAnsi="仿宋" w:eastAsia="仿宋" w:cs="仿宋"/>
                <w:b/>
                <w:sz w:val="18"/>
              </w:rPr>
            </w:pPr>
          </w:p>
        </w:tc>
      </w:tr>
      <w:tr w14:paraId="3850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256" w:type="pct"/>
            <w:vMerge w:val="restart"/>
          </w:tcPr>
          <w:p w14:paraId="73BB11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法律、法规和标准</w:t>
            </w:r>
          </w:p>
          <w:p w14:paraId="330DF7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tc>
        <w:tc>
          <w:tcPr>
            <w:tcW w:w="244" w:type="pct"/>
            <w:vMerge w:val="restart"/>
          </w:tcPr>
          <w:p w14:paraId="232227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1.1法律、法规和标准的识别和获取</w:t>
            </w:r>
          </w:p>
          <w:p w14:paraId="71553D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（50分）</w:t>
            </w:r>
          </w:p>
        </w:tc>
        <w:tc>
          <w:tcPr>
            <w:tcW w:w="719" w:type="pct"/>
          </w:tcPr>
          <w:p w14:paraId="551187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企业应建 立识别和获 取适用的安 全生产法律、法规、标准及其他要求的管理制度</w:t>
            </w:r>
            <w:r>
              <w:rPr>
                <w:rFonts w:hint="eastAsia" w:ascii="仿宋" w:hAnsi="仿宋" w:eastAsia="仿宋" w:cs="仿宋"/>
                <w:sz w:val="18"/>
                <w:lang w:eastAsia="zh-CN"/>
              </w:rPr>
              <w:t>，</w:t>
            </w:r>
            <w:r>
              <w:rPr>
                <w:rFonts w:hint="eastAsia" w:ascii="仿宋" w:hAnsi="仿宋" w:eastAsia="仿宋" w:cs="仿宋"/>
                <w:sz w:val="18"/>
              </w:rPr>
              <w:t>明确责任部门， 确定获取渠道、方式和时机，及时识别和获取，定期更新。</w:t>
            </w:r>
          </w:p>
        </w:tc>
        <w:tc>
          <w:tcPr>
            <w:tcW w:w="710" w:type="pct"/>
          </w:tcPr>
          <w:p w14:paraId="1DD91A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1.建立识别和获取适用的安全生产法律法规、标准及政府其他有关要求的管理制度；</w:t>
            </w:r>
          </w:p>
          <w:p w14:paraId="50F8E7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2.明确责任部门、获取渠道、方式；</w:t>
            </w:r>
          </w:p>
          <w:p w14:paraId="46D491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3.及时识别和获取适用的安全生产法律法规和标准及政府其他有关要求；</w:t>
            </w:r>
          </w:p>
          <w:p w14:paraId="45252E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4.形成法律法规、标准及政府其他有关要求的清单和文本数据库，并定期更新。</w:t>
            </w:r>
          </w:p>
        </w:tc>
        <w:tc>
          <w:tcPr>
            <w:tcW w:w="642" w:type="pct"/>
          </w:tcPr>
          <w:p w14:paraId="0CCD65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632DE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识 别和 获取适用 的安全生 产法律、法 规、标准及 政府其他 要求的制 度；</w:t>
            </w:r>
          </w:p>
          <w:p w14:paraId="34F26A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适 用 的 法律法规、 标准及政 府其他要 求的清单 和文本数 据库；</w:t>
            </w:r>
          </w:p>
          <w:p w14:paraId="050510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定 期更 新记录。</w:t>
            </w:r>
          </w:p>
        </w:tc>
        <w:tc>
          <w:tcPr>
            <w:tcW w:w="574" w:type="pct"/>
          </w:tcPr>
          <w:p w14:paraId="5B1B45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未明确专门部门定期识别和获取，扣50分（B级要素否决项）。</w:t>
            </w:r>
          </w:p>
        </w:tc>
        <w:tc>
          <w:tcPr>
            <w:tcW w:w="716" w:type="pct"/>
          </w:tcPr>
          <w:p w14:paraId="0C62A6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1.识别和获取的法律、法规、标准及政府其他要求，一项不符合扣1分；</w:t>
            </w:r>
          </w:p>
          <w:p w14:paraId="7AC9B4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2.法律法规、标准及政府其他要求未识别到条款，一项扣1分；</w:t>
            </w:r>
          </w:p>
          <w:p w14:paraId="692159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3.未形成清单或文本数据库，扣5分；</w:t>
            </w:r>
          </w:p>
          <w:p w14:paraId="0DFBE4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4.未及时更新清单或文本数据库，扣5分。</w:t>
            </w:r>
          </w:p>
        </w:tc>
        <w:tc>
          <w:tcPr>
            <w:tcW w:w="132" w:type="pct"/>
            <w:vAlign w:val="center"/>
          </w:tcPr>
          <w:p w14:paraId="0A76BEE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4D8ED5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23D8971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已建立识别和获取适 用的安全生产法律法规、 标准及政府其他有关要 求的管理制度，明确了责 任部门、获取渠道、方式，但是识别不全，扣5分；</w:t>
            </w:r>
          </w:p>
        </w:tc>
      </w:tr>
      <w:tr w14:paraId="3A94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tcPr>
          <w:p w14:paraId="2B54581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6F8378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808D5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企 业 应 将 适用的安全 生产法律、法 规、标准及其 他要求及时 传达给相关 方。</w:t>
            </w:r>
          </w:p>
        </w:tc>
        <w:tc>
          <w:tcPr>
            <w:tcW w:w="710" w:type="pct"/>
          </w:tcPr>
          <w:p w14:paraId="4D480F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采用适当的方式、方法，将适用的安全生产法律、法规、标准及其他要求及时传达给相关方。</w:t>
            </w:r>
          </w:p>
        </w:tc>
        <w:tc>
          <w:tcPr>
            <w:tcW w:w="642" w:type="pct"/>
          </w:tcPr>
          <w:p w14:paraId="26E76D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19A6A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文件发放记录；</w:t>
            </w:r>
          </w:p>
          <w:p w14:paraId="324C81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培训记录</w:t>
            </w:r>
            <w:r>
              <w:rPr>
                <w:rFonts w:hint="eastAsia" w:ascii="仿宋" w:hAnsi="仿宋" w:eastAsia="仿宋" w:cs="仿宋"/>
                <w:sz w:val="18"/>
                <w:lang w:eastAsia="zh-CN"/>
              </w:rPr>
              <w:t>、</w:t>
            </w:r>
            <w:r>
              <w:rPr>
                <w:rFonts w:hint="eastAsia" w:ascii="仿宋" w:hAnsi="仿宋" w:eastAsia="仿宋" w:cs="仿宋"/>
                <w:sz w:val="18"/>
              </w:rPr>
              <w:t>告知书、宣传材料。</w:t>
            </w:r>
          </w:p>
          <w:p w14:paraId="069DD1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3CF272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相关方是否接收到企业传达的相关信息。</w:t>
            </w:r>
          </w:p>
        </w:tc>
        <w:tc>
          <w:tcPr>
            <w:tcW w:w="574" w:type="pct"/>
          </w:tcPr>
          <w:p w14:paraId="0CF7F72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63F8C4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未及时将适用的法律、法规、标准及其他要求向相关方进行传达，一项不符合扣1分。</w:t>
            </w:r>
          </w:p>
        </w:tc>
        <w:tc>
          <w:tcPr>
            <w:tcW w:w="132" w:type="pct"/>
            <w:vAlign w:val="center"/>
          </w:tcPr>
          <w:p w14:paraId="45DFC90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D98A6E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p>
        </w:tc>
        <w:tc>
          <w:tcPr>
            <w:tcW w:w="851" w:type="pct"/>
          </w:tcPr>
          <w:p w14:paraId="2DA7A8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向相关方传达时</w:t>
            </w:r>
            <w:r>
              <w:rPr>
                <w:rFonts w:hint="eastAsia" w:ascii="仿宋" w:hAnsi="仿宋" w:eastAsia="仿宋" w:cs="仿宋"/>
                <w:sz w:val="18"/>
                <w:lang w:val="en-US" w:eastAsia="zh-CN"/>
              </w:rPr>
              <w:t>危险化学品运输</w:t>
            </w:r>
            <w:r>
              <w:rPr>
                <w:rFonts w:hint="eastAsia" w:ascii="仿宋" w:hAnsi="仿宋" w:eastAsia="仿宋" w:cs="仿宋"/>
                <w:sz w:val="18"/>
              </w:rPr>
              <w:t>车辆</w:t>
            </w:r>
            <w:r>
              <w:rPr>
                <w:rFonts w:hint="eastAsia" w:ascii="仿宋" w:hAnsi="仿宋" w:eastAsia="仿宋" w:cs="仿宋"/>
                <w:sz w:val="18"/>
                <w:lang w:val="en-US" w:eastAsia="zh-CN"/>
              </w:rPr>
              <w:t>人员</w:t>
            </w:r>
            <w:r>
              <w:rPr>
                <w:rFonts w:hint="eastAsia" w:ascii="仿宋" w:hAnsi="仿宋" w:eastAsia="仿宋" w:cs="仿宋"/>
                <w:sz w:val="18"/>
              </w:rPr>
              <w:t>未签字。扣3分</w:t>
            </w:r>
          </w:p>
        </w:tc>
      </w:tr>
      <w:tr w14:paraId="03EA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094648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2E302D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1.2法律、法规和标准符合性评价</w:t>
            </w:r>
          </w:p>
          <w:p w14:paraId="298DC8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（50分）</w:t>
            </w:r>
          </w:p>
        </w:tc>
        <w:tc>
          <w:tcPr>
            <w:tcW w:w="719" w:type="pct"/>
          </w:tcPr>
          <w:p w14:paraId="30CA5D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企业应每年 至 少 1 次 对 适用的安全 生产法律、法 规、标准及其 他要求的执 行情况进行 符合性评价， 消除违规现 象和行为。</w:t>
            </w:r>
          </w:p>
        </w:tc>
        <w:tc>
          <w:tcPr>
            <w:tcW w:w="710" w:type="pct"/>
          </w:tcPr>
          <w:p w14:paraId="07E337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1.每年至少1次对适用的安全生产法律、法规、标准及其他有关要求的执行情况进行符合性评价；</w:t>
            </w:r>
          </w:p>
          <w:p w14:paraId="0B1624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2.对评价出的不符合项进行原因分析，制定整改计划和措施；</w:t>
            </w:r>
          </w:p>
          <w:p w14:paraId="1C5F97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3.编制符合性评价报告。</w:t>
            </w:r>
          </w:p>
        </w:tc>
        <w:tc>
          <w:tcPr>
            <w:tcW w:w="642" w:type="pct"/>
          </w:tcPr>
          <w:p w14:paraId="5C97E2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45D21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符合性评价报告、 记录；</w:t>
            </w:r>
          </w:p>
          <w:p w14:paraId="02314E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不符合项整改记录。</w:t>
            </w:r>
          </w:p>
        </w:tc>
        <w:tc>
          <w:tcPr>
            <w:tcW w:w="574" w:type="pct"/>
          </w:tcPr>
          <w:p w14:paraId="1CA98E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未进行符合性评价，扣50分（B级要素否决项）。</w:t>
            </w:r>
          </w:p>
        </w:tc>
        <w:tc>
          <w:tcPr>
            <w:tcW w:w="716" w:type="pct"/>
          </w:tcPr>
          <w:p w14:paraId="089090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1.未编制符合性评价报告，扣5分；</w:t>
            </w:r>
          </w:p>
          <w:p w14:paraId="227775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2.未对所有适用的法律、法规、标准及其他有关要求进行评价，一项扣2分；</w:t>
            </w:r>
          </w:p>
          <w:p w14:paraId="421706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3.对评价出的不符合项未进行原因分析的，一项扣2分；未制定整改计划或整改措施，或整改措施不落实，一项扣2分。</w:t>
            </w:r>
          </w:p>
        </w:tc>
        <w:tc>
          <w:tcPr>
            <w:tcW w:w="132" w:type="pct"/>
            <w:vAlign w:val="center"/>
          </w:tcPr>
          <w:p w14:paraId="1C35BF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9B61E3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-11</w:t>
            </w:r>
          </w:p>
        </w:tc>
        <w:tc>
          <w:tcPr>
            <w:tcW w:w="851" w:type="pct"/>
          </w:tcPr>
          <w:p w14:paraId="4DFBE85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评价不全，扣5分；</w:t>
            </w:r>
            <w:r>
              <w:rPr>
                <w:rFonts w:hint="eastAsia" w:ascii="仿宋" w:hAnsi="仿宋" w:eastAsia="仿宋" w:cs="仿宋"/>
                <w:sz w:val="18"/>
              </w:rPr>
              <w:t>整改措施未落实</w:t>
            </w:r>
            <w:r>
              <w:rPr>
                <w:rFonts w:hint="eastAsia" w:ascii="仿宋" w:hAnsi="仿宋" w:eastAsia="仿宋" w:cs="仿宋"/>
                <w:sz w:val="18"/>
                <w:lang w:eastAsia="zh-CN"/>
              </w:rPr>
              <w:t>，</w:t>
            </w:r>
            <w:r>
              <w:rPr>
                <w:rFonts w:hint="eastAsia" w:ascii="仿宋" w:hAnsi="仿宋" w:eastAsia="仿宋" w:cs="仿宋"/>
                <w:sz w:val="18"/>
              </w:rPr>
              <w:t>扣</w:t>
            </w:r>
            <w:r>
              <w:rPr>
                <w:rFonts w:hint="eastAsia" w:ascii="仿宋" w:hAnsi="仿宋" w:eastAsia="仿宋" w:cs="仿宋"/>
                <w:sz w:val="18"/>
                <w:lang w:val="en-US" w:eastAsia="zh-CN"/>
              </w:rPr>
              <w:t>4</w:t>
            </w:r>
            <w:r>
              <w:rPr>
                <w:rFonts w:hint="eastAsia" w:ascii="仿宋" w:hAnsi="仿宋" w:eastAsia="仿宋" w:cs="仿宋"/>
                <w:sz w:val="18"/>
              </w:rPr>
              <w:t>分</w:t>
            </w:r>
            <w:r>
              <w:rPr>
                <w:rFonts w:hint="eastAsia" w:ascii="仿宋" w:hAnsi="仿宋" w:eastAsia="仿宋" w:cs="仿宋"/>
                <w:sz w:val="18"/>
                <w:lang w:eastAsia="zh-CN"/>
              </w:rPr>
              <w:t>；</w:t>
            </w:r>
            <w:r>
              <w:rPr>
                <w:rFonts w:hint="eastAsia" w:ascii="仿宋" w:hAnsi="仿宋" w:eastAsia="仿宋" w:cs="仿宋"/>
                <w:sz w:val="18"/>
                <w:lang w:val="en-US" w:eastAsia="zh-CN"/>
              </w:rPr>
              <w:t>对评价的不符合项未做原因分析，扣2分。</w:t>
            </w:r>
          </w:p>
        </w:tc>
      </w:tr>
      <w:tr w14:paraId="0A92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529115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机构和职责</w:t>
            </w:r>
          </w:p>
          <w:p w14:paraId="4460A5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5F4CFAD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D1D9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57D7E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B1A04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07830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1D161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A89F76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FC58F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4057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D4218D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640BA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67E4CC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A5323A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78DDA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82CE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789DA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76A182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DB5FD7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ED9EC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D78E0F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42FB2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4D6EB1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4B54E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98EE31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E1500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87936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7339C0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042017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34C49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FAF61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9C9B4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8ADBEE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0BCDC2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C3870D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AD38D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DCAD1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E9AE22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8B2C0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48590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67784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8F0C4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D4CBAF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8DF642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B93F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ADEA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A80C7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42FDE5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E2B8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DD244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0E90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59B78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15CE6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4644FF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B14E7D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C44BC6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4EA48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325DE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7D611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3940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E7690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F1693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C31BB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C861AC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F21B47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535FC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2F38D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DB0293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21A2E6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D4D33B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FA1533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0FEDE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70A6D6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B3D308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5DF20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E86CE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A760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5B07FE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A436E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46BFF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02B2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14B1E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8C445C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850E0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D02E33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05C384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B9502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28636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AA89C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86BFCD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36A9AE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61D2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78974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E650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8C4774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6A978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A8CD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F20C2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D2813C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7231D3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419A0F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D214C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297BF7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97429B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A10DC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C7E756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C08D5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2.1 方针目标</w:t>
            </w:r>
          </w:p>
          <w:p w14:paraId="49C8DB3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28642F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企 业 应 坚 持 “ 安全第 一 ， 预防为 主 ， 综合治 理 ”的安全生 产方针。主要 负责人应依 据国家法律 法规，结合企 业实际，组织 制定文件化 的安全生产 方针和目标。 安全生产方 针和目标应 满足：</w:t>
            </w:r>
          </w:p>
          <w:p w14:paraId="4C08C2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⑴形成文件， 并得到所有 从业人员的 贯彻和实施； ⑵ 符 合 或 严 于相关法律 法规的要求； ⑶ 与企 业 的 职业安全健 康风险相适 应；</w:t>
            </w:r>
          </w:p>
          <w:p w14:paraId="239246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⑷ 目 标 予 以 量化；</w:t>
            </w:r>
          </w:p>
          <w:p w14:paraId="053C87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⑸ 公 众 易 于 获得。</w:t>
            </w:r>
          </w:p>
        </w:tc>
        <w:tc>
          <w:tcPr>
            <w:tcW w:w="710" w:type="pct"/>
          </w:tcPr>
          <w:p w14:paraId="6211C9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1.主要负责人组织制定符合本企业实际的、文件化的安全生产方针；</w:t>
            </w:r>
          </w:p>
          <w:p w14:paraId="26D55D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2.主要负责人组织制定符合企业实际的、文件化的年度安全生产目标；</w:t>
            </w:r>
          </w:p>
          <w:p w14:paraId="705A2F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3.安全生产目标应满足：</w:t>
            </w:r>
          </w:p>
          <w:p w14:paraId="734DF1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（1）形成文件，并得到所有从业人员的贯彻和实施；</w:t>
            </w:r>
          </w:p>
          <w:p w14:paraId="559E4D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（2）符合或严于相关法律法规的要求；</w:t>
            </w:r>
          </w:p>
          <w:p w14:paraId="6F1E0B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（3）与企业的职业安全健康风险相适应；</w:t>
            </w:r>
          </w:p>
          <w:p w14:paraId="2E35EF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（4）根据安全生产目标制定量化的安全生产工作指标；</w:t>
            </w:r>
          </w:p>
          <w:p w14:paraId="7BAB32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（5）应以公众易于获得的方式发布安全生产目标。</w:t>
            </w:r>
          </w:p>
        </w:tc>
        <w:tc>
          <w:tcPr>
            <w:tcW w:w="642" w:type="pct"/>
          </w:tcPr>
          <w:p w14:paraId="08BB58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D1F21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安全生产方针，年度安全生产 目标。</w:t>
            </w:r>
          </w:p>
          <w:p w14:paraId="4A45E6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C87B7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抽查从业人员是 否知道本企业安全生产方针和 安全生产目标。</w:t>
            </w:r>
          </w:p>
          <w:p w14:paraId="34757E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C1F91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安全生产方针 和安全生产目 标告知情况。</w:t>
            </w:r>
          </w:p>
        </w:tc>
        <w:tc>
          <w:tcPr>
            <w:tcW w:w="574" w:type="pct"/>
          </w:tcPr>
          <w:p w14:paraId="3FB2B9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未制定安全生产方针或年度安全生产目标，扣20分（B级要素否决项）。</w:t>
            </w:r>
          </w:p>
        </w:tc>
        <w:tc>
          <w:tcPr>
            <w:tcW w:w="716" w:type="pct"/>
          </w:tcPr>
          <w:p w14:paraId="4C84BF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1.缺一项扣2分；</w:t>
            </w:r>
          </w:p>
          <w:p w14:paraId="372F44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2.安全生产目标不满足标准要求，一项不符合扣1分；</w:t>
            </w:r>
          </w:p>
          <w:p w14:paraId="3A77C3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3.从业人员不了解安全生产方针或安全生产目标，1人次扣1分；</w:t>
            </w:r>
          </w:p>
          <w:p w14:paraId="5085E0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4．没有制定安全生产工作指标或指标未进行量化，扣2分；</w:t>
            </w:r>
          </w:p>
          <w:p w14:paraId="2801D3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5.发布安全生产目标的方式不符合公众易于获得的要求，扣2分。</w:t>
            </w:r>
          </w:p>
        </w:tc>
        <w:tc>
          <w:tcPr>
            <w:tcW w:w="132" w:type="pct"/>
            <w:vAlign w:val="center"/>
          </w:tcPr>
          <w:p w14:paraId="770C470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FA8605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6A06981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已制定符合本企业实 际的、文件化的安全生产 方针和年度安全生产 目 标见</w:t>
            </w:r>
            <w:r>
              <w:rPr>
                <w:rFonts w:hint="eastAsia" w:ascii="仿宋" w:hAnsi="仿宋" w:eastAsia="仿宋" w:cs="仿宋"/>
                <w:sz w:val="18"/>
              </w:rPr>
              <w:t>《</w:t>
            </w:r>
            <w:r>
              <w:rPr>
                <w:rFonts w:hint="eastAsia" w:ascii="仿宋" w:hAnsi="仿宋" w:eastAsia="仿宋" w:cs="仿宋"/>
                <w:sz w:val="18"/>
                <w:lang w:val="en-US" w:eastAsia="zh-CN"/>
              </w:rPr>
              <w:t>达诺尔（湖北）微电子材料有限公司2024年度发展目标</w:t>
            </w:r>
            <w:r>
              <w:rPr>
                <w:rFonts w:hint="eastAsia" w:ascii="仿宋" w:hAnsi="仿宋" w:eastAsia="仿宋" w:cs="仿宋"/>
                <w:sz w:val="18"/>
              </w:rPr>
              <w:t>》</w:t>
            </w:r>
            <w:r>
              <w:rPr>
                <w:rFonts w:hint="eastAsia" w:ascii="仿宋" w:hAnsi="仿宋" w:eastAsia="仿宋" w:cs="仿宋"/>
                <w:sz w:val="18"/>
                <w:lang w:val="en-US" w:eastAsia="zh-CN"/>
              </w:rPr>
              <w:t>。</w:t>
            </w:r>
          </w:p>
          <w:p w14:paraId="73090C6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现场抽查1名人员</w:t>
            </w:r>
            <w:r>
              <w:rPr>
                <w:rFonts w:hint="eastAsia" w:ascii="仿宋" w:hAnsi="仿宋" w:eastAsia="仿宋" w:cs="仿宋"/>
                <w:sz w:val="18"/>
              </w:rPr>
              <w:t>不了解安全生产方针、安全生产目标；扣</w:t>
            </w:r>
            <w:r>
              <w:rPr>
                <w:rFonts w:hint="eastAsia" w:ascii="仿宋" w:hAnsi="仿宋" w:eastAsia="仿宋" w:cs="仿宋"/>
                <w:sz w:val="18"/>
                <w:lang w:val="en-US" w:eastAsia="zh-CN"/>
              </w:rPr>
              <w:t>2</w:t>
            </w:r>
            <w:r>
              <w:rPr>
                <w:rFonts w:hint="eastAsia" w:ascii="仿宋" w:hAnsi="仿宋" w:eastAsia="仿宋" w:cs="仿宋"/>
                <w:sz w:val="18"/>
              </w:rPr>
              <w:t>分；</w:t>
            </w:r>
          </w:p>
          <w:p w14:paraId="1C83280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制定有安全生产工作 指标并进行了量化。</w:t>
            </w:r>
          </w:p>
          <w:p w14:paraId="65FE640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7AAB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E0032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0DA21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6B08C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3E8F49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1.将企业年度安全目标分解到各级组织（包括各个管理部门、车间、班组），签订安全生产目标责任书；</w:t>
            </w:r>
          </w:p>
          <w:p w14:paraId="2CAE52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2.定期考核安全生产目标完成情况；</w:t>
            </w:r>
          </w:p>
          <w:p w14:paraId="2AF3A5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3.企业及各级组织应制定切实可行的年度安全生产工作计划。</w:t>
            </w:r>
          </w:p>
        </w:tc>
        <w:tc>
          <w:tcPr>
            <w:tcW w:w="642" w:type="pct"/>
          </w:tcPr>
          <w:p w14:paraId="64F7EB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5E9011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未签订各级组织的安全目标责任书，扣20分（B级要素否决项）。</w:t>
            </w:r>
          </w:p>
          <w:p w14:paraId="6F7FFF3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EBA19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1.每缺一个组织的安全生产目标责任书，扣2分；</w:t>
            </w:r>
          </w:p>
          <w:p w14:paraId="639131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2.安全生产目标责任书内容与本组织的安全生产职责不符，扣1分；</w:t>
            </w:r>
          </w:p>
          <w:p w14:paraId="13A079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3.企业未制定年度安全生产工作计划，扣4分；各级组织未制定年度安全生产工作计划，缺一个组织扣2分；</w:t>
            </w:r>
          </w:p>
          <w:p w14:paraId="146C69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4.未定期考核，扣4分；考核与安全生产目标责任书内容不符，扣2分；</w:t>
            </w:r>
          </w:p>
          <w:p w14:paraId="151FB4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w:t>
            </w:r>
          </w:p>
          <w:p w14:paraId="01B2EF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6.有关人员不了解本组织的安全生产目标，1人次扣1分。</w:t>
            </w:r>
          </w:p>
        </w:tc>
        <w:tc>
          <w:tcPr>
            <w:tcW w:w="132" w:type="pct"/>
            <w:vAlign w:val="center"/>
          </w:tcPr>
          <w:p w14:paraId="524EF53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EF110D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-8</w:t>
            </w:r>
          </w:p>
        </w:tc>
        <w:tc>
          <w:tcPr>
            <w:tcW w:w="851" w:type="pct"/>
          </w:tcPr>
          <w:p w14:paraId="3C8EDD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已将年度安全目标分 解到各级组织，层层签订 了安全生产目标责任书。</w:t>
            </w:r>
          </w:p>
          <w:p w14:paraId="0887C0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 安全生产 目标责任书 内容与本组织安全生产 职责相符。</w:t>
            </w:r>
          </w:p>
          <w:p w14:paraId="44229D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3、</w:t>
            </w:r>
            <w:r>
              <w:rPr>
                <w:rFonts w:hint="eastAsia" w:ascii="仿宋" w:hAnsi="仿宋" w:eastAsia="仿宋" w:cs="仿宋"/>
                <w:sz w:val="18"/>
              </w:rPr>
              <w:t>未落实安全生产目标考核奖惩，扣</w:t>
            </w:r>
            <w:r>
              <w:rPr>
                <w:rFonts w:hint="eastAsia" w:ascii="仿宋" w:hAnsi="仿宋" w:eastAsia="仿宋" w:cs="仿宋"/>
                <w:sz w:val="18"/>
                <w:lang w:val="en-US" w:eastAsia="zh-CN"/>
              </w:rPr>
              <w:t>2</w:t>
            </w:r>
            <w:r>
              <w:rPr>
                <w:rFonts w:hint="eastAsia" w:ascii="仿宋" w:hAnsi="仿宋" w:eastAsia="仿宋" w:cs="仿宋"/>
                <w:sz w:val="18"/>
              </w:rPr>
              <w:t>分;</w:t>
            </w:r>
          </w:p>
          <w:p w14:paraId="4CC871C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4、设备部门、1#车间车间未制定工作计划，扣2分；</w:t>
            </w:r>
          </w:p>
          <w:p w14:paraId="0EB24ED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5、未定期考核扣4分；</w:t>
            </w:r>
          </w:p>
          <w:p w14:paraId="507E4E0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6、安全生产目标按年度考核，见《2024年度EHS目标指标统计表》。</w:t>
            </w:r>
          </w:p>
          <w:p w14:paraId="50EA7A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382B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71127C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2933AA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2.2 负责人</w:t>
            </w:r>
          </w:p>
          <w:p w14:paraId="2BAE89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184D15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1.企业主要负责人是本单位安全生产的第一责任人,应全面负责安全生产工作,落实安全生产基础和基层工作。</w:t>
            </w:r>
          </w:p>
        </w:tc>
        <w:tc>
          <w:tcPr>
            <w:tcW w:w="710" w:type="pct"/>
          </w:tcPr>
          <w:p w14:paraId="36D5F5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1.明确企业主要负责人是安全生产第一责任人；</w:t>
            </w:r>
          </w:p>
          <w:p w14:paraId="3678B2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2.主要负责人对本单位的危险化学品安全管理工作全面负责，落实安全生产基础与基层工作。</w:t>
            </w:r>
          </w:p>
        </w:tc>
        <w:tc>
          <w:tcPr>
            <w:tcW w:w="642" w:type="pct"/>
          </w:tcPr>
          <w:p w14:paraId="2FD234F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F0E8A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安全生产责任制。</w:t>
            </w:r>
          </w:p>
          <w:p w14:paraId="6D9FD8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0A07FD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1.主要负责人的安全生产职责；</w:t>
            </w:r>
          </w:p>
          <w:p w14:paraId="62279F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2.对本单位的危险化学品安全管理工作情况；</w:t>
            </w:r>
          </w:p>
          <w:p w14:paraId="56BBB2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3.本单位安全生产基础和基层工作情况和做法。</w:t>
            </w:r>
          </w:p>
        </w:tc>
        <w:tc>
          <w:tcPr>
            <w:tcW w:w="574" w:type="pct"/>
          </w:tcPr>
          <w:p w14:paraId="4746AF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未明确第一责任人，或不符合规定，扣20分（B级要素否决项）。</w:t>
            </w:r>
          </w:p>
        </w:tc>
        <w:tc>
          <w:tcPr>
            <w:tcW w:w="716" w:type="pct"/>
          </w:tcPr>
          <w:p w14:paraId="7CFED5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主要负责人对本单位的危险化学品安全管理工作情况、对安全生产基础管理工作情况不清楚，扣5分。</w:t>
            </w:r>
          </w:p>
        </w:tc>
        <w:tc>
          <w:tcPr>
            <w:tcW w:w="132" w:type="pct"/>
            <w:vAlign w:val="center"/>
          </w:tcPr>
          <w:p w14:paraId="0B0DDF2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71D6B3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6ECAD4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4F21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256" w:type="pct"/>
            <w:vMerge w:val="continue"/>
          </w:tcPr>
          <w:p w14:paraId="0684EE6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4E6419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B5B6A5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039682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1.主要负责人组织开展安全生产标准化建设；</w:t>
            </w:r>
          </w:p>
          <w:p w14:paraId="2F0414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2.制定安全生产标准化实施方案，明确实施时间、计划、责任部门和责任人；</w:t>
            </w:r>
          </w:p>
          <w:p w14:paraId="48A436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3.制定安全文化建设计划或方案； </w:t>
            </w:r>
          </w:p>
        </w:tc>
        <w:tc>
          <w:tcPr>
            <w:tcW w:w="642" w:type="pct"/>
          </w:tcPr>
          <w:p w14:paraId="5430FA7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7CC3F58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17A69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1.安全生产标准化实施方案内容，一项不符合扣2分；</w:t>
            </w:r>
          </w:p>
          <w:p w14:paraId="182AFE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2.无主要负责人组织或参与安全生产标准化记录，扣3分；</w:t>
            </w:r>
          </w:p>
          <w:p w14:paraId="43B754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3.未制定安全文化建设计划或方案，扣2分。</w:t>
            </w:r>
          </w:p>
        </w:tc>
        <w:tc>
          <w:tcPr>
            <w:tcW w:w="132" w:type="pct"/>
            <w:vAlign w:val="center"/>
          </w:tcPr>
          <w:p w14:paraId="445F111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4E42984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0020F4B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未制定安全文化建设计划和方案，扣2分；</w:t>
            </w:r>
          </w:p>
          <w:p w14:paraId="570D04B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主要负责人组织开展 安全生产标准化建设，编 制有安全生产标准化实 施方案 ， 明确了实施时 间、计划、责任部门和责 任人，见《DN-达诺尔安全生产标准化建设实施方案及发布文件》</w:t>
            </w:r>
          </w:p>
          <w:p w14:paraId="360887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主要负责人组织参与 安全生产标准化建设，见会议记录；</w:t>
            </w:r>
          </w:p>
        </w:tc>
      </w:tr>
      <w:tr w14:paraId="513C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56" w:type="pct"/>
            <w:vMerge w:val="continue"/>
          </w:tcPr>
          <w:p w14:paraId="100825B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E9F63F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3F489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24A335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二级企业应初步形成安全文化体系。</w:t>
            </w:r>
          </w:p>
        </w:tc>
        <w:tc>
          <w:tcPr>
            <w:tcW w:w="642" w:type="pct"/>
          </w:tcPr>
          <w:p w14:paraId="38E4BC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8B453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安全文化体系有关文件。</w:t>
            </w:r>
          </w:p>
          <w:p w14:paraId="2BB073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DA362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主要负责人及有关人员对安全文化内容掌握情况</w:t>
            </w:r>
          </w:p>
        </w:tc>
        <w:tc>
          <w:tcPr>
            <w:tcW w:w="574" w:type="pct"/>
          </w:tcPr>
          <w:p w14:paraId="7E9565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二级企业未初步形成安全文化体系，扣100分（A级要素否决项）。</w:t>
            </w:r>
          </w:p>
        </w:tc>
        <w:tc>
          <w:tcPr>
            <w:tcW w:w="716" w:type="pct"/>
          </w:tcPr>
          <w:p w14:paraId="00E7F6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44703A1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DF30BF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54505D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4EF9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2B88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105EC3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EF557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3.企业主要负责人应作出明确的、公开的、文件化的安全承诺，并确保安全承诺转变为必需的资源支持。</w:t>
            </w:r>
          </w:p>
        </w:tc>
        <w:tc>
          <w:tcPr>
            <w:tcW w:w="710" w:type="pct"/>
          </w:tcPr>
          <w:p w14:paraId="0CEF55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1.安全承诺的内容应明确、公开、文件化；</w:t>
            </w:r>
          </w:p>
          <w:p w14:paraId="30F509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2.主要负责人应确保安全生产标准化所需的资金、人员、时间、设备设施等资源。</w:t>
            </w:r>
          </w:p>
        </w:tc>
        <w:tc>
          <w:tcPr>
            <w:tcW w:w="642" w:type="pct"/>
          </w:tcPr>
          <w:p w14:paraId="4C38C6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0840B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1.主要负责人安全承诺书；</w:t>
            </w:r>
          </w:p>
          <w:p w14:paraId="2FF208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2.资源配备文件及使用记录。</w:t>
            </w:r>
          </w:p>
          <w:p w14:paraId="69E4D5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34DB3B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1.主要负责人如何提供资源支持；</w:t>
            </w:r>
          </w:p>
          <w:p w14:paraId="740C4E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2.从业人员是否知道主要负责人的安全承诺。</w:t>
            </w:r>
          </w:p>
          <w:p w14:paraId="1C9CA3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5A6C4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安全承诺告知情况。</w:t>
            </w:r>
          </w:p>
        </w:tc>
        <w:tc>
          <w:tcPr>
            <w:tcW w:w="574" w:type="pct"/>
          </w:tcPr>
          <w:p w14:paraId="4F681A7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7FF50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1.主要负责人未作出安全承诺，扣10分；</w:t>
            </w:r>
          </w:p>
          <w:p w14:paraId="017602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2.安全承诺未明确、公开、文件化，一项不符合扣2分；</w:t>
            </w:r>
          </w:p>
          <w:p w14:paraId="4D9D0D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3.资源支持、配备不充分，一项不符合扣2分；</w:t>
            </w:r>
          </w:p>
          <w:p w14:paraId="00D8D7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4.从业人员不清楚主要负责人的安全承诺，1人次扣1分。</w:t>
            </w:r>
          </w:p>
        </w:tc>
        <w:tc>
          <w:tcPr>
            <w:tcW w:w="132" w:type="pct"/>
            <w:vAlign w:val="center"/>
          </w:tcPr>
          <w:p w14:paraId="3326A0E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F8419A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1E30B3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1.主要负责人通过显示屏公告的方式作出安全承诺，见公司厂区大门前电子屏。</w:t>
            </w:r>
          </w:p>
          <w:p w14:paraId="02B2DB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2.安全承诺明确、公开、 文件化。</w:t>
            </w:r>
          </w:p>
          <w:p w14:paraId="2AE793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3.主要负责人确保安全 生产标准化资源支持充 分。</w:t>
            </w:r>
          </w:p>
          <w:p w14:paraId="4AEF9C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4.经现场抽查，2 人不清 楚主要负责人安全承诺， 扣 2 分。</w:t>
            </w:r>
          </w:p>
        </w:tc>
      </w:tr>
      <w:tr w14:paraId="1428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0BBC03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5DCDA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2CE40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4.企业主要负责人应定期组织召开安全生产委员会或领导小组会议（以下简称安委会）。</w:t>
            </w:r>
          </w:p>
        </w:tc>
        <w:tc>
          <w:tcPr>
            <w:tcW w:w="710" w:type="pct"/>
          </w:tcPr>
          <w:p w14:paraId="256C81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主要负责人定期组织召开安委会会议，或定期听取安全生产工作情况汇报，了解安全生产状况，解决安全生产问题。</w:t>
            </w:r>
          </w:p>
        </w:tc>
        <w:tc>
          <w:tcPr>
            <w:tcW w:w="642" w:type="pct"/>
          </w:tcPr>
          <w:p w14:paraId="7416D6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FAD08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1.查安委会会议记录或纪要；</w:t>
            </w:r>
          </w:p>
          <w:p w14:paraId="1152A2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2.安全生产工作汇报资料。</w:t>
            </w:r>
          </w:p>
          <w:p w14:paraId="1E0EDA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17B25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主要负责人听取安全生产工作汇报的情况。</w:t>
            </w:r>
          </w:p>
        </w:tc>
        <w:tc>
          <w:tcPr>
            <w:tcW w:w="574" w:type="pct"/>
          </w:tcPr>
          <w:p w14:paraId="4953BB9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8CCDC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1.主要负责人未定期召开安委会会议或听取汇报，扣10分；</w:t>
            </w:r>
          </w:p>
          <w:p w14:paraId="72B85E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2.未形成会议记录或纪要，扣2分；</w:t>
            </w:r>
          </w:p>
          <w:p w14:paraId="1328FC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3.安全生产问题未及时解决，一项不符合扣2分。</w:t>
            </w:r>
          </w:p>
        </w:tc>
        <w:tc>
          <w:tcPr>
            <w:tcW w:w="132" w:type="pct"/>
            <w:vAlign w:val="center"/>
          </w:tcPr>
          <w:p w14:paraId="63C893D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79E913C7">
            <w:pPr>
              <w:keepNext w:val="0"/>
              <w:keepLines w:val="0"/>
              <w:suppressLineNumbers w:val="0"/>
              <w:spacing w:before="0" w:beforeAutospacing="0" w:after="0" w:afterAutospacing="0" w:line="280" w:lineRule="exact"/>
              <w:ind w:left="0" w:right="0"/>
              <w:rPr>
                <w:rFonts w:hint="default" w:ascii="仿宋" w:hAnsi="仿宋" w:eastAsia="仿宋" w:cs="仿宋"/>
                <w:sz w:val="18"/>
                <w:lang w:val="en-US" w:eastAsia="zh-CN"/>
              </w:rPr>
            </w:pPr>
            <w:r>
              <w:rPr>
                <w:rFonts w:hint="eastAsia" w:ascii="仿宋" w:hAnsi="仿宋" w:cs="仿宋"/>
                <w:sz w:val="18"/>
                <w:lang w:val="en-US" w:eastAsia="zh-CN"/>
              </w:rPr>
              <w:t>0</w:t>
            </w:r>
          </w:p>
        </w:tc>
        <w:tc>
          <w:tcPr>
            <w:tcW w:w="851" w:type="pct"/>
          </w:tcPr>
          <w:p w14:paraId="7851C29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主要负责人定期组织召开安委会会议，听取安全生产工作情况汇报，了解安全生产状况，解决安全生产问题，形成有安委会会议纪要，包含解决安全生产问题记录，见安委会会议纪要。</w:t>
            </w:r>
          </w:p>
        </w:tc>
      </w:tr>
      <w:tr w14:paraId="1303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256" w:type="pct"/>
            <w:vMerge w:val="continue"/>
          </w:tcPr>
          <w:p w14:paraId="69124F3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380474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77EFA7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76C9F5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1.落实领导干部带班制度；</w:t>
            </w:r>
          </w:p>
          <w:p w14:paraId="691219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2．主要负责人要对领导干部带班负全责。</w:t>
            </w:r>
          </w:p>
        </w:tc>
        <w:tc>
          <w:tcPr>
            <w:tcW w:w="642" w:type="pct"/>
          </w:tcPr>
          <w:p w14:paraId="3BF711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5CDDE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1.领导干部带班制度；</w:t>
            </w:r>
          </w:p>
          <w:p w14:paraId="64D4B6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2.领导干部带班记录及考核记录。</w:t>
            </w:r>
          </w:p>
          <w:p w14:paraId="737D27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1CB45F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主要负责人等有关负责人了解和执行带班制度的情况。</w:t>
            </w:r>
          </w:p>
        </w:tc>
        <w:tc>
          <w:tcPr>
            <w:tcW w:w="574" w:type="pct"/>
          </w:tcPr>
          <w:p w14:paraId="7DECFA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未实施领导干部带班，扣20分（B级要素否决项）。</w:t>
            </w:r>
          </w:p>
        </w:tc>
        <w:tc>
          <w:tcPr>
            <w:tcW w:w="716" w:type="pct"/>
          </w:tcPr>
          <w:p w14:paraId="56720A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1.领导干部无故不参加带班，1人次扣2分；</w:t>
            </w:r>
          </w:p>
          <w:p w14:paraId="67B640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2.带班记录一项不符合扣1分；</w:t>
            </w:r>
          </w:p>
          <w:p w14:paraId="3F6369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3.未按规定进行领导带班制度执行情况考核，扣2分；</w:t>
            </w:r>
          </w:p>
          <w:p w14:paraId="763A46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4.主要负责人不清楚领导干部带班情况，扣2分。</w:t>
            </w:r>
          </w:p>
        </w:tc>
        <w:tc>
          <w:tcPr>
            <w:tcW w:w="132" w:type="pct"/>
            <w:vAlign w:val="center"/>
          </w:tcPr>
          <w:p w14:paraId="1EE67F2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616B38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49D962C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制定有领导干部带班制度，见《领导干部带班制度》QJ-SE-05</w:t>
            </w:r>
          </w:p>
          <w:p w14:paraId="45E8085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领导干部带班记录完善，见《领导干部带班记录表》。</w:t>
            </w:r>
          </w:p>
          <w:p w14:paraId="7F36D06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3.未按规定进行领导带 班制度执行情况考核，扣 2 分。</w:t>
            </w:r>
          </w:p>
          <w:p w14:paraId="3248A61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4.经现场检查，主要负责人清楚领导干部带班情况。</w:t>
            </w:r>
          </w:p>
          <w:p w14:paraId="79D1EAF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5、未按规定进行领导带班制度执行情况考核，-2分</w:t>
            </w:r>
          </w:p>
        </w:tc>
      </w:tr>
      <w:tr w14:paraId="2CA2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D92DB2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01004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2.3 职责</w:t>
            </w:r>
          </w:p>
          <w:p w14:paraId="3D2CB3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（30分）</w:t>
            </w:r>
          </w:p>
        </w:tc>
        <w:tc>
          <w:tcPr>
            <w:tcW w:w="719" w:type="pct"/>
          </w:tcPr>
          <w:p w14:paraId="60CD34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1.企业应制定安委会和管理部门的安全职责。</w:t>
            </w:r>
          </w:p>
        </w:tc>
        <w:tc>
          <w:tcPr>
            <w:tcW w:w="710" w:type="pct"/>
          </w:tcPr>
          <w:p w14:paraId="03EF36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制定安委会和各管理部门及基层单位的安全职责。</w:t>
            </w:r>
          </w:p>
        </w:tc>
        <w:tc>
          <w:tcPr>
            <w:tcW w:w="642" w:type="pct"/>
          </w:tcPr>
          <w:p w14:paraId="710689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5E64F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安全生产责任制文件及内容。</w:t>
            </w:r>
          </w:p>
          <w:p w14:paraId="5007C9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376010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各管理部门及基层单位负责人是否清楚本部门安全职责。</w:t>
            </w:r>
          </w:p>
        </w:tc>
        <w:tc>
          <w:tcPr>
            <w:tcW w:w="574" w:type="pct"/>
          </w:tcPr>
          <w:p w14:paraId="1CD9BA0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1ADF6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1.缺少一个管理部门或基层单位的安全职责，扣2分；</w:t>
            </w:r>
          </w:p>
          <w:p w14:paraId="504142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2.安全生产责任制内容与部门安全职责不符合，一项扣2分；</w:t>
            </w:r>
          </w:p>
          <w:p w14:paraId="7A5679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3.主要负责人不清楚安委会安全职责，扣10分；</w:t>
            </w:r>
          </w:p>
          <w:p w14:paraId="3E02CB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4.有关人员不了解本部门安全职责，1人次扣2分。</w:t>
            </w:r>
          </w:p>
          <w:p w14:paraId="386AEF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5.缺少安委会的安全职责,扣10分。</w:t>
            </w:r>
          </w:p>
        </w:tc>
        <w:tc>
          <w:tcPr>
            <w:tcW w:w="132" w:type="pct"/>
            <w:vAlign w:val="center"/>
          </w:tcPr>
          <w:p w14:paraId="382D5E3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7F5F17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p>
        </w:tc>
        <w:tc>
          <w:tcPr>
            <w:tcW w:w="851" w:type="pct"/>
          </w:tcPr>
          <w:p w14:paraId="5F2740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w:t>
            </w:r>
            <w:r>
              <w:rPr>
                <w:rFonts w:hint="eastAsia" w:ascii="仿宋" w:hAnsi="仿宋" w:eastAsia="仿宋" w:cs="仿宋"/>
                <w:sz w:val="18"/>
              </w:rPr>
              <w:t>制定有安委会和管理部门的安全职责，包含企业所有管理部门和基层单位</w:t>
            </w:r>
            <w:r>
              <w:rPr>
                <w:rFonts w:hint="eastAsia" w:ascii="仿宋" w:hAnsi="仿宋" w:eastAsia="仿宋" w:cs="仿宋"/>
                <w:sz w:val="18"/>
                <w:lang w:eastAsia="zh-CN"/>
              </w:rPr>
              <w:t>，</w:t>
            </w:r>
            <w:r>
              <w:rPr>
                <w:rFonts w:hint="eastAsia" w:ascii="仿宋" w:hAnsi="仿宋" w:eastAsia="仿宋" w:cs="仿宋"/>
                <w:sz w:val="18"/>
              </w:rPr>
              <w:t>内容与部门安全职责相符，见《安全生产责任制》</w:t>
            </w:r>
            <w:r>
              <w:rPr>
                <w:rFonts w:hint="eastAsia" w:ascii="仿宋" w:hAnsi="仿宋" w:eastAsia="仿宋" w:cs="仿宋"/>
                <w:sz w:val="18"/>
                <w:lang w:val="en-US" w:eastAsia="zh-CN"/>
              </w:rPr>
              <w:t>QI-SE-01</w:t>
            </w:r>
            <w:r>
              <w:rPr>
                <w:rFonts w:hint="eastAsia" w:ascii="仿宋" w:hAnsi="仿宋" w:eastAsia="仿宋" w:cs="仿宋"/>
                <w:sz w:val="18"/>
              </w:rPr>
              <w:t>）。</w:t>
            </w:r>
          </w:p>
          <w:p w14:paraId="17F01A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经现场检查，主要负责人清楚安委会安全职责。</w:t>
            </w:r>
          </w:p>
          <w:p w14:paraId="39944A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3.经现场抽查，</w:t>
            </w:r>
            <w:r>
              <w:rPr>
                <w:rFonts w:hint="eastAsia" w:ascii="仿宋" w:hAnsi="仿宋" w:eastAsia="仿宋" w:cs="仿宋"/>
                <w:sz w:val="18"/>
                <w:lang w:val="en-US" w:eastAsia="zh-CN"/>
              </w:rPr>
              <w:t>生产部</w:t>
            </w:r>
            <w:r>
              <w:rPr>
                <w:rFonts w:hint="eastAsia" w:ascii="仿宋" w:hAnsi="仿宋" w:eastAsia="仿宋" w:cs="仿宋"/>
                <w:sz w:val="18"/>
              </w:rPr>
              <w:t>2 人不了解本部门安全职责，扣 4 分。</w:t>
            </w:r>
          </w:p>
        </w:tc>
      </w:tr>
      <w:tr w14:paraId="032B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AC9BA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7E0997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5B8D2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2.企业应制定主要负责人、各级管理人员和从业人员的安全职责。</w:t>
            </w:r>
          </w:p>
        </w:tc>
        <w:tc>
          <w:tcPr>
            <w:tcW w:w="710" w:type="pct"/>
          </w:tcPr>
          <w:p w14:paraId="6AB2BC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1.明确主要负责人安全职责，对《安全生产法》规定的主要负责人安全职责进行细化； </w:t>
            </w:r>
          </w:p>
          <w:p w14:paraId="52A8A0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2.明确各级管理人员的安全职责，做到“一岗一责”；</w:t>
            </w:r>
          </w:p>
          <w:p w14:paraId="2ED501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3.明确从业人员安全职责，做到“一岗一责”。</w:t>
            </w:r>
          </w:p>
          <w:p w14:paraId="213267E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3CB33B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9C8CB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安全生产责任制。</w:t>
            </w:r>
          </w:p>
          <w:p w14:paraId="2964A1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148275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1.主要负责人是否了解《安全生产法》规定的安全职责和细化后的安全职责内容；</w:t>
            </w:r>
          </w:p>
          <w:p w14:paraId="0D2BB2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2．各级管理人员、从业人员对各自职责是否清楚。</w:t>
            </w:r>
          </w:p>
        </w:tc>
        <w:tc>
          <w:tcPr>
            <w:tcW w:w="574" w:type="pct"/>
          </w:tcPr>
          <w:p w14:paraId="19DB7F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1.未建立安全生产责任制，扣100分（A级要素否决项）； </w:t>
            </w:r>
          </w:p>
          <w:p w14:paraId="6B55D6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2.主要负责人对其安全职责不清楚，扣30分（B级要素否决项）。</w:t>
            </w:r>
          </w:p>
          <w:p w14:paraId="1BA404A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DA685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1.安全职责与其所在岗位职责不符合，一项扣2分；</w:t>
            </w:r>
          </w:p>
          <w:p w14:paraId="65F43A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2.其他人员对其安全职责不清楚，1人次扣2分。</w:t>
            </w:r>
          </w:p>
        </w:tc>
        <w:tc>
          <w:tcPr>
            <w:tcW w:w="132" w:type="pct"/>
            <w:vAlign w:val="center"/>
          </w:tcPr>
          <w:p w14:paraId="68D7773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75BA1CA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294019E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现场抽查2人对其安全职责不清楚，-2分</w:t>
            </w:r>
          </w:p>
          <w:p w14:paraId="68674FF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2、制定有主要负责人、各级管理人员和从业人员的安全职责，主要负责人安全生产职责在《安全生产  法》第 21 条规定的基础上进行了细化。各级人员安全职责满足“一岗一责 ” 的要求，且与其所在岗位职责相符，见《安全生产责任制》QI-SE-01）。</w:t>
            </w:r>
          </w:p>
        </w:tc>
      </w:tr>
      <w:tr w14:paraId="19C2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256" w:type="pct"/>
            <w:vMerge w:val="continue"/>
          </w:tcPr>
          <w:p w14:paraId="1B7A11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41E54E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BE55D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3.企业应建立安全生产责任制考核机制，对各级管理部门、管理人员及从业人员安全职责的履行情况和安全生产责任制的实现情况进行定期考核，予以奖惩。</w:t>
            </w:r>
          </w:p>
        </w:tc>
        <w:tc>
          <w:tcPr>
            <w:tcW w:w="710" w:type="pct"/>
          </w:tcPr>
          <w:p w14:paraId="2C307B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1.建立安全生产责任制考核机制；</w:t>
            </w:r>
          </w:p>
          <w:p w14:paraId="66D4D6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2.对企业负责人、各级管理部门、管理人员及从业人员安全生产责任制进行定期考核，予以奖惩。</w:t>
            </w:r>
          </w:p>
        </w:tc>
        <w:tc>
          <w:tcPr>
            <w:tcW w:w="642" w:type="pct"/>
          </w:tcPr>
          <w:p w14:paraId="78CE47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A1A26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1.安全生产责任制考核制度；</w:t>
            </w:r>
          </w:p>
          <w:p w14:paraId="1B1268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2.考核、奖惩决定文件，及奖惩兑现情况。</w:t>
            </w:r>
          </w:p>
          <w:p w14:paraId="6B96CD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DA3BA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财务记录、行政文件。</w:t>
            </w:r>
          </w:p>
        </w:tc>
        <w:tc>
          <w:tcPr>
            <w:tcW w:w="574" w:type="pct"/>
          </w:tcPr>
          <w:p w14:paraId="7886B7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未建立安全责任制考核机制，扣30分（B级要素否决项）。</w:t>
            </w:r>
          </w:p>
        </w:tc>
        <w:tc>
          <w:tcPr>
            <w:tcW w:w="716" w:type="pct"/>
          </w:tcPr>
          <w:p w14:paraId="0B892E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未按考核制度对企业负责人、各级管理部门和从业人员的安全责任制进行定期考核，予以奖惩，一项不符合扣2分。</w:t>
            </w:r>
          </w:p>
        </w:tc>
        <w:tc>
          <w:tcPr>
            <w:tcW w:w="132" w:type="pct"/>
            <w:vAlign w:val="center"/>
          </w:tcPr>
          <w:p w14:paraId="59904B0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A754F9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47E7CD8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建立有安全生产责任制考核机制，见《2024年度EHS目标指标统计表》。</w:t>
            </w:r>
          </w:p>
          <w:p w14:paraId="69651EB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对公司负责人、各级管理部门、管理人员及从业人员安全生产责任制进行定期考核，予以奖惩， 见《2024年度EHS目标指标统计表》。</w:t>
            </w:r>
          </w:p>
          <w:p w14:paraId="015E6C1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3、未按考核制度要求进定期考核扣2分</w:t>
            </w:r>
          </w:p>
        </w:tc>
      </w:tr>
      <w:tr w14:paraId="2214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56" w:type="pct"/>
            <w:vMerge w:val="continue"/>
          </w:tcPr>
          <w:p w14:paraId="79B0793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AD01B3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5F902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36BC4C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二级企业建立了健全的安全生产责任制和安全生产规章制度体系，并能够持续改进。</w:t>
            </w:r>
          </w:p>
        </w:tc>
        <w:tc>
          <w:tcPr>
            <w:tcW w:w="642" w:type="pct"/>
          </w:tcPr>
          <w:p w14:paraId="3BAD98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574EB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安全生产责任制和安全生产规章制度文件。</w:t>
            </w:r>
          </w:p>
        </w:tc>
        <w:tc>
          <w:tcPr>
            <w:tcW w:w="574" w:type="pct"/>
          </w:tcPr>
          <w:p w14:paraId="21D1C6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不符合，扣100分（A级要素否决项）。</w:t>
            </w:r>
          </w:p>
        </w:tc>
        <w:tc>
          <w:tcPr>
            <w:tcW w:w="716" w:type="pct"/>
          </w:tcPr>
          <w:p w14:paraId="19AD70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0694BD9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4409CBD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13F0CD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建立了健全的安全生产责任制和安全生产规章制度体系，并能够持续改进。</w:t>
            </w:r>
          </w:p>
        </w:tc>
      </w:tr>
      <w:tr w14:paraId="3375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89E646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0A3851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2.4 组织机构</w:t>
            </w:r>
          </w:p>
          <w:p w14:paraId="6BAB49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600412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1.企业应设置安委会，设置安全生产管理部门或配备专职安全生产管理人员，并按规定配备注册安全工程师。</w:t>
            </w:r>
          </w:p>
        </w:tc>
        <w:tc>
          <w:tcPr>
            <w:tcW w:w="710" w:type="pct"/>
          </w:tcPr>
          <w:p w14:paraId="6ED65E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1.设置安委会；</w:t>
            </w:r>
          </w:p>
          <w:p w14:paraId="270971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设置安全管理机构或配备专职安全管理人员。安全生产管理机构要具备相对独立职能。专职安全生产管理人员应不少于企业员工总数的2%（不足50人的企业至少配备1人），要具备化工或安全管理相关专业中专以上学历，有从事化工生产相关工作2年以上经历；</w:t>
            </w:r>
          </w:p>
          <w:p w14:paraId="3613CB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3.按规定配备注册安全工程师，且至少有一名具有3年化工安全生产经历；或委托安全生产中介机构选派注册安全工程师提供安全生产管理服务。</w:t>
            </w:r>
          </w:p>
        </w:tc>
        <w:tc>
          <w:tcPr>
            <w:tcW w:w="642" w:type="pct"/>
          </w:tcPr>
          <w:p w14:paraId="73C7AC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3339D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1.安委会、安全生产管理部门或专职安全管理人员配备文件。</w:t>
            </w:r>
          </w:p>
          <w:p w14:paraId="33E27C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2.注册安全工程师配备或委托文件。</w:t>
            </w:r>
          </w:p>
          <w:p w14:paraId="5ADCC47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3.安全生产管理人员的学历、工作经历。</w:t>
            </w:r>
          </w:p>
          <w:p w14:paraId="1CE9A4E9">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4.与提供安全生产管理服务的中介机构签订的协议(合同)</w:t>
            </w:r>
            <w:r>
              <w:rPr>
                <w:rFonts w:hint="eastAsia" w:ascii="仿宋" w:hAnsi="仿宋" w:eastAsia="仿宋" w:cs="仿宋"/>
                <w:sz w:val="18"/>
                <w:lang w:eastAsia="zh-CN"/>
              </w:rPr>
              <w:t>。</w:t>
            </w:r>
          </w:p>
        </w:tc>
        <w:tc>
          <w:tcPr>
            <w:tcW w:w="574" w:type="pct"/>
          </w:tcPr>
          <w:p w14:paraId="02953B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未设置安委会、安全生产管理部门或配备专职安全管理人员，扣100分（A级要素否决项）。</w:t>
            </w:r>
          </w:p>
          <w:p w14:paraId="28D6BF6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33156D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1.专职安全管理人员配备不符合要求，一项扣2分；</w:t>
            </w:r>
          </w:p>
          <w:p w14:paraId="34D66A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2.未按规定配备注册安全工程师，或未按规定委托中介机构，扣2分；</w:t>
            </w:r>
          </w:p>
          <w:p w14:paraId="563C2D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3.注册安全工程师不具有化工安全生产经历，扣1分。</w:t>
            </w:r>
          </w:p>
        </w:tc>
        <w:tc>
          <w:tcPr>
            <w:tcW w:w="132" w:type="pct"/>
            <w:vAlign w:val="center"/>
          </w:tcPr>
          <w:p w14:paraId="39A3BCA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5A002B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7BD5DF68">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1.设置有安委会和安全管理机构，配备有</w:t>
            </w:r>
            <w:r>
              <w:rPr>
                <w:rFonts w:hint="eastAsia" w:ascii="仿宋" w:hAnsi="仿宋" w:eastAsia="仿宋" w:cs="仿宋"/>
                <w:sz w:val="18"/>
                <w:lang w:val="en-US" w:eastAsia="zh-CN"/>
              </w:rPr>
              <w:t>3</w:t>
            </w:r>
            <w:r>
              <w:rPr>
                <w:rFonts w:hint="eastAsia" w:ascii="仿宋" w:hAnsi="仿宋" w:eastAsia="仿宋" w:cs="仿宋"/>
                <w:sz w:val="18"/>
              </w:rPr>
              <w:t>名职安全管理人员</w:t>
            </w:r>
            <w:r>
              <w:rPr>
                <w:rFonts w:hint="eastAsia" w:ascii="仿宋" w:hAnsi="仿宋" w:eastAsia="仿宋" w:cs="仿宋"/>
                <w:sz w:val="18"/>
                <w:lang w:eastAsia="zh-CN"/>
              </w:rPr>
              <w:t>，</w:t>
            </w:r>
            <w:r>
              <w:rPr>
                <w:rFonts w:hint="eastAsia" w:ascii="仿宋" w:hAnsi="仿宋" w:eastAsia="仿宋" w:cs="仿宋"/>
                <w:sz w:val="18"/>
                <w:lang w:val="en-US" w:eastAsia="zh-CN"/>
              </w:rPr>
              <w:t>专业都符合</w:t>
            </w:r>
            <w:r>
              <w:rPr>
                <w:rFonts w:hint="eastAsia" w:ascii="仿宋" w:hAnsi="仿宋" w:eastAsia="仿宋" w:cs="仿宋"/>
                <w:sz w:val="18"/>
                <w:lang w:eastAsia="zh-CN"/>
              </w:rPr>
              <w:t>，</w:t>
            </w:r>
            <w:r>
              <w:rPr>
                <w:rFonts w:hint="eastAsia" w:ascii="仿宋" w:hAnsi="仿宋" w:eastAsia="仿宋" w:cs="仿宋"/>
                <w:sz w:val="18"/>
              </w:rPr>
              <w:t xml:space="preserve">不少于公司员工总数的2%（公司总人数 </w:t>
            </w:r>
            <w:r>
              <w:rPr>
                <w:rFonts w:hint="eastAsia" w:ascii="仿宋" w:hAnsi="仿宋" w:eastAsia="仿宋" w:cs="仿宋"/>
                <w:sz w:val="18"/>
                <w:lang w:val="en-US" w:eastAsia="zh-CN"/>
              </w:rPr>
              <w:t>100</w:t>
            </w:r>
            <w:r>
              <w:rPr>
                <w:rFonts w:hint="eastAsia" w:ascii="仿宋" w:hAnsi="仿宋" w:eastAsia="仿宋" w:cs="仿宋"/>
                <w:sz w:val="18"/>
              </w:rPr>
              <w:t>人），见《关于成立安全生产委员会及专职安全管理机构EHS部的通知》</w:t>
            </w:r>
            <w:r>
              <w:rPr>
                <w:rFonts w:hint="eastAsia" w:ascii="仿宋" w:hAnsi="仿宋" w:eastAsia="仿宋" w:cs="仿宋"/>
                <w:sz w:val="18"/>
                <w:lang w:eastAsia="zh-CN"/>
              </w:rPr>
              <w:t>；</w:t>
            </w:r>
          </w:p>
          <w:p w14:paraId="49A495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2.配备有</w:t>
            </w:r>
            <w:r>
              <w:rPr>
                <w:rFonts w:hint="eastAsia" w:ascii="仿宋" w:hAnsi="仿宋" w:eastAsia="仿宋" w:cs="仿宋"/>
                <w:sz w:val="18"/>
                <w:lang w:val="en-US" w:eastAsia="zh-CN"/>
              </w:rPr>
              <w:t>4</w:t>
            </w:r>
            <w:r>
              <w:rPr>
                <w:rFonts w:hint="eastAsia" w:ascii="仿宋" w:hAnsi="仿宋" w:eastAsia="仿宋" w:cs="仿宋"/>
                <w:sz w:val="18"/>
              </w:rPr>
              <w:t>名注册安全工程师，具有3年化工安全生产经历，见《</w:t>
            </w:r>
            <w:r>
              <w:rPr>
                <w:rFonts w:hint="eastAsia" w:ascii="仿宋" w:hAnsi="仿宋" w:eastAsia="仿宋" w:cs="仿宋"/>
                <w:sz w:val="18"/>
                <w:lang w:val="en-US" w:eastAsia="zh-CN"/>
              </w:rPr>
              <w:t>注册安全工程师注册登记记录</w:t>
            </w:r>
            <w:r>
              <w:rPr>
                <w:rFonts w:hint="eastAsia" w:ascii="仿宋" w:hAnsi="仿宋" w:eastAsia="仿宋" w:cs="仿宋"/>
                <w:sz w:val="18"/>
              </w:rPr>
              <w:t>》</w:t>
            </w:r>
          </w:p>
        </w:tc>
      </w:tr>
      <w:tr w14:paraId="0199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6F20EF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192A3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72D9AC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2.企业应根据生产经营规模大小，设置相应的管理部门。</w:t>
            </w:r>
          </w:p>
        </w:tc>
        <w:tc>
          <w:tcPr>
            <w:tcW w:w="710" w:type="pct"/>
          </w:tcPr>
          <w:p w14:paraId="3F3C9D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1.根据生产经营规模设置相应管理部门；</w:t>
            </w:r>
          </w:p>
          <w:p w14:paraId="442A71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2.生产、储存剧毒化学品、易制毒危险化学品的单位，应当设置治安保卫机构,配备专职治安保卫人员。</w:t>
            </w:r>
          </w:p>
        </w:tc>
        <w:tc>
          <w:tcPr>
            <w:tcW w:w="642" w:type="pct"/>
          </w:tcPr>
          <w:p w14:paraId="1B9843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2C0A8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1.管理部门设置文件；</w:t>
            </w:r>
          </w:p>
          <w:p w14:paraId="120A50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2.治安保卫部门设置及专职治安保卫人员配置文件。</w:t>
            </w:r>
          </w:p>
        </w:tc>
        <w:tc>
          <w:tcPr>
            <w:tcW w:w="574" w:type="pct"/>
          </w:tcPr>
          <w:p w14:paraId="297CAA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48333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1.机构设置与企业生产经营规模不符，扣2分；</w:t>
            </w:r>
          </w:p>
          <w:p w14:paraId="270307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2.未设置治安保卫机构或配备专职治安保卫人员，一项扣1分。</w:t>
            </w:r>
          </w:p>
        </w:tc>
        <w:tc>
          <w:tcPr>
            <w:tcW w:w="132" w:type="pct"/>
            <w:vAlign w:val="center"/>
          </w:tcPr>
          <w:p w14:paraId="171E6CC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B30821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6AEAE2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根据生产经营规模设置有</w:t>
            </w:r>
            <w:r>
              <w:rPr>
                <w:rFonts w:hint="eastAsia" w:ascii="仿宋" w:hAnsi="仿宋" w:eastAsia="仿宋" w:cs="仿宋"/>
                <w:sz w:val="18"/>
                <w:lang w:val="en-US" w:eastAsia="zh-CN"/>
              </w:rPr>
              <w:t>EHS部，配置安全总监一名，安全经理一名，3名专职安全员；</w:t>
            </w:r>
          </w:p>
          <w:p w14:paraId="4EDD95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涉及硫酸、盐酸、双氧水等易制毒、易制爆危险化学品，设置了治安保卫机构，配备了专职治安保卫人员，见《达诺尔（湖北）微电子材料有限公司关于成立公司治安保卫领导小组的通知》</w:t>
            </w:r>
          </w:p>
          <w:p w14:paraId="0EB7169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p>
        </w:tc>
      </w:tr>
      <w:tr w14:paraId="38FE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C53AC1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0A5EE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128F6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3.企业应建立、健全从安委会到基层班组的安全生产管理网络。</w:t>
            </w:r>
          </w:p>
        </w:tc>
        <w:tc>
          <w:tcPr>
            <w:tcW w:w="710" w:type="pct"/>
          </w:tcPr>
          <w:p w14:paraId="1455F4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建立从安全生产委员会到管理部门、车间、基层班组的安全生产管理网络，各级机构要配备负责安全生产的人员。</w:t>
            </w:r>
          </w:p>
        </w:tc>
        <w:tc>
          <w:tcPr>
            <w:tcW w:w="642" w:type="pct"/>
          </w:tcPr>
          <w:p w14:paraId="027E5C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C3FCB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1.建立安全生产委员会、管理部门、车间、基层班组的安全生产管理网络的文件。</w:t>
            </w:r>
            <w:r>
              <w:rPr>
                <w:rFonts w:hint="eastAsia" w:ascii="仿宋" w:hAnsi="仿宋" w:eastAsia="仿宋" w:cs="仿宋"/>
                <w:sz w:val="18"/>
              </w:rPr>
              <w:br w:type="textWrapping"/>
            </w:r>
            <w:r>
              <w:rPr>
                <w:rFonts w:hint="eastAsia" w:ascii="仿宋" w:hAnsi="仿宋" w:eastAsia="仿宋" w:cs="仿宋"/>
                <w:sz w:val="18"/>
              </w:rPr>
              <w:t>询问：</w:t>
            </w:r>
          </w:p>
          <w:p w14:paraId="31BDBF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有关人员是否了解安全生产管理网络构成。</w:t>
            </w:r>
          </w:p>
        </w:tc>
        <w:tc>
          <w:tcPr>
            <w:tcW w:w="574" w:type="pct"/>
          </w:tcPr>
          <w:p w14:paraId="236E50D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B3866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1.未建立安全生产管理网络，扣2分。</w:t>
            </w:r>
          </w:p>
          <w:p w14:paraId="56D078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2.安全生产管理网络中每缺1个单位或1个单位未明确安全管理人员，一项扣2分；</w:t>
            </w:r>
          </w:p>
          <w:p w14:paraId="03884E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3.有关人员不清楚安全生产管理网络构成，1人次扣1分。</w:t>
            </w:r>
          </w:p>
        </w:tc>
        <w:tc>
          <w:tcPr>
            <w:tcW w:w="132" w:type="pct"/>
            <w:vAlign w:val="center"/>
          </w:tcPr>
          <w:p w14:paraId="629FD79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F57D20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32F1D16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1、建立有从安全生产委员会到管理部门、车间、基层班组的安全生产管理网络，各级机构配备有负 责安全生产的人员，见安全生产管理网络图。</w:t>
            </w:r>
          </w:p>
          <w:p w14:paraId="388AB26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2、现场抽查1名人员不清楚安全生产管理网络构成-1分</w:t>
            </w:r>
          </w:p>
        </w:tc>
      </w:tr>
      <w:tr w14:paraId="5E3B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E4D67F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29DB18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 安全生产投入（10分）</w:t>
            </w:r>
          </w:p>
        </w:tc>
        <w:tc>
          <w:tcPr>
            <w:tcW w:w="719" w:type="pct"/>
          </w:tcPr>
          <w:p w14:paraId="1EE728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1.企业应依据国家、当地政府的有关安全生产费用提取规定，自行提取安全生产费用，专项用于安全生产。</w:t>
            </w:r>
          </w:p>
        </w:tc>
        <w:tc>
          <w:tcPr>
            <w:tcW w:w="710" w:type="pct"/>
          </w:tcPr>
          <w:p w14:paraId="00D942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根据国家及当地政府规定，建立和落实安全生产费用管理制度，确保安全生产需要。</w:t>
            </w:r>
          </w:p>
        </w:tc>
        <w:tc>
          <w:tcPr>
            <w:tcW w:w="642" w:type="pct"/>
          </w:tcPr>
          <w:p w14:paraId="739795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2D047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安全生产费用管理制度。</w:t>
            </w:r>
          </w:p>
          <w:p w14:paraId="7049ED5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19F712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未按有关规定投入安全生产费用，扣10分（B级要素否决项）。</w:t>
            </w:r>
          </w:p>
        </w:tc>
        <w:tc>
          <w:tcPr>
            <w:tcW w:w="716" w:type="pct"/>
          </w:tcPr>
          <w:p w14:paraId="7E5D19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安全生产费用管理制度内容不符合有关规定，一项扣1分。</w:t>
            </w:r>
          </w:p>
        </w:tc>
        <w:tc>
          <w:tcPr>
            <w:tcW w:w="132" w:type="pct"/>
            <w:vAlign w:val="center"/>
          </w:tcPr>
          <w:p w14:paraId="5A85588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721F23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23F6C6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建立了安全生产费用管理制度，见《白银中天化工有限责任公司安全生产规章制度 》</w:t>
            </w:r>
          </w:p>
        </w:tc>
      </w:tr>
      <w:tr w14:paraId="1F63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D87F5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FC176E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0D002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2.企业应按照规定的安全生产费用使用范围，合理使用安全生产费用，建立安全生产费用台账。</w:t>
            </w:r>
          </w:p>
          <w:p w14:paraId="0C1F731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651D69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1.按照国家及地方规定合理使用安全生产费用；</w:t>
            </w:r>
          </w:p>
          <w:p w14:paraId="56BB73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2.建立安全生产费用台帐，载明安全生产费用使用情况。</w:t>
            </w:r>
          </w:p>
          <w:p w14:paraId="3628FD3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23068C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2BE94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1.安全生产费用管理制度；</w:t>
            </w:r>
          </w:p>
          <w:p w14:paraId="6E6E572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2.安全生产费用台帐。</w:t>
            </w:r>
          </w:p>
          <w:p w14:paraId="76E04B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3867D0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安全生产费用管理部门对安全生产费用使用情况。</w:t>
            </w:r>
          </w:p>
          <w:p w14:paraId="69B1B4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66B88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安全生产费用使用情况与台帐记录是否符合。</w:t>
            </w:r>
          </w:p>
        </w:tc>
        <w:tc>
          <w:tcPr>
            <w:tcW w:w="574" w:type="pct"/>
          </w:tcPr>
          <w:p w14:paraId="2147F8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93395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1.未规定安全生产费用使用范围，扣5分； </w:t>
            </w:r>
          </w:p>
          <w:p w14:paraId="6778B3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2.未建立安全生产费用台帐，扣2分；</w:t>
            </w:r>
          </w:p>
          <w:p w14:paraId="5527D3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3.安全生产费用台帐内容与规定要求不符，一项扣1分；</w:t>
            </w:r>
          </w:p>
          <w:p w14:paraId="63FE72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4.安全生产费用使用情况与台帐记录不符，一项扣1分。</w:t>
            </w:r>
          </w:p>
        </w:tc>
        <w:tc>
          <w:tcPr>
            <w:tcW w:w="132" w:type="pct"/>
            <w:vAlign w:val="center"/>
          </w:tcPr>
          <w:p w14:paraId="0AAD38F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575408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6C9F37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1.规定了安全生产费用使 用范围，见《安全投入保 障制度》。</w:t>
            </w:r>
          </w:p>
          <w:p w14:paraId="22B864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2.建立了安全生产费用台帐。</w:t>
            </w:r>
          </w:p>
        </w:tc>
      </w:tr>
      <w:tr w14:paraId="68EB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6" w:type="pct"/>
            <w:vMerge w:val="continue"/>
          </w:tcPr>
          <w:p w14:paraId="500EC0C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B6F30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Merge w:val="restart"/>
          </w:tcPr>
          <w:p w14:paraId="3CF415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3.企业应依法参加工伤保险或安全责任险，为从业人员缴纳保险费。</w:t>
            </w:r>
          </w:p>
        </w:tc>
        <w:tc>
          <w:tcPr>
            <w:tcW w:w="710" w:type="pct"/>
          </w:tcPr>
          <w:p w14:paraId="3D8AAF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依法参加工伤保险，为全体从业人员缴纳保险费。</w:t>
            </w:r>
          </w:p>
        </w:tc>
        <w:tc>
          <w:tcPr>
            <w:tcW w:w="642" w:type="pct"/>
          </w:tcPr>
          <w:p w14:paraId="604254C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BF4EA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企业为从业人员交纳保险凭证。</w:t>
            </w:r>
          </w:p>
        </w:tc>
        <w:tc>
          <w:tcPr>
            <w:tcW w:w="574" w:type="pct"/>
          </w:tcPr>
          <w:p w14:paraId="407891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0F7BD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未参加工伤社会保险，扣5分；每漏缴工伤保险费1人次扣1分。</w:t>
            </w:r>
          </w:p>
        </w:tc>
        <w:tc>
          <w:tcPr>
            <w:tcW w:w="132" w:type="pct"/>
            <w:vAlign w:val="center"/>
          </w:tcPr>
          <w:p w14:paraId="7B57FD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A18FAA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50C846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已依法为从业人员缴纳工伤保险费，见员工工伤保险费用缴纳凭证。</w:t>
            </w:r>
          </w:p>
          <w:p w14:paraId="6F9F92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已购买安全生产责任保 险，见安全生产责任保险 保单。</w:t>
            </w:r>
          </w:p>
        </w:tc>
      </w:tr>
      <w:tr w14:paraId="3D48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6" w:type="pct"/>
            <w:vMerge w:val="continue"/>
          </w:tcPr>
          <w:p w14:paraId="3AECA94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ACA933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Merge w:val="continue"/>
          </w:tcPr>
          <w:p w14:paraId="0AA330F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4DFADF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实行全员安全风险抵押金制度或安全责任保险。</w:t>
            </w:r>
          </w:p>
        </w:tc>
        <w:tc>
          <w:tcPr>
            <w:tcW w:w="642" w:type="pct"/>
          </w:tcPr>
          <w:p w14:paraId="7F6362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CD22A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风险抵押金或安全责任保险考核记录。</w:t>
            </w:r>
          </w:p>
        </w:tc>
        <w:tc>
          <w:tcPr>
            <w:tcW w:w="574" w:type="pct"/>
          </w:tcPr>
          <w:p w14:paraId="7CFC9E8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FE8701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3123769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B9E7A8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4FC1079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06C4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256" w:type="pct"/>
            <w:vMerge w:val="restart"/>
          </w:tcPr>
          <w:p w14:paraId="0D31E7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w:t>
            </w:r>
          </w:p>
          <w:p w14:paraId="6EECB0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风险管理</w:t>
            </w:r>
          </w:p>
          <w:p w14:paraId="786ED1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13DC17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C422A2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3E6D2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D1CCC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2E6E7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339DC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668CA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96A357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F79E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994C0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CD04E6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53C2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FE92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53B6B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99C67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BBB3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4B3F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A1330E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34BB75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F4EFC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AA4C11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28500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90EF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32273D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B0659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A12C08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928C6C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34F7AE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E3EA1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DD4F2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6FFAC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E869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FFA05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0599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333A0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706C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C1AEA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36803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E9E40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66889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8EF77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94419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348E1A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A80A06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610F5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7FD7A0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744774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5F4E6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91F72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0FB616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DE3A1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CDCED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63628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0358B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7D0CD4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7B36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8DE5F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DA993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72060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3933C3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F8683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01B64B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7723F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152DE4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2573A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DA7612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21F34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0D9D6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7ABEF2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1157C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5728BC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1C5D63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2FCC5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6A54D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521F1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7B84D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93C804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0510A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C10984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94D3F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AE688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E2C850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7B37D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7146D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F0E99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CB747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F6B3F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39F3D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C8F2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EC18B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5EBEF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9028C9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54856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BFEEE8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19FD6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93754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4D40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2B381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CEE55A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F12F3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EAFC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22532E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A26CE8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41B592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F2186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9D1A5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167D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0DE25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4881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58D3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CCAB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FC8095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8FBEE6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5B3D50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09788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985222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834916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C6CEB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A81A32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0318F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CDA4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4E8ED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41803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F139B0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51E1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5FD2F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F00FE0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762AA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4C7B0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FB25DD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C7651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8E71A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D7EDE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2ED2B2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C7AA3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3.1 范围与评价方法</w:t>
            </w:r>
          </w:p>
          <w:p w14:paraId="6EDB22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p w14:paraId="169F30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83AF9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104A9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92F1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E0264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DDB49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8FCC8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E46AC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0C5B3C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FC7D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D62BF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33CB7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36F84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03E87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98374E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113A8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ED64E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1.企业应组织制定风险评价管理制度，明确风险评价的目的、范围和准则。</w:t>
            </w:r>
          </w:p>
        </w:tc>
        <w:tc>
          <w:tcPr>
            <w:tcW w:w="710" w:type="pct"/>
          </w:tcPr>
          <w:p w14:paraId="6DC3FE3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1.制定风险评价管理制度，并明确风险评价的目的、范围、频次、准则及工作程序；</w:t>
            </w:r>
          </w:p>
          <w:p w14:paraId="0CA41F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2.明确各部门及有关人员在开展风险评价过程中的职责和任务。</w:t>
            </w:r>
          </w:p>
        </w:tc>
        <w:tc>
          <w:tcPr>
            <w:tcW w:w="642" w:type="pct"/>
          </w:tcPr>
          <w:p w14:paraId="0B4652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F48FD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风险评价管理制度，各部门和有关人员的职责与任务。</w:t>
            </w:r>
          </w:p>
          <w:p w14:paraId="42CEBD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4DDD9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1.企业负责人组织开展风险评价工作的情况；</w:t>
            </w:r>
          </w:p>
          <w:p w14:paraId="491060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2.从业人员是否了解风险评价制度的有关内容。</w:t>
            </w:r>
          </w:p>
        </w:tc>
        <w:tc>
          <w:tcPr>
            <w:tcW w:w="574" w:type="pct"/>
          </w:tcPr>
          <w:p w14:paraId="3007E1C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ED54D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1.未制定风险评价管理制度，或未明确风险评价的目的、频次、准则及工作程序，一项不符合扣1分；</w:t>
            </w:r>
          </w:p>
          <w:p w14:paraId="2DF393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2.未明确各部门及有关人员的职责和任务，一项不符合扣1分；</w:t>
            </w:r>
          </w:p>
          <w:p w14:paraId="1F61B3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3.企业负责人没有组织开展风险评价工作，或不了解风险评价工作情况，一项不符合扣2分；</w:t>
            </w:r>
          </w:p>
          <w:p w14:paraId="2BED56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4.从业人员不了解风险评价制度内容，1人次扣1分。</w:t>
            </w:r>
          </w:p>
        </w:tc>
        <w:tc>
          <w:tcPr>
            <w:tcW w:w="132" w:type="pct"/>
            <w:vAlign w:val="center"/>
          </w:tcPr>
          <w:p w14:paraId="12BFF1D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0B92C3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0EF7986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1、制定有风险评价管理制度，见《风险评价安全管理制度》QIJ-SE-26</w:t>
            </w:r>
          </w:p>
          <w:p w14:paraId="175DFA9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2、明确有风险评价的目的、范围、频次及工作程序。</w:t>
            </w:r>
          </w:p>
          <w:p w14:paraId="458453B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 明确有各部门及有关人员的职责和任务 ，见《风险评价安全管理制度》QIJ-SE-26</w:t>
            </w:r>
          </w:p>
          <w:p w14:paraId="68C740F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4.公司负责人组织开展了风险评价工作，了解风险评价工作情况。</w:t>
            </w:r>
          </w:p>
          <w:p w14:paraId="21B0CC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5、现场抽查5人</w:t>
            </w:r>
            <w:r>
              <w:rPr>
                <w:rFonts w:hint="eastAsia" w:ascii="仿宋" w:hAnsi="仿宋" w:eastAsia="仿宋" w:cs="仿宋"/>
                <w:sz w:val="18"/>
              </w:rPr>
              <w:t>不了解风险评价制度内容，扣</w:t>
            </w:r>
            <w:r>
              <w:rPr>
                <w:rFonts w:hint="eastAsia" w:ascii="仿宋" w:hAnsi="仿宋" w:eastAsia="仿宋" w:cs="仿宋"/>
                <w:sz w:val="18"/>
                <w:lang w:val="en-US" w:eastAsia="zh-CN"/>
              </w:rPr>
              <w:t>5</w:t>
            </w:r>
            <w:r>
              <w:rPr>
                <w:rFonts w:hint="eastAsia" w:ascii="仿宋" w:hAnsi="仿宋" w:eastAsia="仿宋" w:cs="仿宋"/>
                <w:sz w:val="18"/>
              </w:rPr>
              <w:t>分。</w:t>
            </w:r>
          </w:p>
        </w:tc>
      </w:tr>
      <w:tr w14:paraId="66D4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A26B40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1EB92F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4E380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2.企业风险评价的范围应包括:</w:t>
            </w:r>
          </w:p>
          <w:p w14:paraId="413CCB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（1）规划、设计和建设、投产、运行等阶段；</w:t>
            </w:r>
          </w:p>
          <w:p w14:paraId="52FC8C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（2）常规和非常规活动；</w:t>
            </w:r>
          </w:p>
          <w:p w14:paraId="263A8D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（3）事故及潜在的紧急情况；</w:t>
            </w:r>
          </w:p>
          <w:p w14:paraId="318515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（4）所有进入作业场所人员的活动；</w:t>
            </w:r>
          </w:p>
          <w:p w14:paraId="770FFA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（5）原材料、产品的运输和使用过程；</w:t>
            </w:r>
          </w:p>
          <w:p w14:paraId="3F04D2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（6）作业场所的设施、设备、车辆、安全防护用品；</w:t>
            </w:r>
          </w:p>
          <w:p w14:paraId="49CF2B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（7）丢弃、废弃、拆除与处置；</w:t>
            </w:r>
          </w:p>
          <w:p w14:paraId="371C03D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（8）企业周围环境；</w:t>
            </w:r>
          </w:p>
          <w:p w14:paraId="658469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（9）气候、地震及其他自然灾害等。</w:t>
            </w:r>
          </w:p>
        </w:tc>
        <w:tc>
          <w:tcPr>
            <w:tcW w:w="710" w:type="pct"/>
          </w:tcPr>
          <w:p w14:paraId="1243B58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风险评价范围满足标准要求。</w:t>
            </w:r>
          </w:p>
          <w:p w14:paraId="736A88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73CAED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AC198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1.风险评价记录；</w:t>
            </w:r>
          </w:p>
          <w:p w14:paraId="5EC454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2.风险评价管理制度。</w:t>
            </w:r>
          </w:p>
          <w:p w14:paraId="32E875D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53DCEB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F4920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风险评价范围不符合标准要求，一项扣1分。</w:t>
            </w:r>
          </w:p>
        </w:tc>
        <w:tc>
          <w:tcPr>
            <w:tcW w:w="132" w:type="pct"/>
            <w:vAlign w:val="center"/>
          </w:tcPr>
          <w:p w14:paraId="574EDB5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F12DAD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089529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风险评价范围全面，见</w:t>
            </w:r>
            <w:r>
              <w:rPr>
                <w:rFonts w:hint="eastAsia" w:ascii="仿宋" w:hAnsi="仿宋" w:eastAsia="仿宋" w:cs="仿宋"/>
                <w:sz w:val="18"/>
                <w:lang w:val="en-US" w:eastAsia="zh-CN"/>
              </w:rPr>
              <w:t>安全</w:t>
            </w:r>
            <w:r>
              <w:rPr>
                <w:rFonts w:hint="eastAsia" w:ascii="仿宋" w:hAnsi="仿宋" w:eastAsia="仿宋" w:cs="仿宋"/>
                <w:sz w:val="18"/>
              </w:rPr>
              <w:t>风险分级管控及隐患排查治理</w:t>
            </w:r>
            <w:r>
              <w:rPr>
                <w:rFonts w:hint="eastAsia" w:ascii="仿宋" w:hAnsi="仿宋" w:eastAsia="仿宋" w:cs="仿宋"/>
                <w:sz w:val="18"/>
                <w:lang w:val="en-US" w:eastAsia="zh-CN"/>
              </w:rPr>
              <w:t>双重预防机制手册</w:t>
            </w:r>
            <w:r>
              <w:rPr>
                <w:rFonts w:hint="eastAsia" w:ascii="仿宋" w:hAnsi="仿宋" w:eastAsia="仿宋" w:cs="仿宋"/>
                <w:sz w:val="18"/>
              </w:rPr>
              <w:t>。</w:t>
            </w:r>
          </w:p>
        </w:tc>
      </w:tr>
      <w:tr w14:paraId="2298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256" w:type="pct"/>
            <w:vMerge w:val="continue"/>
          </w:tcPr>
          <w:p w14:paraId="0657747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4169BB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DF9A9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3.企业可根据需要，选择科学、有效、可行的风险评价方法。常用的评价方法有：</w:t>
            </w:r>
          </w:p>
          <w:p w14:paraId="723E3B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（1）工作危害分析（JHA）；</w:t>
            </w:r>
          </w:p>
          <w:p w14:paraId="0FEB0C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（2）安全检查表分析（SCL）；</w:t>
            </w:r>
          </w:p>
          <w:p w14:paraId="0E7E29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（3）预危险性分析（PHA）；</w:t>
            </w:r>
          </w:p>
          <w:p w14:paraId="469626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（4）危险与可操作性分析（HAZOP）；</w:t>
            </w:r>
          </w:p>
          <w:p w14:paraId="590499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（5）失效模式与影响分析（FMEA）；</w:t>
            </w:r>
          </w:p>
          <w:p w14:paraId="7971F4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（6）故障树分析（FTA）；</w:t>
            </w:r>
          </w:p>
          <w:p w14:paraId="45F0D1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（7）事件树分析（ETA）；</w:t>
            </w:r>
          </w:p>
          <w:p w14:paraId="066C7C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（8）作业条件危险性分析（LEC）等方法。</w:t>
            </w:r>
          </w:p>
        </w:tc>
        <w:tc>
          <w:tcPr>
            <w:tcW w:w="710" w:type="pct"/>
          </w:tcPr>
          <w:p w14:paraId="60356F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1.可选用JHA法对作业活动、SCL法对设备设施（安全生产条件）进行危险、有害因素识别和风险评价；</w:t>
            </w:r>
          </w:p>
          <w:p w14:paraId="4B01D8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2.可选用HAZOP法对危险性工艺进行危险、有害因素识别和风险评价；</w:t>
            </w:r>
          </w:p>
          <w:p w14:paraId="267FE9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3.选用其他方法对相关方面进行危险、有害因素识别和风险评价。</w:t>
            </w:r>
          </w:p>
        </w:tc>
        <w:tc>
          <w:tcPr>
            <w:tcW w:w="642" w:type="pct"/>
          </w:tcPr>
          <w:p w14:paraId="17CEC1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8541A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1.风险管理制度；</w:t>
            </w:r>
          </w:p>
          <w:p w14:paraId="4C67A2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2.风险评价记录；</w:t>
            </w:r>
          </w:p>
          <w:p w14:paraId="6DBEB1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3.选用的风险评价方法。</w:t>
            </w:r>
          </w:p>
          <w:p w14:paraId="71D177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E4775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有关人员对风险评价方法的掌握和运用情况。</w:t>
            </w:r>
          </w:p>
        </w:tc>
        <w:tc>
          <w:tcPr>
            <w:tcW w:w="574" w:type="pct"/>
          </w:tcPr>
          <w:p w14:paraId="25B9CF1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63806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1.未规定选用何种风险评价方法，扣2分；</w:t>
            </w:r>
          </w:p>
          <w:p w14:paraId="3FD508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2.有关人员不清楚或未掌握选定的风险评价方法，1人次扣1分。</w:t>
            </w:r>
          </w:p>
        </w:tc>
        <w:tc>
          <w:tcPr>
            <w:tcW w:w="132" w:type="pct"/>
            <w:vAlign w:val="center"/>
          </w:tcPr>
          <w:p w14:paraId="657F883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7D21DAB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1E564C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1.规定采用作业条件危险性分析法、风险矩阵等风险评价，见安全风险分级管控及隐患排查治理双重预防机制手册。</w:t>
            </w:r>
          </w:p>
          <w:p w14:paraId="456A2C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2.经现场检查，1 人不清楚选定的风险评价方法，扣 1 分。</w:t>
            </w:r>
          </w:p>
        </w:tc>
      </w:tr>
      <w:tr w14:paraId="78E3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256" w:type="pct"/>
            <w:vMerge w:val="continue"/>
          </w:tcPr>
          <w:p w14:paraId="514EC7C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2BB68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C77F2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4.企业应依据以下内容制定风险评价准则：</w:t>
            </w:r>
          </w:p>
          <w:p w14:paraId="1D80A0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1）有关安全生产法律、法规；</w:t>
            </w:r>
          </w:p>
          <w:p w14:paraId="46DF0E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2）设计规范、技术标准；</w:t>
            </w:r>
          </w:p>
          <w:p w14:paraId="42DDB0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3）企业的安全管理标准、技术标准；</w:t>
            </w:r>
          </w:p>
          <w:p w14:paraId="40BBC0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4）企业的安全生产方针和目标等。</w:t>
            </w:r>
          </w:p>
        </w:tc>
        <w:tc>
          <w:tcPr>
            <w:tcW w:w="710" w:type="pct"/>
          </w:tcPr>
          <w:p w14:paraId="5D3655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1.根据企业的实际情况制定风险评价准则；</w:t>
            </w:r>
          </w:p>
          <w:p w14:paraId="63B39C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2.评价准则应符合有关标准规范规定；</w:t>
            </w:r>
          </w:p>
          <w:p w14:paraId="5DADFA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3.评价准则应包括事件发生可能性、严重性的取值标准以及风险等级的评定标准。</w:t>
            </w:r>
          </w:p>
        </w:tc>
        <w:tc>
          <w:tcPr>
            <w:tcW w:w="642" w:type="pct"/>
          </w:tcPr>
          <w:p w14:paraId="5981D4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FFFBA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风险管理制度、风险评价准则和相关取值标准的内容。</w:t>
            </w:r>
          </w:p>
          <w:p w14:paraId="6C615D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41EFA6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3D9BE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1.未根据实际制定风险评价准则，扣2分；</w:t>
            </w:r>
          </w:p>
          <w:p w14:paraId="131F5D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2.风险评价准则不符合标准规定，一项扣1分。</w:t>
            </w:r>
          </w:p>
          <w:p w14:paraId="2CCA95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3.风险评价涉及的事件发生可能性、严重性的取值标准不明确，或风险等级评定标准不明确，一项扣2分。</w:t>
            </w:r>
          </w:p>
        </w:tc>
        <w:tc>
          <w:tcPr>
            <w:tcW w:w="132" w:type="pct"/>
            <w:vAlign w:val="center"/>
          </w:tcPr>
          <w:p w14:paraId="649D35F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52" w:type="pct"/>
            <w:vAlign w:val="center"/>
          </w:tcPr>
          <w:p w14:paraId="5950FD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851" w:type="pct"/>
          </w:tcPr>
          <w:p w14:paraId="5DED3C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1.制定有风险评价的准则，见风险分级管控及隐患排查治理实施指南。</w:t>
            </w:r>
          </w:p>
          <w:p w14:paraId="20F461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2.风险评价准则符合标准规定。</w:t>
            </w:r>
          </w:p>
          <w:p w14:paraId="3189B4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3.风险评价涉及的事件发生可能性、严重性的取值标准明确</w:t>
            </w:r>
            <w:r>
              <w:rPr>
                <w:rFonts w:hint="eastAsia" w:ascii="仿宋" w:hAnsi="仿宋" w:eastAsia="仿宋" w:cs="仿宋"/>
                <w:sz w:val="18"/>
                <w:lang w:eastAsia="zh-CN"/>
              </w:rPr>
              <w:t>，</w:t>
            </w:r>
            <w:r>
              <w:rPr>
                <w:rFonts w:hint="eastAsia" w:ascii="仿宋" w:hAnsi="仿宋" w:eastAsia="仿宋" w:cs="仿宋"/>
                <w:sz w:val="18"/>
              </w:rPr>
              <w:t>风险等级评定标准明确，见安全风险分级管控及隐患排查治理双重预防机制手册。</w:t>
            </w:r>
          </w:p>
        </w:tc>
      </w:tr>
      <w:tr w14:paraId="6EC1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62D3B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4C30DE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3.2</w:t>
            </w:r>
          </w:p>
          <w:p w14:paraId="1F5726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w:t>
            </w:r>
          </w:p>
          <w:p w14:paraId="0713A5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tcPr>
          <w:p w14:paraId="30D2F1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依据风险评价准则，选定合适的评价方法，定期和及时对作业活动和设备设施进行危险、有害因素识别和风险评价。企业在进行风险评价时，应从影响人、财产和环境等三个方面的可能性和严重程度分析。</w:t>
            </w:r>
          </w:p>
        </w:tc>
        <w:tc>
          <w:tcPr>
            <w:tcW w:w="710" w:type="pct"/>
          </w:tcPr>
          <w:p w14:paraId="2C7A5E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1.建立作业活动清单和设备、设施清单；</w:t>
            </w:r>
          </w:p>
          <w:p w14:paraId="160674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2.根据规定的频次和时机，开展危险、有害因素辨识、风险评价；</w:t>
            </w:r>
          </w:p>
          <w:p w14:paraId="254B4C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3.从影响人、财产和环境等三个方面的可能性和严重性进行评价。</w:t>
            </w:r>
          </w:p>
        </w:tc>
        <w:tc>
          <w:tcPr>
            <w:tcW w:w="642" w:type="pct"/>
          </w:tcPr>
          <w:p w14:paraId="18ECA7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52DBB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1.作业活动清单、设备、设施清单； </w:t>
            </w:r>
          </w:p>
          <w:p w14:paraId="1B6BE4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2.风险评价记录；</w:t>
            </w:r>
          </w:p>
          <w:p w14:paraId="3CA7E3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3.风险评价报告。</w:t>
            </w:r>
          </w:p>
          <w:p w14:paraId="5AC241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1702F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从业人员参与风险评价活动的情况。</w:t>
            </w:r>
          </w:p>
        </w:tc>
        <w:tc>
          <w:tcPr>
            <w:tcW w:w="574" w:type="pct"/>
          </w:tcPr>
          <w:p w14:paraId="1AEFC3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未按规定的频次和时机开展风险评价，扣10分（B级要素否决项）。</w:t>
            </w:r>
          </w:p>
        </w:tc>
        <w:tc>
          <w:tcPr>
            <w:tcW w:w="716" w:type="pct"/>
          </w:tcPr>
          <w:p w14:paraId="1DA764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1.未建立作业活动清单、设备设施清单，每一项不符合扣1分； </w:t>
            </w:r>
          </w:p>
          <w:p w14:paraId="0DC140C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2.危险、有害因素识别、评价不全面或不正确，一项扣1分。</w:t>
            </w:r>
          </w:p>
        </w:tc>
        <w:tc>
          <w:tcPr>
            <w:tcW w:w="132" w:type="pct"/>
            <w:vAlign w:val="center"/>
          </w:tcPr>
          <w:p w14:paraId="5CC7132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72EDA11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79C249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1.建立有作业活动清单和设备设施清单，见安全风险分级管控及隐患排查治理双重预防机制手册。</w:t>
            </w:r>
          </w:p>
          <w:p w14:paraId="0FA4F9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2.根据规定的频次和时机，开展危险、有害因素 辨识、风险评价，见安全风险分级管控及隐患排查治理双重预防机制手册。</w:t>
            </w:r>
          </w:p>
          <w:p w14:paraId="083FC0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3.从影响人、财产和环境等三个方面的可能性和严重性进行评价，见安全风险分级管控及隐患排查治理双重预防机制手册。</w:t>
            </w:r>
          </w:p>
        </w:tc>
      </w:tr>
      <w:tr w14:paraId="7B3A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874B0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B24E44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F40B9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2.企业各级管理人员应参与风险评价工作，鼓励从业人员积极参与风险评价和风险控制。</w:t>
            </w:r>
          </w:p>
        </w:tc>
        <w:tc>
          <w:tcPr>
            <w:tcW w:w="710" w:type="pct"/>
          </w:tcPr>
          <w:p w14:paraId="2977E8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1.厂级评价组织应有企业负责人参加；</w:t>
            </w:r>
          </w:p>
          <w:p w14:paraId="5887B8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2.车间级评价组织应有车间负责人参加；</w:t>
            </w:r>
          </w:p>
          <w:p w14:paraId="241CF5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3.所有从业人员应参与风险评价和风险控制。</w:t>
            </w:r>
          </w:p>
        </w:tc>
        <w:tc>
          <w:tcPr>
            <w:tcW w:w="642" w:type="pct"/>
          </w:tcPr>
          <w:p w14:paraId="1B9267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DCD0C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1.各级机构组织开展风险评价的有关文件；</w:t>
            </w:r>
          </w:p>
          <w:p w14:paraId="09EC44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2.风险分析记录、风险评价报告；</w:t>
            </w:r>
          </w:p>
          <w:p w14:paraId="513E43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3.风险评价有关会议记录或纪要。</w:t>
            </w:r>
          </w:p>
          <w:p w14:paraId="34100B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89492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有关企业负责人及从业人员是否参与风险评价工作。</w:t>
            </w:r>
          </w:p>
        </w:tc>
        <w:tc>
          <w:tcPr>
            <w:tcW w:w="574" w:type="pct"/>
          </w:tcPr>
          <w:p w14:paraId="6F65D24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9A20F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1.没有组织开展风险评价的文件，一项扣2分；</w:t>
            </w:r>
          </w:p>
          <w:p w14:paraId="5E7F97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2.各级管理人员及从业人员未参与风险评价工作，1人次扣1分。</w:t>
            </w:r>
          </w:p>
        </w:tc>
        <w:tc>
          <w:tcPr>
            <w:tcW w:w="132" w:type="pct"/>
            <w:vAlign w:val="center"/>
          </w:tcPr>
          <w:p w14:paraId="6D6A950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1968E8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79A2D45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p>
          <w:p w14:paraId="3EAA7C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1、经抽查2名</w:t>
            </w:r>
            <w:r>
              <w:rPr>
                <w:rFonts w:hint="eastAsia" w:ascii="仿宋" w:hAnsi="仿宋" w:eastAsia="仿宋" w:cs="仿宋"/>
                <w:sz w:val="18"/>
              </w:rPr>
              <w:t>管理人员未参与风险评价工作</w:t>
            </w:r>
          </w:p>
        </w:tc>
      </w:tr>
      <w:tr w14:paraId="1FC3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A6EF52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DBBBE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3.3</w:t>
            </w:r>
          </w:p>
          <w:p w14:paraId="5CB44F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风险控制</w:t>
            </w:r>
          </w:p>
          <w:p w14:paraId="2C9B4A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tc>
        <w:tc>
          <w:tcPr>
            <w:tcW w:w="719" w:type="pct"/>
          </w:tcPr>
          <w:p w14:paraId="74AE17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1.企业应根据风险评价结果及经营运行情况等，确定不可接受的风险，制定并落实控制措施，将风险尤其是重大风险控制在可以接受的程度。企业在选择风险控制措施时：</w:t>
            </w:r>
          </w:p>
          <w:p w14:paraId="420BAC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1）应考虑：</w:t>
            </w:r>
          </w:p>
          <w:p w14:paraId="7CDEB7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⑴可行性；</w:t>
            </w:r>
          </w:p>
          <w:p w14:paraId="25B6A8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⑵安全性；</w:t>
            </w:r>
          </w:p>
          <w:p w14:paraId="6C9C28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⑶可靠性。</w:t>
            </w:r>
          </w:p>
          <w:p w14:paraId="75D2AE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2）应包括：</w:t>
            </w:r>
          </w:p>
          <w:p w14:paraId="471515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⑴工程技术措施；</w:t>
            </w:r>
          </w:p>
          <w:p w14:paraId="28FF2A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⑵管理措施；</w:t>
            </w:r>
          </w:p>
          <w:p w14:paraId="2D172A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⑶培训教育措施；</w:t>
            </w:r>
          </w:p>
          <w:p w14:paraId="5B5FE8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⑷个体防护措施。</w:t>
            </w:r>
          </w:p>
        </w:tc>
        <w:tc>
          <w:tcPr>
            <w:tcW w:w="710" w:type="pct"/>
          </w:tcPr>
          <w:p w14:paraId="2E26D5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1.根据风险评价的结果，建立重大风险清单；</w:t>
            </w:r>
          </w:p>
          <w:p w14:paraId="124887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2.结合实际情况，确定优先顺序，制定措施消减风险，将风险控制在可以接受的程度；</w:t>
            </w:r>
          </w:p>
          <w:p w14:paraId="5F3601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3.风险控制措施符合标准要求。</w:t>
            </w:r>
          </w:p>
        </w:tc>
        <w:tc>
          <w:tcPr>
            <w:tcW w:w="642" w:type="pct"/>
          </w:tcPr>
          <w:p w14:paraId="35E857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8850A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1.重大风险清单；</w:t>
            </w:r>
          </w:p>
          <w:p w14:paraId="74E9A3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2.风险控制措施；</w:t>
            </w:r>
          </w:p>
          <w:p w14:paraId="5D85DE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3.风险评价记录，风险评价报告。</w:t>
            </w:r>
          </w:p>
          <w:p w14:paraId="690CC89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4DAC3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重大风险控制措施现场落实情况。</w:t>
            </w:r>
          </w:p>
        </w:tc>
        <w:tc>
          <w:tcPr>
            <w:tcW w:w="574" w:type="pct"/>
          </w:tcPr>
          <w:p w14:paraId="7BECD1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未将重大风险降到可以接受的程度，扣15分（B级否决项）。</w:t>
            </w:r>
          </w:p>
        </w:tc>
        <w:tc>
          <w:tcPr>
            <w:tcW w:w="716" w:type="pct"/>
          </w:tcPr>
          <w:p w14:paraId="525B01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1.未建立重大风险清单，扣1分；</w:t>
            </w:r>
          </w:p>
          <w:p w14:paraId="705D0D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2.风险控制措施缺乏针对性、可操作性和可靠性，一项扣1分。</w:t>
            </w:r>
          </w:p>
          <w:p w14:paraId="50F052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2E079CA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52" w:type="pct"/>
            <w:vAlign w:val="center"/>
          </w:tcPr>
          <w:p w14:paraId="5ADA737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851" w:type="pct"/>
          </w:tcPr>
          <w:p w14:paraId="4D9EF72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经过风险辨识，</w:t>
            </w:r>
            <w:r>
              <w:rPr>
                <w:rFonts w:hint="eastAsia" w:ascii="仿宋" w:hAnsi="仿宋" w:eastAsia="仿宋" w:cs="仿宋"/>
                <w:sz w:val="18"/>
                <w:lang w:val="en-US" w:eastAsia="zh-CN"/>
              </w:rPr>
              <w:t>无重大风险，已建立风险管控清单，</w:t>
            </w:r>
            <w:r>
              <w:rPr>
                <w:rFonts w:hint="eastAsia" w:ascii="仿宋" w:hAnsi="仿宋" w:eastAsia="仿宋" w:cs="仿宋"/>
                <w:sz w:val="18"/>
              </w:rPr>
              <w:t>见安全风险分级管控及隐患排查治理双重预防机制手册。</w:t>
            </w:r>
          </w:p>
        </w:tc>
      </w:tr>
      <w:tr w14:paraId="2116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49EC6B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805B17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70A1C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2.企业应将风险评价的结果及所采取的控制措施对从业人员进行宣传、培训，使其熟悉工作岗位和作业环境中存在的危险、有害因素，掌握、落实应采取的控制措施。</w:t>
            </w:r>
          </w:p>
        </w:tc>
        <w:tc>
          <w:tcPr>
            <w:tcW w:w="710" w:type="pct"/>
          </w:tcPr>
          <w:p w14:paraId="330D19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1.制定风险管理培训计划；</w:t>
            </w:r>
          </w:p>
          <w:p w14:paraId="78BF42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2.按计划开展宣传、培训。</w:t>
            </w:r>
          </w:p>
        </w:tc>
        <w:tc>
          <w:tcPr>
            <w:tcW w:w="642" w:type="pct"/>
          </w:tcPr>
          <w:p w14:paraId="732C6D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EACC0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1.风险管理培训教育计划；</w:t>
            </w:r>
          </w:p>
          <w:p w14:paraId="33CC1B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2.风险管理培训教育记录。</w:t>
            </w:r>
          </w:p>
          <w:p w14:paraId="763D29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FB407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从业人员是否知道本岗位的危险、有害因素及应采取的控制措施。</w:t>
            </w:r>
          </w:p>
        </w:tc>
        <w:tc>
          <w:tcPr>
            <w:tcW w:w="574" w:type="pct"/>
          </w:tcPr>
          <w:p w14:paraId="7B89A0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183FA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1.没有风险管理培训教育计划，或培训教育记录缺少风险评价内容，一项扣2分；</w:t>
            </w:r>
          </w:p>
          <w:p w14:paraId="0D2FC5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2.从业人员不了解本岗位风险及其控制措施，1人次扣2分。</w:t>
            </w:r>
          </w:p>
        </w:tc>
        <w:tc>
          <w:tcPr>
            <w:tcW w:w="132" w:type="pct"/>
            <w:vAlign w:val="center"/>
          </w:tcPr>
          <w:p w14:paraId="3805224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4413A3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65F4C7F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1.制定有风险管理培训计划，按计划开展宣传、培训，见2024年度安全教育培训计划。</w:t>
            </w:r>
          </w:p>
          <w:p w14:paraId="598A83C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2.经现场检查，1 人不了解本岗位风险及其控制措施，扣 2 分。</w:t>
            </w:r>
          </w:p>
        </w:tc>
      </w:tr>
      <w:tr w14:paraId="039E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6E625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08447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3.4</w:t>
            </w:r>
          </w:p>
          <w:p w14:paraId="58697E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隐患排查与治理（20分）</w:t>
            </w:r>
          </w:p>
          <w:p w14:paraId="371690C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2C004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1.企业应对风险评价出的隐患项目,下达隐患治理通知，限期治理，做到定治理措施、定负责人、定资金来源、定治理期限。企业应建立隐患治理台账。</w:t>
            </w:r>
          </w:p>
        </w:tc>
        <w:tc>
          <w:tcPr>
            <w:tcW w:w="710" w:type="pct"/>
          </w:tcPr>
          <w:p w14:paraId="03033C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1.建立隐患治理台账；</w:t>
            </w:r>
          </w:p>
          <w:p w14:paraId="4A1B03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2.对查出的每个隐患都下达隐患治理通知，明确责任人、治理时限；</w:t>
            </w:r>
          </w:p>
          <w:p w14:paraId="263596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3.重大隐患项目做到整改措施、责任、资金、时限和预案“五到位”；</w:t>
            </w:r>
          </w:p>
          <w:p w14:paraId="3384CC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4.按期完成隐患治理。</w:t>
            </w:r>
          </w:p>
          <w:p w14:paraId="6AA3D7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1FAE54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4DA8E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1.隐患治理制度；</w:t>
            </w:r>
          </w:p>
          <w:p w14:paraId="35FD2B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2.隐患治理台账； </w:t>
            </w:r>
          </w:p>
          <w:p w14:paraId="6E9807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3.隐患治理记录；</w:t>
            </w:r>
          </w:p>
          <w:p w14:paraId="15BF9E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4.重大隐患治理工作“五到位”落实情况。</w:t>
            </w:r>
          </w:p>
        </w:tc>
        <w:tc>
          <w:tcPr>
            <w:tcW w:w="574" w:type="pct"/>
          </w:tcPr>
          <w:p w14:paraId="3EF03E9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3B619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1.未建立隐患治理台账，扣5分；</w:t>
            </w:r>
          </w:p>
          <w:p w14:paraId="01E55B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2.未向相关部门下达隐患治理通知, 一项扣2分；</w:t>
            </w:r>
          </w:p>
          <w:p w14:paraId="466039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3.通知内容不符合要求，一项扣1分；</w:t>
            </w:r>
          </w:p>
          <w:p w14:paraId="5727262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4.重大隐患项目未做到“五到位”，一项扣1分；</w:t>
            </w:r>
          </w:p>
          <w:p w14:paraId="64FBFC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5.隐患项目未按期治理，一项扣5分。</w:t>
            </w:r>
          </w:p>
        </w:tc>
        <w:tc>
          <w:tcPr>
            <w:tcW w:w="132" w:type="pct"/>
            <w:vAlign w:val="center"/>
          </w:tcPr>
          <w:p w14:paraId="5B14544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1677445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7D9CD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建立有隐患治理台账，对查出的隐患下达隐患治理通知</w:t>
            </w:r>
            <w:r>
              <w:rPr>
                <w:rFonts w:hint="eastAsia" w:ascii="仿宋" w:hAnsi="仿宋" w:eastAsia="仿宋" w:cs="仿宋"/>
                <w:sz w:val="18"/>
                <w:lang w:eastAsia="zh-CN"/>
              </w:rPr>
              <w:t>，</w:t>
            </w:r>
            <w:r>
              <w:rPr>
                <w:rFonts w:hint="eastAsia" w:ascii="仿宋" w:hAnsi="仿宋" w:eastAsia="仿宋" w:cs="仿宋"/>
                <w:sz w:val="18"/>
              </w:rPr>
              <w:t>明确责任人、治理时限，按期完成隐患治 理，无重大隐患，见《隐患排查治理台账》。</w:t>
            </w:r>
          </w:p>
        </w:tc>
      </w:tr>
      <w:tr w14:paraId="3D0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F9063E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40F7FC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FCC68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2.企业应对确定的重大隐患项目建立档案，档案内容应包括：</w:t>
            </w:r>
          </w:p>
          <w:p w14:paraId="055C31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（1）评价报告与技术结论；</w:t>
            </w:r>
          </w:p>
          <w:p w14:paraId="6947F7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（2）评审意见；</w:t>
            </w:r>
          </w:p>
          <w:p w14:paraId="1FBD93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（3）隐患治理方案，包括资金概预算情况等；</w:t>
            </w:r>
          </w:p>
          <w:p w14:paraId="6451F2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（4）治理时间表和责任人；</w:t>
            </w:r>
          </w:p>
          <w:p w14:paraId="47DC3E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（5）竣工验收报告；</w:t>
            </w:r>
          </w:p>
          <w:p w14:paraId="38ED0D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（6）备案文件。</w:t>
            </w:r>
          </w:p>
        </w:tc>
        <w:tc>
          <w:tcPr>
            <w:tcW w:w="710" w:type="pct"/>
          </w:tcPr>
          <w:p w14:paraId="58AB23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建立重大隐患项目档案，包括隐患名称、标准要求内容及“五到位”等内容。</w:t>
            </w:r>
          </w:p>
        </w:tc>
        <w:tc>
          <w:tcPr>
            <w:tcW w:w="642" w:type="pct"/>
          </w:tcPr>
          <w:p w14:paraId="32A787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0FA3B7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重大隐患项目档案。</w:t>
            </w:r>
          </w:p>
        </w:tc>
        <w:tc>
          <w:tcPr>
            <w:tcW w:w="574" w:type="pct"/>
          </w:tcPr>
          <w:p w14:paraId="5FE371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76472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1.未建立重大隐患项目档案，扣5分；</w:t>
            </w:r>
          </w:p>
          <w:p w14:paraId="0E00A0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2.档案内容不全，缺一项扣2分。</w:t>
            </w:r>
          </w:p>
        </w:tc>
        <w:tc>
          <w:tcPr>
            <w:tcW w:w="132" w:type="pct"/>
            <w:vAlign w:val="center"/>
          </w:tcPr>
          <w:p w14:paraId="7B777A2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FFFA0E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041D2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依据《化工和危险化学品生产经营单位重大生产安全事故隐患判定标准 （试行）》判定，无重大隐患。</w:t>
            </w:r>
          </w:p>
        </w:tc>
      </w:tr>
      <w:tr w14:paraId="60CE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BB1D8F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7BEF03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6FB0B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3.企业无力解决的重大事故隐患，除应书面向企业直接主管部门和当地政府报告外，应采取有效防范措施。</w:t>
            </w:r>
          </w:p>
        </w:tc>
        <w:tc>
          <w:tcPr>
            <w:tcW w:w="710" w:type="pct"/>
          </w:tcPr>
          <w:p w14:paraId="39F809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1.暂时无力解决的重大事故隐患，应制定并落实有效的防范措施；</w:t>
            </w:r>
          </w:p>
          <w:p w14:paraId="75D3F4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2.书面向主管部门和当地政府、安全监管部门报告，报告要说明无力解决的原因和采取的防范措施。</w:t>
            </w:r>
          </w:p>
        </w:tc>
        <w:tc>
          <w:tcPr>
            <w:tcW w:w="642" w:type="pct"/>
          </w:tcPr>
          <w:p w14:paraId="08D1C3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EC16E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1.重大事故隐患的防范措施；</w:t>
            </w:r>
          </w:p>
          <w:p w14:paraId="041484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2.书面报告。</w:t>
            </w:r>
          </w:p>
        </w:tc>
        <w:tc>
          <w:tcPr>
            <w:tcW w:w="574" w:type="pct"/>
          </w:tcPr>
          <w:p w14:paraId="720325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未书面向主管部门和当地政府、安全监管部门报告扣20分（B级要素否决项）。</w:t>
            </w:r>
          </w:p>
        </w:tc>
        <w:tc>
          <w:tcPr>
            <w:tcW w:w="716" w:type="pct"/>
          </w:tcPr>
          <w:p w14:paraId="16F3A8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未采取有效防范措施，扣5分。</w:t>
            </w:r>
          </w:p>
        </w:tc>
        <w:tc>
          <w:tcPr>
            <w:tcW w:w="132" w:type="pct"/>
            <w:vAlign w:val="center"/>
          </w:tcPr>
          <w:p w14:paraId="13E6B86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152" w:type="pct"/>
            <w:vAlign w:val="center"/>
          </w:tcPr>
          <w:p w14:paraId="2CD9888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5EBF02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无重大事故隐患</w:t>
            </w:r>
          </w:p>
        </w:tc>
      </w:tr>
      <w:tr w14:paraId="73E4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256" w:type="pct"/>
            <w:vMerge w:val="continue"/>
          </w:tcPr>
          <w:p w14:paraId="6FCBE8D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6FCEE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51A92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4.企业对不具备整改条件的重大事故隐患，必须采取防范措施，并纳入计划，限期解决或停产。</w:t>
            </w:r>
          </w:p>
          <w:p w14:paraId="4388BD9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5B7CC3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1.不具备整改条件的重大事故隐患，必须采取防范措施；</w:t>
            </w:r>
          </w:p>
          <w:p w14:paraId="6B2B4A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2.纳入隐患整改计划，限期解决或停产；</w:t>
            </w:r>
          </w:p>
          <w:p w14:paraId="1DBAB0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3.书面向主管部门和当地政府、安全监管部门报告，报告要说明不具备整改条件的原因、整改计划和防范措施等。</w:t>
            </w:r>
          </w:p>
        </w:tc>
        <w:tc>
          <w:tcPr>
            <w:tcW w:w="642" w:type="pct"/>
          </w:tcPr>
          <w:p w14:paraId="411CA2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916C1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1.重大事故隐患的防范措施；</w:t>
            </w:r>
          </w:p>
          <w:p w14:paraId="39A778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2.隐患整改计划。</w:t>
            </w:r>
          </w:p>
          <w:p w14:paraId="712777E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5578C2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1．不具备整改条件的重大事故隐患，未采取防范措施，或未纳入计划，或未限期解决或停产，一项不符合扣20分（B级要素否决项）；</w:t>
            </w:r>
          </w:p>
          <w:p w14:paraId="0D8EA2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2．未书面向主管部门和当地政府、安全监管部门报告扣20分（B级要素否决项）。</w:t>
            </w:r>
          </w:p>
        </w:tc>
        <w:tc>
          <w:tcPr>
            <w:tcW w:w="716" w:type="pct"/>
          </w:tcPr>
          <w:p w14:paraId="37F396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1A1EE5A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152" w:type="pct"/>
            <w:vAlign w:val="center"/>
          </w:tcPr>
          <w:p w14:paraId="09EC823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C1FB6C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无重大事故隐患</w:t>
            </w:r>
          </w:p>
        </w:tc>
      </w:tr>
      <w:tr w14:paraId="5BBA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24167B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52409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3.5 重大危险源</w:t>
            </w:r>
          </w:p>
          <w:p w14:paraId="67A567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1AFC17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1.企业应按照GB18218辨识并确定重大危险源，建立重大危险源档案。</w:t>
            </w:r>
          </w:p>
        </w:tc>
        <w:tc>
          <w:tcPr>
            <w:tcW w:w="710" w:type="pct"/>
          </w:tcPr>
          <w:p w14:paraId="04A02B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1.按照GB18218辨识并确定重大危险源；</w:t>
            </w:r>
          </w:p>
          <w:p w14:paraId="74879D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重大危险源档案，包括：辨识、分级记录；重大危险源基本特征表；区域位置图、平面布置图、工艺流程图和主要设备一览表；重大危险源安全管理制度及安全操作规程；安全监测监控系统、措施说明；事故应急预案；安全评价报告或安全评估报告。</w:t>
            </w:r>
          </w:p>
        </w:tc>
        <w:tc>
          <w:tcPr>
            <w:tcW w:w="642" w:type="pct"/>
          </w:tcPr>
          <w:p w14:paraId="184B3C1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7CDB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B2C1E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1.重大危险源管理制度的建立和执行情况；</w:t>
            </w:r>
          </w:p>
          <w:p w14:paraId="5B0F39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2．安全评价报告或安全评估报告；</w:t>
            </w:r>
          </w:p>
          <w:p w14:paraId="66F3B9F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3.重大危险源档案。</w:t>
            </w:r>
          </w:p>
        </w:tc>
        <w:tc>
          <w:tcPr>
            <w:tcW w:w="574" w:type="pct"/>
          </w:tcPr>
          <w:p w14:paraId="38A92A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未建立重大危险源管理制度，或未辨识、确定重大危险源，扣100分（A级要素否决项）。 </w:t>
            </w:r>
          </w:p>
        </w:tc>
        <w:tc>
          <w:tcPr>
            <w:tcW w:w="716" w:type="pct"/>
          </w:tcPr>
          <w:p w14:paraId="3BB13E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1.每遗漏一处扣5分；</w:t>
            </w:r>
          </w:p>
          <w:p w14:paraId="5A599C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2.未建立重大危险源档案，扣5分；</w:t>
            </w:r>
          </w:p>
          <w:p w14:paraId="7BBA32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3.档案内容，每遗漏一项或一项不符合扣1分。</w:t>
            </w:r>
          </w:p>
          <w:p w14:paraId="53F18A6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23F5143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F4D83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44C59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1.制定有重大危险源管理制度，根据《危险化学品重大危险源辨识 》（GB18218-2018），开展了重大危险源辨识工作， 确定 </w:t>
            </w:r>
            <w:r>
              <w:rPr>
                <w:rFonts w:hint="eastAsia" w:ascii="仿宋" w:hAnsi="仿宋" w:eastAsia="仿宋" w:cs="仿宋"/>
                <w:sz w:val="18"/>
                <w:lang w:val="en-US" w:eastAsia="zh-CN"/>
              </w:rPr>
              <w:t>液氨罐区</w:t>
            </w:r>
            <w:r>
              <w:rPr>
                <w:rFonts w:hint="eastAsia" w:ascii="仿宋" w:hAnsi="仿宋" w:eastAsia="仿宋" w:cs="仿宋"/>
                <w:sz w:val="18"/>
              </w:rPr>
              <w:t>、均构成</w:t>
            </w:r>
            <w:r>
              <w:rPr>
                <w:rFonts w:hint="eastAsia" w:ascii="仿宋" w:hAnsi="仿宋" w:eastAsia="仿宋" w:cs="仿宋"/>
                <w:sz w:val="18"/>
                <w:lang w:val="en-US" w:eastAsia="zh-CN"/>
              </w:rPr>
              <w:t>三</w:t>
            </w:r>
            <w:r>
              <w:rPr>
                <w:rFonts w:hint="eastAsia" w:ascii="仿宋" w:hAnsi="仿宋" w:eastAsia="仿宋" w:cs="仿宋"/>
                <w:sz w:val="18"/>
              </w:rPr>
              <w:t>级重大危险源</w:t>
            </w:r>
            <w:r>
              <w:rPr>
                <w:rFonts w:hint="eastAsia" w:ascii="仿宋" w:hAnsi="仿宋" w:eastAsia="仿宋" w:cs="仿宋"/>
                <w:sz w:val="18"/>
                <w:lang w:eastAsia="zh-CN"/>
              </w:rPr>
              <w:t>，</w:t>
            </w:r>
            <w:r>
              <w:rPr>
                <w:rFonts w:hint="eastAsia" w:ascii="仿宋" w:hAnsi="仿宋" w:eastAsia="仿宋" w:cs="仿宋"/>
                <w:sz w:val="18"/>
                <w:lang w:val="en-US" w:eastAsia="zh-CN"/>
              </w:rPr>
              <w:t>双氧水原料罐区、1#车间双氧水生产装置各构成四级重大危险源</w:t>
            </w:r>
            <w:r>
              <w:rPr>
                <w:rFonts w:hint="eastAsia" w:ascii="仿宋" w:hAnsi="仿宋" w:eastAsia="仿宋" w:cs="仿宋"/>
                <w:sz w:val="18"/>
              </w:rPr>
              <w:t>，见《危险化学品重大危险源备案登记表》。</w:t>
            </w:r>
          </w:p>
          <w:p w14:paraId="11387B2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有重大危险源档案，档案包括辨识、分级记录；重大危险源基本特征表；区域位置图、平面布置图、工艺流程图和主要设备一览表；重大危险源安全管理制度及安全操作规程等内容，见重大危险源技术档案。</w:t>
            </w:r>
          </w:p>
        </w:tc>
      </w:tr>
      <w:tr w14:paraId="54B0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588C14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FB107D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22107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2.企业应按照有关规定对重大危险源设置安全监控报警系统。</w:t>
            </w:r>
          </w:p>
        </w:tc>
        <w:tc>
          <w:tcPr>
            <w:tcW w:w="710" w:type="pct"/>
          </w:tcPr>
          <w:p w14:paraId="76F2EAD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1.重大危险源涉及的压力、温度、液位、泄漏报警等重要参数的测量要有远传和连续记录；</w:t>
            </w:r>
          </w:p>
          <w:p w14:paraId="3F68B4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2.对毒性气体、剧毒液体和易燃气体等重点设施应设置紧急切断装置；</w:t>
            </w:r>
          </w:p>
          <w:p w14:paraId="0C1EB5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3.毒性气体应设置泄漏物紧急处置装置，独立的安全仪表系统；</w:t>
            </w:r>
          </w:p>
          <w:p w14:paraId="0CB744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4.设置必要的视频监控系统。</w:t>
            </w:r>
          </w:p>
        </w:tc>
        <w:tc>
          <w:tcPr>
            <w:tcW w:w="642" w:type="pct"/>
          </w:tcPr>
          <w:p w14:paraId="1AD889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3B09B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安全监控报警设施台账。</w:t>
            </w:r>
          </w:p>
          <w:p w14:paraId="608F22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3DEAB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1.重大危险源安全监控报警系统，重要参数远传和连续记录、视频监控系统等；</w:t>
            </w:r>
          </w:p>
          <w:p w14:paraId="1DE2F3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2.毒性气体、剧毒液体和易燃气体等重点设施紧急切断装置；</w:t>
            </w:r>
          </w:p>
          <w:p w14:paraId="36F96A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3.毒性气体泄漏物紧急处置装置及安全仪表系统</w:t>
            </w:r>
          </w:p>
        </w:tc>
        <w:tc>
          <w:tcPr>
            <w:tcW w:w="574" w:type="pct"/>
          </w:tcPr>
          <w:p w14:paraId="6FC669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64174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1.未按有关规定设置安全监控报警系统，一项不符合扣2分；安全监测监控报警系统不符合国家标准或行业标准，一项不符合扣2分；</w:t>
            </w:r>
          </w:p>
          <w:p w14:paraId="354CBB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2.毒性气体、剧毒液体和易燃气体等重点设施未设置紧急切断装置扣2分；</w:t>
            </w:r>
          </w:p>
          <w:p w14:paraId="68F15D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3.毒性气体未设置泄漏物紧急处置装置及独立的安全仪表系统，一项不符合扣2分。</w:t>
            </w:r>
          </w:p>
        </w:tc>
        <w:tc>
          <w:tcPr>
            <w:tcW w:w="132" w:type="pct"/>
            <w:vAlign w:val="center"/>
          </w:tcPr>
          <w:p w14:paraId="01CDAA8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67E970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59BD69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重大危险源设置有安全监控报警系统，符合相关标准，建立有安全监控报 警设施台账，压力、温度、 液位、泄漏报警等重要参数的测量有远传和连续记录。</w:t>
            </w:r>
            <w:r>
              <w:rPr>
                <w:rFonts w:hint="eastAsia" w:ascii="仿宋" w:hAnsi="仿宋" w:eastAsia="仿宋" w:cs="仿宋"/>
                <w:sz w:val="18"/>
                <w:lang w:val="en-US" w:eastAsia="zh-CN"/>
              </w:rPr>
              <w:t>液氨储罐配置了独立的安全仪表系统（SIS），设置了紧急切断装置、事故喷淋系统和视频监控系统。</w:t>
            </w:r>
          </w:p>
        </w:tc>
      </w:tr>
      <w:tr w14:paraId="4E5F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D39834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7B316E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8D655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3.企业应按照国家有关规定，定期对重大危险源进行安全评估。</w:t>
            </w:r>
          </w:p>
        </w:tc>
        <w:tc>
          <w:tcPr>
            <w:tcW w:w="710" w:type="pct"/>
          </w:tcPr>
          <w:p w14:paraId="5CEAC7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1.建立、明确定期评估的时限和要求等；</w:t>
            </w:r>
          </w:p>
          <w:p w14:paraId="1603FA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2.定期对重大危险源进行安全评估。</w:t>
            </w:r>
          </w:p>
        </w:tc>
        <w:tc>
          <w:tcPr>
            <w:tcW w:w="642" w:type="pct"/>
          </w:tcPr>
          <w:p w14:paraId="7C590A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CEB2D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1.重大危险源定期评估制；</w:t>
            </w:r>
          </w:p>
          <w:p w14:paraId="286E63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2.定期安全评估报告。</w:t>
            </w:r>
          </w:p>
        </w:tc>
        <w:tc>
          <w:tcPr>
            <w:tcW w:w="574" w:type="pct"/>
          </w:tcPr>
          <w:p w14:paraId="65783E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C7328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1.未建立重大危险源定期评估制度或要求，扣10分；</w:t>
            </w:r>
          </w:p>
          <w:p w14:paraId="394EBF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2．未按要求定期评估，扣10分；</w:t>
            </w:r>
          </w:p>
          <w:p w14:paraId="00D2B0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3.无重大危险源安全评估报告，扣2分。</w:t>
            </w:r>
          </w:p>
        </w:tc>
        <w:tc>
          <w:tcPr>
            <w:tcW w:w="132" w:type="pct"/>
            <w:vAlign w:val="center"/>
          </w:tcPr>
          <w:p w14:paraId="392B28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046B56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4A8FD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建立有重大危险源安全管理制度，定期对重大危险源进行安全评估 ，见《</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危险化学品重大 危险源评估报告》。</w:t>
            </w:r>
          </w:p>
        </w:tc>
      </w:tr>
      <w:tr w14:paraId="6702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46628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5BB75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F05A1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4.企业应对重大危险源的设备、设施定期检查、检验，并做好记录。</w:t>
            </w:r>
          </w:p>
        </w:tc>
        <w:tc>
          <w:tcPr>
            <w:tcW w:w="710" w:type="pct"/>
          </w:tcPr>
          <w:p w14:paraId="4516EF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1.定期检查、维护重大危险源的设备、设施，包括检测仪表、附属设备及配件；</w:t>
            </w:r>
          </w:p>
          <w:p w14:paraId="5C712E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2.按国家有关规定进行定期检测、检验，取得检验合格证。</w:t>
            </w:r>
          </w:p>
        </w:tc>
        <w:tc>
          <w:tcPr>
            <w:tcW w:w="642" w:type="pct"/>
          </w:tcPr>
          <w:p w14:paraId="24ED0C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940DA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1.重大危险源的设备、设施定期检查记录；</w:t>
            </w:r>
          </w:p>
          <w:p w14:paraId="3C302D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2.设备、设施的检验报告或检验合格证。</w:t>
            </w:r>
          </w:p>
          <w:p w14:paraId="08364A8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9B162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重大危险源的设备、设施的完整性和有效性。</w:t>
            </w:r>
          </w:p>
        </w:tc>
        <w:tc>
          <w:tcPr>
            <w:tcW w:w="574" w:type="pct"/>
          </w:tcPr>
          <w:p w14:paraId="1BA15E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重大危险源有重大事故隐患，且未采取安全防范措施的，扣100分，（A级要素否决项）。</w:t>
            </w:r>
          </w:p>
        </w:tc>
        <w:tc>
          <w:tcPr>
            <w:tcW w:w="716" w:type="pct"/>
          </w:tcPr>
          <w:p w14:paraId="007BEA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1.未定期检查、维护，扣2分；</w:t>
            </w:r>
          </w:p>
          <w:p w14:paraId="665CE6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2.未定期检验，1台次扣2分；检验不合格仍在使用，扣2分；</w:t>
            </w:r>
          </w:p>
          <w:p w14:paraId="57FA6A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3.无检验报告或检验合格证，1份扣2分。</w:t>
            </w:r>
          </w:p>
          <w:p w14:paraId="58FA3A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4.设备、设施完整性或有效性一处不符合，扣2分。</w:t>
            </w:r>
          </w:p>
        </w:tc>
        <w:tc>
          <w:tcPr>
            <w:tcW w:w="132" w:type="pct"/>
            <w:vAlign w:val="center"/>
          </w:tcPr>
          <w:p w14:paraId="235E010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2A9507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FBB94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1.定期检查、维护重大危险源的设备、设施，包括检测仪表、附属设备及配件，见《重大危险源安全 设施维护记录》。</w:t>
            </w:r>
          </w:p>
          <w:p w14:paraId="2DA2B2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w:t>
            </w:r>
            <w:r>
              <w:rPr>
                <w:rFonts w:hint="eastAsia" w:ascii="仿宋" w:hAnsi="仿宋" w:eastAsia="仿宋" w:cs="仿宋"/>
                <w:sz w:val="18"/>
                <w:lang w:val="en-US" w:eastAsia="zh-CN"/>
              </w:rPr>
              <w:t>安全阀、压力表等</w:t>
            </w:r>
            <w:r>
              <w:rPr>
                <w:rFonts w:hint="eastAsia" w:ascii="仿宋" w:hAnsi="仿宋" w:eastAsia="仿宋" w:cs="仿宋"/>
                <w:sz w:val="18"/>
              </w:rPr>
              <w:t>按国家有关规定进行定期检测、检验，取得检验报告，检验结果均合格。</w:t>
            </w:r>
          </w:p>
        </w:tc>
      </w:tr>
      <w:tr w14:paraId="3118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5BB221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3A65BA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4157A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5.企业应制定重大危险源应急救援预案，配备必要的救援器材、装备，每年至少进行1次重大危险源应急救援预案演练。</w:t>
            </w:r>
          </w:p>
        </w:tc>
        <w:tc>
          <w:tcPr>
            <w:tcW w:w="710" w:type="pct"/>
          </w:tcPr>
          <w:p w14:paraId="38CB8C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1.按要求编制重大危险源应急救援预案；</w:t>
            </w:r>
          </w:p>
          <w:p w14:paraId="18CD8B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2.根据重大危险源的危险特性配备必要的救援器材、装备；</w:t>
            </w:r>
          </w:p>
          <w:p w14:paraId="2553CF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3.涉及吸入性有毒、有害气体的重大危险源，应配备便携式浓度检测设备、空气呼吸器、化学防护服、堵漏器材等；</w:t>
            </w:r>
          </w:p>
          <w:p w14:paraId="1A6F03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4.涉及剧毒气体的的重大危险源，应配备两套以上气密性化学防护服；</w:t>
            </w:r>
          </w:p>
          <w:p w14:paraId="17FAE5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5.重大危险源应急救援预案演练按规定频次进行。</w:t>
            </w:r>
          </w:p>
        </w:tc>
        <w:tc>
          <w:tcPr>
            <w:tcW w:w="642" w:type="pct"/>
          </w:tcPr>
          <w:p w14:paraId="5E9BA4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147AA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1.重大危险源应急救援预案；</w:t>
            </w:r>
          </w:p>
          <w:p w14:paraId="56C1FB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2.重大危险源应急预案演练记录； </w:t>
            </w:r>
          </w:p>
          <w:p w14:paraId="33493B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3.应急救援器材台账。</w:t>
            </w:r>
          </w:p>
          <w:p w14:paraId="6F89A8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12F839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抽查有关人员对应急救援预案的掌握情况、对应急援救器材、装备使用情况。</w:t>
            </w:r>
          </w:p>
          <w:p w14:paraId="115CEE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5631D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应急救援器材、装备的现场状况。</w:t>
            </w:r>
          </w:p>
        </w:tc>
        <w:tc>
          <w:tcPr>
            <w:tcW w:w="574" w:type="pct"/>
          </w:tcPr>
          <w:p w14:paraId="0B2448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48019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1.没有重大危险源应急救援预案，扣2分；</w:t>
            </w:r>
          </w:p>
          <w:p w14:paraId="68C588C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2.救援器材装备不符合要求，一项扣2分；</w:t>
            </w:r>
          </w:p>
          <w:p w14:paraId="787B70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3.从业人员对应急救援预案不清楚，1人次扣2分。</w:t>
            </w:r>
          </w:p>
        </w:tc>
        <w:tc>
          <w:tcPr>
            <w:tcW w:w="132" w:type="pct"/>
            <w:vAlign w:val="center"/>
          </w:tcPr>
          <w:p w14:paraId="351FCFE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CE4BE2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57C26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1.制定有重大危险源应急救援预案，配备有必要的救援器材、装备，见《</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生产安全事故应急预 案》。</w:t>
            </w:r>
          </w:p>
          <w:p w14:paraId="65CACA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2.定期开展重大危险源应急救援预案演练，演练频次符合要求，演练记录完善，见《应急预案演练记录》。</w:t>
            </w:r>
          </w:p>
          <w:p w14:paraId="61148D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3.经现场检查，从业人员清楚应急救援预案内容。</w:t>
            </w:r>
          </w:p>
          <w:p w14:paraId="04BE82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r>
              <w:rPr>
                <w:rFonts w:hint="eastAsia" w:ascii="仿宋" w:hAnsi="仿宋" w:eastAsia="仿宋" w:cs="仿宋"/>
                <w:sz w:val="18"/>
              </w:rPr>
              <w:t>救援器材装备不符合要求</w:t>
            </w:r>
            <w:r>
              <w:rPr>
                <w:rFonts w:hint="eastAsia" w:ascii="仿宋" w:hAnsi="仿宋" w:eastAsia="仿宋" w:cs="仿宋"/>
                <w:sz w:val="18"/>
                <w:lang w:eastAsia="zh-CN"/>
              </w:rPr>
              <w:t>，</w:t>
            </w:r>
            <w:r>
              <w:rPr>
                <w:rFonts w:hint="eastAsia" w:ascii="仿宋" w:hAnsi="仿宋" w:eastAsia="仿宋" w:cs="仿宋"/>
                <w:sz w:val="18"/>
                <w:lang w:val="en-US" w:eastAsia="zh-CN"/>
              </w:rPr>
              <w:t>无堵漏器材。</w:t>
            </w:r>
          </w:p>
        </w:tc>
      </w:tr>
      <w:tr w14:paraId="0A06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93CB6E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6A7FF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4E517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6.企业应将重大危险源及相关安全措施、应急措施报送当地县级以上人民政府安全生产监督管理部门和有关部门备案。</w:t>
            </w:r>
          </w:p>
        </w:tc>
        <w:tc>
          <w:tcPr>
            <w:tcW w:w="710" w:type="pct"/>
          </w:tcPr>
          <w:p w14:paraId="59C707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重大危险源及相关安全措施、应急措施形成报告，报所在地县级人民政府安全生产监管部门和有关部门备案。</w:t>
            </w:r>
          </w:p>
        </w:tc>
        <w:tc>
          <w:tcPr>
            <w:tcW w:w="642" w:type="pct"/>
          </w:tcPr>
          <w:p w14:paraId="0BE8A0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07C07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备案资料。</w:t>
            </w:r>
          </w:p>
        </w:tc>
        <w:tc>
          <w:tcPr>
            <w:tcW w:w="574" w:type="pct"/>
          </w:tcPr>
          <w:p w14:paraId="752270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1B941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未备案或备案内容不符合要求，一项扣2分。</w:t>
            </w:r>
          </w:p>
        </w:tc>
        <w:tc>
          <w:tcPr>
            <w:tcW w:w="132" w:type="pct"/>
            <w:vAlign w:val="center"/>
          </w:tcPr>
          <w:p w14:paraId="7D07F51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BEC091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E60753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已备案</w:t>
            </w:r>
          </w:p>
        </w:tc>
      </w:tr>
      <w:tr w14:paraId="04AA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256" w:type="pct"/>
            <w:vMerge w:val="continue"/>
          </w:tcPr>
          <w:p w14:paraId="550AFCD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4751B7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F2368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7.企业重大危险源的防护距离应满足国家标准或规定。不符合国家标准或规定的，应采取切实可行的防范措施，并在规定期限内进行整改。</w:t>
            </w:r>
          </w:p>
        </w:tc>
        <w:tc>
          <w:tcPr>
            <w:tcW w:w="710" w:type="pct"/>
          </w:tcPr>
          <w:p w14:paraId="781BE3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1.危险化学品的生产装置和储存危险化学品数量构成重大危险源的储存设施的防护距离应满足国家规定要求；</w:t>
            </w:r>
          </w:p>
          <w:p w14:paraId="0940A7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2.防护距离不符合国家规定要求的，应采取切实可行的防范措施，并在规定期限内进行整改。</w:t>
            </w:r>
          </w:p>
        </w:tc>
        <w:tc>
          <w:tcPr>
            <w:tcW w:w="642" w:type="pct"/>
          </w:tcPr>
          <w:p w14:paraId="6102B6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44723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1.重大危险源安全评估报告；</w:t>
            </w:r>
          </w:p>
          <w:p w14:paraId="0B6B10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2.重大危险源防护距离存在问题的整改计划、措施，包括防范措施。</w:t>
            </w:r>
          </w:p>
          <w:p w14:paraId="79F8F9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D3B93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1.重大危险源现场测量防护距离；</w:t>
            </w:r>
          </w:p>
          <w:p w14:paraId="575CB5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2.重大危险源防范措施的落实情况。</w:t>
            </w:r>
          </w:p>
        </w:tc>
        <w:tc>
          <w:tcPr>
            <w:tcW w:w="574" w:type="pct"/>
          </w:tcPr>
          <w:p w14:paraId="13E821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防护距离不符合规定要求，且无防范措施，一处扣20分（B级要素否决项）；</w:t>
            </w:r>
          </w:p>
        </w:tc>
        <w:tc>
          <w:tcPr>
            <w:tcW w:w="716" w:type="pct"/>
          </w:tcPr>
          <w:p w14:paraId="3AB711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1.整改计划、措施不符合要求，一项扣2分；</w:t>
            </w:r>
          </w:p>
          <w:p w14:paraId="1A4EE5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2.未按期整改或防范措施不落实，一项扣4分。</w:t>
            </w:r>
          </w:p>
        </w:tc>
        <w:tc>
          <w:tcPr>
            <w:tcW w:w="132" w:type="pct"/>
            <w:vAlign w:val="center"/>
          </w:tcPr>
          <w:p w14:paraId="1B054B4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D6DF07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1FB1F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重</w:t>
            </w:r>
            <w:r>
              <w:rPr>
                <w:rFonts w:hint="eastAsia" w:ascii="仿宋" w:hAnsi="仿宋" w:eastAsia="仿宋" w:cs="仿宋"/>
                <w:sz w:val="18"/>
              </w:rPr>
              <w:t>大危险源的防护距离满足国家标准或规定，见《</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危险化学品重大危险源评估报告》。</w:t>
            </w:r>
          </w:p>
        </w:tc>
      </w:tr>
      <w:tr w14:paraId="27F3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02BC9A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742000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3.6</w:t>
            </w:r>
          </w:p>
          <w:p w14:paraId="596F754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变更</w:t>
            </w:r>
          </w:p>
          <w:p w14:paraId="37C9A8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p w14:paraId="6B3467C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C08AE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01A4A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1.企业应严格执行变更管理制度，履行下列变更程序：</w:t>
            </w:r>
          </w:p>
          <w:p w14:paraId="7A78C1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变更申请：按要求填写变更申请表，由专人进行管理；</w:t>
            </w:r>
          </w:p>
          <w:p w14:paraId="521640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变更审批：变更申请表应逐级上报主管部门，并按管理权限报主管领导审批；</w:t>
            </w:r>
          </w:p>
          <w:p w14:paraId="74F464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变更实施：变更批准后，由主管部门负责实施。不经过审查和批准，任何临时性的变更都不得超过原批准范围和期限；</w:t>
            </w:r>
          </w:p>
          <w:p w14:paraId="064047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 变更验收：变更实施结束后，变更主管部门应对变更的实施情况进行验收，形成报告，并及时将变更结果通知相关部门和有关人员。</w:t>
            </w:r>
          </w:p>
        </w:tc>
        <w:tc>
          <w:tcPr>
            <w:tcW w:w="710" w:type="pct"/>
          </w:tcPr>
          <w:p w14:paraId="766860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严格履行以下变更程序及要求：</w:t>
            </w:r>
          </w:p>
          <w:p w14:paraId="67A31E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变更申请：按要求填写变更申请表，由专人进行管理；</w:t>
            </w:r>
          </w:p>
          <w:p w14:paraId="651206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变更审批：变更申请表应逐级上报主管部门，并按管理权限报主管领导审批；</w:t>
            </w:r>
          </w:p>
          <w:p w14:paraId="5B53AF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变更实施：变更批准后，由主管部门负责实施。不经过审查和批准，任何临时性的变更都不得超过原批准范围和期限；</w:t>
            </w:r>
          </w:p>
          <w:p w14:paraId="48D7C1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 变更验收：变更实施结束后，变更主管部门应对变更的实施情况进行验收，形成报告，并及时将变更结果通知相关部门和有关人员。</w:t>
            </w:r>
          </w:p>
        </w:tc>
        <w:tc>
          <w:tcPr>
            <w:tcW w:w="642" w:type="pct"/>
          </w:tcPr>
          <w:p w14:paraId="5E91D0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72700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1.变更管理制度；</w:t>
            </w:r>
          </w:p>
          <w:p w14:paraId="7AE8AE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2.变更管理记录。</w:t>
            </w:r>
          </w:p>
          <w:p w14:paraId="23F55B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22524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查看变更实施现场。</w:t>
            </w:r>
          </w:p>
        </w:tc>
        <w:tc>
          <w:tcPr>
            <w:tcW w:w="574" w:type="pct"/>
          </w:tcPr>
          <w:p w14:paraId="2767190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A466F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1.未按程序实施变更，一项扣5分；</w:t>
            </w:r>
          </w:p>
          <w:p w14:paraId="1DC34F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2.履行变更程序过程，一项不符合扣2分；</w:t>
            </w:r>
          </w:p>
          <w:p w14:paraId="7BA25D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3.变更实施现场一项不符合，扣2分。</w:t>
            </w:r>
          </w:p>
        </w:tc>
        <w:tc>
          <w:tcPr>
            <w:tcW w:w="132" w:type="pct"/>
            <w:vAlign w:val="center"/>
          </w:tcPr>
          <w:p w14:paraId="32EC597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3DEBB9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4B20F89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制定有变更管理制度，见《</w:t>
            </w:r>
            <w:r>
              <w:rPr>
                <w:rFonts w:hint="eastAsia" w:ascii="仿宋" w:hAnsi="仿宋" w:eastAsia="仿宋" w:cs="仿宋"/>
                <w:sz w:val="18"/>
                <w:lang w:val="en-US" w:eastAsia="zh-CN"/>
              </w:rPr>
              <w:t>变更管理制度</w:t>
            </w:r>
            <w:r>
              <w:rPr>
                <w:rFonts w:hint="eastAsia" w:ascii="仿宋" w:hAnsi="仿宋" w:eastAsia="仿宋" w:cs="仿宋"/>
                <w:sz w:val="18"/>
              </w:rPr>
              <w:t>》</w:t>
            </w:r>
            <w:r>
              <w:rPr>
                <w:rFonts w:hint="eastAsia" w:ascii="仿宋" w:hAnsi="仿宋" w:eastAsia="仿宋" w:cs="仿宋"/>
                <w:sz w:val="18"/>
                <w:lang w:val="en-US" w:eastAsia="zh-CN"/>
              </w:rPr>
              <w:t>QJ-SE-10变更 管理记录中包括变更申 请、变更审批、变更实施、 变更验收等内容。</w:t>
            </w:r>
          </w:p>
          <w:p w14:paraId="111EF3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经检查发现设计有变更</w:t>
            </w:r>
            <w:r>
              <w:rPr>
                <w:rFonts w:hint="eastAsia" w:ascii="仿宋" w:hAnsi="仿宋" w:eastAsia="仿宋" w:cs="仿宋"/>
                <w:sz w:val="18"/>
              </w:rPr>
              <w:t>未按程序实施变更，一项扣5分；</w:t>
            </w:r>
          </w:p>
        </w:tc>
      </w:tr>
      <w:tr w14:paraId="4CE4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3BF30B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4CE04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114B1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2.企业应对变更过程产生的风险进行分析和控制。</w:t>
            </w:r>
          </w:p>
        </w:tc>
        <w:tc>
          <w:tcPr>
            <w:tcW w:w="710" w:type="pct"/>
          </w:tcPr>
          <w:p w14:paraId="0A4CC1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1.对每项变更过程产生的风险都进行分析，制定控制措施；</w:t>
            </w:r>
          </w:p>
          <w:p w14:paraId="03C269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2.变更实施过程中，认真落实风险控制措施。</w:t>
            </w:r>
          </w:p>
        </w:tc>
        <w:tc>
          <w:tcPr>
            <w:tcW w:w="642" w:type="pct"/>
          </w:tcPr>
          <w:p w14:paraId="03B7D4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0B5D6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1.变更的风险分析记录；</w:t>
            </w:r>
          </w:p>
          <w:p w14:paraId="635AAE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2.变更风险的控制措施。</w:t>
            </w:r>
          </w:p>
          <w:p w14:paraId="5427FD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3.变更实施验收报告。</w:t>
            </w:r>
          </w:p>
        </w:tc>
        <w:tc>
          <w:tcPr>
            <w:tcW w:w="574" w:type="pct"/>
          </w:tcPr>
          <w:p w14:paraId="57A1431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B9B12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对变更过程的风险未进行分析或控制措施不落实，一项不符合扣2分。</w:t>
            </w:r>
          </w:p>
        </w:tc>
        <w:tc>
          <w:tcPr>
            <w:tcW w:w="132" w:type="pct"/>
            <w:vAlign w:val="center"/>
          </w:tcPr>
          <w:p w14:paraId="0CFA0CB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45BDDA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77C6B5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变更审批表已对风险进行了分析及制定了控制措施</w:t>
            </w:r>
          </w:p>
        </w:tc>
      </w:tr>
      <w:tr w14:paraId="0D6B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BF09F1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201CCA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3.7风险信息更新</w:t>
            </w:r>
          </w:p>
          <w:p w14:paraId="63F1EF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tcPr>
          <w:p w14:paraId="55400C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1.企业应适时组织风险评价工作，识别与生产经营活动有关的危险、有害因素和隐患。</w:t>
            </w:r>
          </w:p>
        </w:tc>
        <w:tc>
          <w:tcPr>
            <w:tcW w:w="710" w:type="pct"/>
          </w:tcPr>
          <w:p w14:paraId="71CE82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非常规活动及危险性作业实施前，应识别危险、有害因素，排查隐患。</w:t>
            </w:r>
          </w:p>
        </w:tc>
        <w:tc>
          <w:tcPr>
            <w:tcW w:w="642" w:type="pct"/>
          </w:tcPr>
          <w:p w14:paraId="125C41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5BA68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1.风险评价记录或报告；</w:t>
            </w:r>
          </w:p>
          <w:p w14:paraId="1D1850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2.作业许可证。</w:t>
            </w:r>
          </w:p>
          <w:p w14:paraId="3A1746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12F2C6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0DF6E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未按规定进行危险、有害因素识别，一项扣2分；识别不充分，一项不符合扣1分。</w:t>
            </w:r>
          </w:p>
        </w:tc>
        <w:tc>
          <w:tcPr>
            <w:tcW w:w="132" w:type="pct"/>
            <w:vAlign w:val="center"/>
          </w:tcPr>
          <w:p w14:paraId="0571F74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CC6CB1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3DC931F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风险辨识识别不充分</w:t>
            </w:r>
          </w:p>
        </w:tc>
      </w:tr>
      <w:tr w14:paraId="30B6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534AD3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E61A27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DA9A5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2.企业应定期评审或检查风险评价结果和风险控制效果。</w:t>
            </w:r>
          </w:p>
        </w:tc>
        <w:tc>
          <w:tcPr>
            <w:tcW w:w="710" w:type="pct"/>
          </w:tcPr>
          <w:p w14:paraId="698F8B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每年评审或检查风险评价结果和风险控制效果。</w:t>
            </w:r>
          </w:p>
        </w:tc>
        <w:tc>
          <w:tcPr>
            <w:tcW w:w="642" w:type="pct"/>
          </w:tcPr>
          <w:p w14:paraId="49476F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741E0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年度评审或检查报告，或者评审记录。</w:t>
            </w:r>
          </w:p>
        </w:tc>
        <w:tc>
          <w:tcPr>
            <w:tcW w:w="574" w:type="pct"/>
          </w:tcPr>
          <w:p w14:paraId="777548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31312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未定期对风险评价结果和风险控制效果进行评审或检查，扣2分。</w:t>
            </w:r>
          </w:p>
        </w:tc>
        <w:tc>
          <w:tcPr>
            <w:tcW w:w="132" w:type="pct"/>
            <w:vAlign w:val="center"/>
          </w:tcPr>
          <w:p w14:paraId="10849CB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716A38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E09F3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未定期对风险评价结果和风险控制效果进行评审或检查，扣2分。</w:t>
            </w:r>
          </w:p>
        </w:tc>
      </w:tr>
      <w:tr w14:paraId="3B65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86EA9D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BCF6BE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8E0E5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3.企业应在下列情形发生时及时进行风险评价：</w:t>
            </w:r>
          </w:p>
          <w:p w14:paraId="37AB2D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1）新的或变更的法律法规或其他要求；</w:t>
            </w:r>
          </w:p>
          <w:p w14:paraId="2EE374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2）操作条件变化或工艺改变；</w:t>
            </w:r>
          </w:p>
          <w:p w14:paraId="1A0822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3）技术改造项目；</w:t>
            </w:r>
          </w:p>
          <w:p w14:paraId="53E5BE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4）有对事件、事故或其他信息的新认识；</w:t>
            </w:r>
          </w:p>
          <w:p w14:paraId="13B12D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5）组织机构发生大的调整。</w:t>
            </w:r>
          </w:p>
        </w:tc>
        <w:tc>
          <w:tcPr>
            <w:tcW w:w="710" w:type="pct"/>
          </w:tcPr>
          <w:p w14:paraId="4CAD0F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在标准规定情形发生时，应及时进行风险评价。</w:t>
            </w:r>
          </w:p>
        </w:tc>
        <w:tc>
          <w:tcPr>
            <w:tcW w:w="642" w:type="pct"/>
          </w:tcPr>
          <w:p w14:paraId="2A7306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F1ACD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风险评价报告、记录。</w:t>
            </w:r>
          </w:p>
        </w:tc>
        <w:tc>
          <w:tcPr>
            <w:tcW w:w="574" w:type="pct"/>
          </w:tcPr>
          <w:p w14:paraId="1018C02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DABDC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未及时进行风险评价，一项不符合扣2分。</w:t>
            </w:r>
          </w:p>
        </w:tc>
        <w:tc>
          <w:tcPr>
            <w:tcW w:w="132" w:type="pct"/>
            <w:vAlign w:val="center"/>
          </w:tcPr>
          <w:p w14:paraId="2279AC3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81A437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1856C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每年开展一次风险评价，在标准规定情形发生时，可以及时进行风险评价，见《安全风险分级指南和 隐患排查治理</w:t>
            </w:r>
            <w:r>
              <w:rPr>
                <w:rFonts w:hint="eastAsia" w:ascii="仿宋" w:hAnsi="仿宋" w:eastAsia="仿宋" w:cs="仿宋"/>
                <w:sz w:val="18"/>
                <w:lang w:val="en-US" w:eastAsia="zh-CN"/>
              </w:rPr>
              <w:t>双控预防手册</w:t>
            </w:r>
            <w:r>
              <w:rPr>
                <w:rFonts w:hint="eastAsia" w:ascii="仿宋" w:hAnsi="仿宋" w:eastAsia="仿宋" w:cs="仿宋"/>
                <w:sz w:val="18"/>
              </w:rPr>
              <w:t>》。</w:t>
            </w:r>
          </w:p>
        </w:tc>
      </w:tr>
      <w:tr w14:paraId="1B8C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56" w:type="pct"/>
            <w:vMerge w:val="continue"/>
          </w:tcPr>
          <w:p w14:paraId="3981338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12B170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3.8</w:t>
            </w:r>
          </w:p>
          <w:p w14:paraId="4582FE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供应商</w:t>
            </w:r>
          </w:p>
          <w:p w14:paraId="2A8318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（5分）</w:t>
            </w:r>
          </w:p>
          <w:p w14:paraId="01F82C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19CD1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企业应严格执行供应商管理制度，对供应商资格预审、选用和续用等过程进行管理，并定期识别与采购有关的风险。</w:t>
            </w:r>
          </w:p>
        </w:tc>
        <w:tc>
          <w:tcPr>
            <w:tcW w:w="710" w:type="pct"/>
          </w:tcPr>
          <w:p w14:paraId="7DE388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1.建立供应商名录、档案（包括资格预审、业绩评价等资料）；</w:t>
            </w:r>
          </w:p>
          <w:p w14:paraId="0C7CCE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2.对供应商资格预审、选用、续用进行管理；</w:t>
            </w:r>
          </w:p>
          <w:p w14:paraId="3983DA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3.定期识别与采购有关的风险。</w:t>
            </w:r>
          </w:p>
        </w:tc>
        <w:tc>
          <w:tcPr>
            <w:tcW w:w="642" w:type="pct"/>
          </w:tcPr>
          <w:p w14:paraId="3B31A2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45BB2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1.供应商管理制度；</w:t>
            </w:r>
          </w:p>
          <w:p w14:paraId="096F1B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2.合格供应商名录、档案；</w:t>
            </w:r>
          </w:p>
          <w:p w14:paraId="3923D4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3.供应商选用、续用、评价记录；</w:t>
            </w:r>
          </w:p>
          <w:p w14:paraId="45C784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4.与采购有关的风险信息。</w:t>
            </w:r>
          </w:p>
        </w:tc>
        <w:tc>
          <w:tcPr>
            <w:tcW w:w="574" w:type="pct"/>
          </w:tcPr>
          <w:p w14:paraId="08D065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92F04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1.未建立合格供应商名录、档案，一项扣2分；</w:t>
            </w:r>
          </w:p>
          <w:p w14:paraId="49E1D7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2.未对供应商进行规范管理，一项不符合扣1分；</w:t>
            </w:r>
          </w:p>
          <w:p w14:paraId="3F61BB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3.未定期识别与采购有关的风险，1次扣2分。</w:t>
            </w:r>
          </w:p>
          <w:p w14:paraId="75AFEF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CD6291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F0D37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BEABEA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515170F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ACEF45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2D9B019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未对供应商进行规范管理，缺失资料</w:t>
            </w:r>
          </w:p>
        </w:tc>
      </w:tr>
      <w:tr w14:paraId="6AAC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3E1EDA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 管理制度</w:t>
            </w:r>
          </w:p>
          <w:p w14:paraId="05689C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tc>
        <w:tc>
          <w:tcPr>
            <w:tcW w:w="244" w:type="pct"/>
            <w:vMerge w:val="restart"/>
          </w:tcPr>
          <w:p w14:paraId="054D0C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4.1安全生产规章制度</w:t>
            </w:r>
          </w:p>
          <w:p w14:paraId="67BA3E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（40分）</w:t>
            </w:r>
          </w:p>
          <w:p w14:paraId="0B7314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A8C62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1.企业应制定健全的安全生产规章制度，至少包括下列内容：</w:t>
            </w:r>
          </w:p>
          <w:p w14:paraId="3079A7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（1）安全生产职责；</w:t>
            </w:r>
          </w:p>
          <w:p w14:paraId="736827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（2）识别和获取适用的安全生产法律法规、标准及其他要求；</w:t>
            </w:r>
          </w:p>
          <w:p w14:paraId="2ED0E3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（3）安全生产会议管理； </w:t>
            </w:r>
          </w:p>
          <w:p w14:paraId="5B1DB4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（4）安全生产费用； </w:t>
            </w:r>
          </w:p>
          <w:p w14:paraId="3385B4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（5）安全生产奖惩管理； </w:t>
            </w:r>
          </w:p>
          <w:p w14:paraId="157BDB8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（6）管理制度评审和修订； </w:t>
            </w:r>
          </w:p>
          <w:p w14:paraId="5CB605A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（7）安全培训教育； </w:t>
            </w:r>
          </w:p>
          <w:p w14:paraId="04C9E1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（8）特种作业人员管理； </w:t>
            </w:r>
          </w:p>
          <w:p w14:paraId="6AE910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（9）管理部门、基层班组安全活动管理； </w:t>
            </w:r>
          </w:p>
          <w:p w14:paraId="7D19DB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（10）风险评价；</w:t>
            </w:r>
          </w:p>
          <w:p w14:paraId="23CD45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（11）隐患排查治理； </w:t>
            </w:r>
          </w:p>
          <w:p w14:paraId="6CF116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（12）重大危险源管理； </w:t>
            </w:r>
          </w:p>
          <w:p w14:paraId="7FAC78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（13）变更管理； </w:t>
            </w:r>
          </w:p>
          <w:p w14:paraId="1F554DB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（14）事故管理； </w:t>
            </w:r>
          </w:p>
          <w:p w14:paraId="4482A8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（15）防火、防爆管理，包括禁烟管理；</w:t>
            </w:r>
          </w:p>
          <w:p w14:paraId="743CC14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（16）消防管理；</w:t>
            </w:r>
          </w:p>
          <w:p w14:paraId="369EDB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（17）仓库、罐区安全管理； </w:t>
            </w:r>
          </w:p>
          <w:p w14:paraId="53ADA1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（18）关键装置、重点部位安全管理；</w:t>
            </w:r>
          </w:p>
          <w:p w14:paraId="40BE14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（19）生产设施管理，包括安全设施、特种设备等管理； </w:t>
            </w:r>
          </w:p>
          <w:p w14:paraId="5BD900D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（20）监视和测量设备管理；</w:t>
            </w:r>
          </w:p>
          <w:p w14:paraId="660D78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（21）安全作业管理，包括动火作业、进入受限空间作业、临时用电作业、高处作业、起重吊装作业、破土作业、断路作业、设备检维修作业、高温作业、抽堵盲板作业管理等；</w:t>
            </w:r>
          </w:p>
          <w:p w14:paraId="5EB680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（22）危险化学品安全管理，包括剧毒化学品安全管理及危险化学品储存、出入库、运输、装卸等；</w:t>
            </w:r>
          </w:p>
          <w:p w14:paraId="7740F0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（23）检维修管理；</w:t>
            </w:r>
          </w:p>
          <w:p w14:paraId="678ABE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（24）生产设施拆除和报废管理；  </w:t>
            </w:r>
          </w:p>
          <w:p w14:paraId="2D33D5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（25）承包商管理；                   </w:t>
            </w:r>
          </w:p>
          <w:p w14:paraId="766C15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（26）供应商管理；</w:t>
            </w:r>
          </w:p>
          <w:p w14:paraId="69CBC6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（27）职业卫生管理，包括防尘、防毒管理；</w:t>
            </w:r>
          </w:p>
          <w:p w14:paraId="3DBC38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（28）劳动防护用品（具）和保健品管理；</w:t>
            </w:r>
          </w:p>
          <w:p w14:paraId="4BE973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(29)作业场所职业危害因素检测管理；</w:t>
            </w:r>
          </w:p>
          <w:p w14:paraId="1E5A4A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（30）应急救援管理；</w:t>
            </w:r>
          </w:p>
          <w:p w14:paraId="387B0E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（31）安全检查管理；</w:t>
            </w:r>
          </w:p>
          <w:p w14:paraId="5E1F85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（32）自评。</w:t>
            </w:r>
          </w:p>
        </w:tc>
        <w:tc>
          <w:tcPr>
            <w:tcW w:w="710" w:type="pct"/>
          </w:tcPr>
          <w:p w14:paraId="1FFD0DA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1.通过识别和评估，将适用于本企业的有关法律法规和有关标准规定转化为企业安全生产规章制度或安全操作规程的具体内容，并严格落实；</w:t>
            </w:r>
          </w:p>
          <w:p w14:paraId="24DF60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2.安全生产规章制度内容应符合标准要求；</w:t>
            </w:r>
          </w:p>
          <w:p w14:paraId="1CE9FD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3.明确责任部门、职责、工作要求；</w:t>
            </w:r>
          </w:p>
          <w:p w14:paraId="22EAE8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4.安全生产规章制度应具有可操作性；</w:t>
            </w:r>
          </w:p>
          <w:p w14:paraId="4A7347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除制定《通用规范》要求的规章制度以外，还应制定包括以下内容的规章制度：工艺管理、开停车管理、设备管理、建（构）筑物管理、电气管理、公用工程管理、易制毒管理、危险化学品输送管道定期巡线制度、领导干部带班、厂区交通安全、文件、档案管理制度等。</w:t>
            </w:r>
          </w:p>
          <w:p w14:paraId="70DCA3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6.企业主要负责人应组织审定并签发安全生产规章制度。</w:t>
            </w:r>
          </w:p>
          <w:p w14:paraId="709CC4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042C65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BCC54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1.适用的法律法规和标准、规章制度和安全操作规程清单。</w:t>
            </w:r>
          </w:p>
          <w:p w14:paraId="60E382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2.企业安全生产规章制度签发文件。</w:t>
            </w:r>
          </w:p>
          <w:p w14:paraId="7E0020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3C110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有关人员对法律、法规和标准规范的了解、掌握情况。</w:t>
            </w:r>
          </w:p>
          <w:p w14:paraId="7014B17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01D12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法律、法规和标准的遵守情况。</w:t>
            </w:r>
          </w:p>
        </w:tc>
        <w:tc>
          <w:tcPr>
            <w:tcW w:w="574" w:type="pct"/>
          </w:tcPr>
          <w:p w14:paraId="5F94C5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1.未制定动火作业管理制度或进入受限空间管理制度，扣100分（A级要素否决项）；</w:t>
            </w:r>
          </w:p>
          <w:p w14:paraId="79C967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2.未制定以下规章制度之一，扣40分（B级要素否决项）：</w:t>
            </w:r>
          </w:p>
          <w:p w14:paraId="7A3D4B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变更管理、风险管理、隐患排查治理、临时用电作业、高处作业、起重吊装作业、破土作业、断路作业、设备检维修作业、抽堵盲板作业管理制度及文件档案管理制度。</w:t>
            </w:r>
          </w:p>
        </w:tc>
        <w:tc>
          <w:tcPr>
            <w:tcW w:w="716" w:type="pct"/>
          </w:tcPr>
          <w:p w14:paraId="61817E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1.未将法律法规的有关规定和标准的有关要求转化为企业安全生产规章制度或安全操作规程的具体内容，一项不符合扣2分；</w:t>
            </w:r>
          </w:p>
          <w:p w14:paraId="4AB3BB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2.责任部门、职责、工作要求、可操作性等内容，一项不符合扣1分；</w:t>
            </w:r>
          </w:p>
          <w:p w14:paraId="566B13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3.缺少相关内容的管理制度，一项扣2分；</w:t>
            </w:r>
          </w:p>
          <w:p w14:paraId="250275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4.有关人员不清楚法律、法规和标准规范的相关要求，1人次扣2分；</w:t>
            </w:r>
          </w:p>
          <w:p w14:paraId="005407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5.现场发现有未执行和落实法律法规和标准，或企业安全生产管理制度或操作规程的现象，按相关要素评审标准扣分，没有评审标准的，一项不符合扣2分；</w:t>
            </w:r>
          </w:p>
          <w:p w14:paraId="399F01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6.企业安全生产规章制度未按规定审定或签发，一项扣5分。</w:t>
            </w:r>
          </w:p>
        </w:tc>
        <w:tc>
          <w:tcPr>
            <w:tcW w:w="132" w:type="pct"/>
            <w:vAlign w:val="center"/>
          </w:tcPr>
          <w:p w14:paraId="645BB66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6C65EA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23A7FA8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p>
          <w:p w14:paraId="191D013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1、1.将法律法规的有关规定和标准的有关要求转化为安全生产规章制度 和安全操作规程的具体内容，制定有标准要求的各项制度，见制定有供应商管理制度，见《达诺尔（湖北）微电子材料有限公司安全生产规章制度》。2.制度明确有责任部门、职责、工作要求等内容， 可操作性符合要求。</w:t>
            </w:r>
          </w:p>
          <w:p w14:paraId="30C47E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3.经现场检查，1人不熟悉相关制度内容，扣 2 分。</w:t>
            </w:r>
          </w:p>
          <w:p w14:paraId="48A540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4.安全生产规章制度按 照规定审定和签发，见《文件发放登记表》。</w:t>
            </w:r>
          </w:p>
        </w:tc>
      </w:tr>
      <w:tr w14:paraId="491B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9D25C5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A1D3B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C75DB7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77A4F6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将安全生产规章制度发放到有关的工作岗位。</w:t>
            </w:r>
          </w:p>
        </w:tc>
        <w:tc>
          <w:tcPr>
            <w:tcW w:w="642" w:type="pct"/>
          </w:tcPr>
          <w:p w14:paraId="2B00C46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5E6B37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B2673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一项不符合扣2分。</w:t>
            </w:r>
          </w:p>
        </w:tc>
        <w:tc>
          <w:tcPr>
            <w:tcW w:w="132" w:type="pct"/>
            <w:vAlign w:val="center"/>
          </w:tcPr>
          <w:p w14:paraId="3352756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37B97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438533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未将制度发放到有关的工作岗位</w:t>
            </w:r>
            <w:r>
              <w:rPr>
                <w:rFonts w:hint="eastAsia" w:ascii="仿宋" w:hAnsi="仿宋" w:eastAsia="仿宋" w:cs="仿宋"/>
                <w:sz w:val="18"/>
              </w:rPr>
              <w:t>。扣</w:t>
            </w:r>
            <w:r>
              <w:rPr>
                <w:rFonts w:hint="eastAsia" w:ascii="仿宋" w:hAnsi="仿宋" w:eastAsia="仿宋" w:cs="仿宋"/>
                <w:sz w:val="18"/>
                <w:lang w:val="en-US" w:eastAsia="zh-CN"/>
              </w:rPr>
              <w:t>5</w:t>
            </w:r>
            <w:r>
              <w:rPr>
                <w:rFonts w:hint="eastAsia" w:ascii="仿宋" w:hAnsi="仿宋" w:eastAsia="仿宋" w:cs="仿宋"/>
                <w:sz w:val="18"/>
              </w:rPr>
              <w:t>分</w:t>
            </w:r>
          </w:p>
        </w:tc>
      </w:tr>
      <w:tr w14:paraId="22B6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256" w:type="pct"/>
            <w:vMerge w:val="continue"/>
          </w:tcPr>
          <w:p w14:paraId="10B00E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DEC61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4.2操作规程</w:t>
            </w:r>
          </w:p>
          <w:p w14:paraId="4F8561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（40分）</w:t>
            </w:r>
          </w:p>
        </w:tc>
        <w:tc>
          <w:tcPr>
            <w:tcW w:w="719" w:type="pct"/>
          </w:tcPr>
          <w:p w14:paraId="0EAD4E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1.企业应根据生产工艺、技术、设备设施特点和原材料、辅助材料、产品的危险性，编制操作规程,并发放到相关岗位。</w:t>
            </w:r>
          </w:p>
        </w:tc>
        <w:tc>
          <w:tcPr>
            <w:tcW w:w="710" w:type="pct"/>
          </w:tcPr>
          <w:p w14:paraId="2426A2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1.以危险、有害因素分析为依据，编制岗位操作规程；</w:t>
            </w:r>
          </w:p>
          <w:p w14:paraId="74BAE0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2.发放到相关岗位；</w:t>
            </w:r>
          </w:p>
          <w:p w14:paraId="626EBC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3.企业主要负责人或其指定的技术负责人审定并签发操作规程。</w:t>
            </w:r>
          </w:p>
        </w:tc>
        <w:tc>
          <w:tcPr>
            <w:tcW w:w="642" w:type="pct"/>
          </w:tcPr>
          <w:p w14:paraId="77BACC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D3D5A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1.岗位操作规程；</w:t>
            </w:r>
          </w:p>
          <w:p w14:paraId="143BF4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2.文件发放记录。</w:t>
            </w:r>
          </w:p>
          <w:p w14:paraId="5B6BAD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3.操作规程签发文件。</w:t>
            </w:r>
          </w:p>
          <w:p w14:paraId="236BD2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A597B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抽查岗位是否有有效的岗位操作规程。</w:t>
            </w:r>
          </w:p>
        </w:tc>
        <w:tc>
          <w:tcPr>
            <w:tcW w:w="574" w:type="pct"/>
          </w:tcPr>
          <w:p w14:paraId="7EE5B3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有岗位未编制操作规程，或岗位无法提供操作规程，扣40分（B级要素否决项）。</w:t>
            </w:r>
          </w:p>
        </w:tc>
        <w:tc>
          <w:tcPr>
            <w:tcW w:w="716" w:type="pct"/>
          </w:tcPr>
          <w:p w14:paraId="37D688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1.操作规程内容一项不符合扣1分。</w:t>
            </w:r>
          </w:p>
          <w:p w14:paraId="496E1F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2.安全操作规程未按规定审定或签发，一项扣5分。</w:t>
            </w:r>
          </w:p>
        </w:tc>
        <w:tc>
          <w:tcPr>
            <w:tcW w:w="132" w:type="pct"/>
            <w:vAlign w:val="center"/>
          </w:tcPr>
          <w:p w14:paraId="644256B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4918FB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7A688F5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液氨装卸操作规程更新后为安全规定审定和签发</w:t>
            </w:r>
          </w:p>
        </w:tc>
      </w:tr>
      <w:tr w14:paraId="6D8D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C18713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C239A2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9A38E4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2.企业应在新工艺、新技术、新装置、新产品投产或投用前，组织编制新的操作规程。</w:t>
            </w:r>
          </w:p>
        </w:tc>
        <w:tc>
          <w:tcPr>
            <w:tcW w:w="710" w:type="pct"/>
          </w:tcPr>
          <w:p w14:paraId="057761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新工艺、新技术、新装置、新产品投产或投用前，应组织编制新的操作规程。</w:t>
            </w:r>
          </w:p>
        </w:tc>
        <w:tc>
          <w:tcPr>
            <w:tcW w:w="642" w:type="pct"/>
          </w:tcPr>
          <w:p w14:paraId="3D488E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D6F7D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新项目的操作规程。</w:t>
            </w:r>
          </w:p>
        </w:tc>
        <w:tc>
          <w:tcPr>
            <w:tcW w:w="574" w:type="pct"/>
          </w:tcPr>
          <w:p w14:paraId="053CBE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投产或投用前未编制操作规程，扣40分（B级要素否决项）。</w:t>
            </w:r>
          </w:p>
        </w:tc>
        <w:tc>
          <w:tcPr>
            <w:tcW w:w="716" w:type="pct"/>
          </w:tcPr>
          <w:p w14:paraId="1AB9AF6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215A741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55A52D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18D9C4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2844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29749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82361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4.3修订</w:t>
            </w:r>
          </w:p>
          <w:p w14:paraId="540372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264276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1.企业应明确评审和修订安全生产规章制度和操作规程的时机和频次，定期进行评审和修订，确保其有效性和适用性。在发生以下情况时，应及时对相关的规章制度或操作规程进行评审、修订：</w:t>
            </w:r>
          </w:p>
          <w:p w14:paraId="5E0CE2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（1）当国家安全生产法律、法规、规程、标准废止、修订或新颁布时；</w:t>
            </w:r>
          </w:p>
          <w:p w14:paraId="584BF5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（2）当企业归属、体制、规模发生重大变化时；</w:t>
            </w:r>
          </w:p>
          <w:p w14:paraId="6F404B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（3）当生产设施新建、扩建、改建时；</w:t>
            </w:r>
          </w:p>
          <w:p w14:paraId="20D200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（4）当工艺、技术路线和装置设备发生变更时；</w:t>
            </w:r>
          </w:p>
          <w:p w14:paraId="494374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（5）当上级安全监督部门提出相关整改意见时；</w:t>
            </w:r>
          </w:p>
          <w:p w14:paraId="491A89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（6）当安全检查、风险评价过程中发现涉及到规章制度层面的问题时；</w:t>
            </w:r>
          </w:p>
          <w:p w14:paraId="2B803E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（7）当分析重大事故和重复事故原因，发现制度性因素时；</w:t>
            </w:r>
          </w:p>
          <w:p w14:paraId="61F0D9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（8）其他相关事项。</w:t>
            </w:r>
          </w:p>
        </w:tc>
        <w:tc>
          <w:tcPr>
            <w:tcW w:w="710" w:type="pct"/>
          </w:tcPr>
          <w:p w14:paraId="4C4652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1.规定安全生产规章制度和操作规程评审、修订的时机和频次；</w:t>
            </w:r>
          </w:p>
          <w:p w14:paraId="6AEC36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2.安全生产规章制度、安全操作规程至少每3年评审和修订一次；</w:t>
            </w:r>
          </w:p>
          <w:p w14:paraId="30128D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3.按规定进行评审和修订；</w:t>
            </w:r>
          </w:p>
          <w:p w14:paraId="1606F2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4.在发生有关情况时，应及时评审、修订相关的规章制度或操作规程。</w:t>
            </w:r>
          </w:p>
        </w:tc>
        <w:tc>
          <w:tcPr>
            <w:tcW w:w="642" w:type="pct"/>
          </w:tcPr>
          <w:p w14:paraId="1240E1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ADCEF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1.管理制度评审和修订制度；</w:t>
            </w:r>
          </w:p>
          <w:p w14:paraId="294FA9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2.安全生产规章制度、操作规程；</w:t>
            </w:r>
          </w:p>
          <w:p w14:paraId="12D919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3.评审和修订记录。</w:t>
            </w:r>
          </w:p>
        </w:tc>
        <w:tc>
          <w:tcPr>
            <w:tcW w:w="574" w:type="pct"/>
          </w:tcPr>
          <w:p w14:paraId="63A696B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8632B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1.未规定评审和修订时机和频次，或规定的内容不符合要求，扣3分；</w:t>
            </w:r>
          </w:p>
          <w:p w14:paraId="53DE54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2.未按规定评审和修订扣3分，漏评审一项制度扣1分。</w:t>
            </w:r>
          </w:p>
        </w:tc>
        <w:tc>
          <w:tcPr>
            <w:tcW w:w="132" w:type="pct"/>
            <w:vAlign w:val="center"/>
          </w:tcPr>
          <w:p w14:paraId="19F80EC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641E11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p>
        </w:tc>
        <w:tc>
          <w:tcPr>
            <w:tcW w:w="851" w:type="pct"/>
          </w:tcPr>
          <w:p w14:paraId="7E1C57A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《异丙醇生产装置操作规程》发生工艺参数变更未按规定评审和修订，扣3分</w:t>
            </w:r>
          </w:p>
          <w:p w14:paraId="4F0E8D8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漏评审应急预案评估制度，扣1分</w:t>
            </w:r>
          </w:p>
          <w:p w14:paraId="098BE7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4899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DEA950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118313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E3BDD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2.企业应组织相关管理人员、技术人员、操作人员和工会代表参加安全生产规章制度和操作规程评审和修订，注明生效日期。</w:t>
            </w:r>
          </w:p>
        </w:tc>
        <w:tc>
          <w:tcPr>
            <w:tcW w:w="710" w:type="pct"/>
          </w:tcPr>
          <w:p w14:paraId="4CC7BD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1.组织相关管理人员、技术人员、操作人员和工会代表参加安全生产规章制度和操作规程评审和修订；</w:t>
            </w:r>
          </w:p>
          <w:p w14:paraId="0A9AC3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2.修订的安全生产规章制度和操作规程应注明生效日期。</w:t>
            </w:r>
          </w:p>
        </w:tc>
        <w:tc>
          <w:tcPr>
            <w:tcW w:w="642" w:type="pct"/>
          </w:tcPr>
          <w:p w14:paraId="1C56B2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4F8C1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1.评审、修订记录；</w:t>
            </w:r>
          </w:p>
          <w:p w14:paraId="6D84D5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2.安全生产规章制度和操作规程；</w:t>
            </w:r>
          </w:p>
          <w:p w14:paraId="7B0695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3.发布修订的安全生产规章制度或操作规程的文件。</w:t>
            </w:r>
          </w:p>
        </w:tc>
        <w:tc>
          <w:tcPr>
            <w:tcW w:w="574" w:type="pct"/>
          </w:tcPr>
          <w:p w14:paraId="021FB82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1008F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1.相关人员未参加评审和修订，一项不符合扣2分；</w:t>
            </w:r>
          </w:p>
          <w:p w14:paraId="786EEF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2.修订后，未注明生效日期，扣1分。</w:t>
            </w:r>
          </w:p>
        </w:tc>
        <w:tc>
          <w:tcPr>
            <w:tcW w:w="132" w:type="pct"/>
            <w:vAlign w:val="center"/>
          </w:tcPr>
          <w:p w14:paraId="5F0F049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37FDF6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6608D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规程修订缺少操作人员</w:t>
            </w:r>
          </w:p>
        </w:tc>
      </w:tr>
      <w:tr w14:paraId="0C06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256" w:type="pct"/>
            <w:vMerge w:val="continue"/>
          </w:tcPr>
          <w:p w14:paraId="44D6FB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F9471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321E2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3.企业应保证使用最新有效版本的安全生产规章制度和操作规程。</w:t>
            </w:r>
          </w:p>
        </w:tc>
        <w:tc>
          <w:tcPr>
            <w:tcW w:w="710" w:type="pct"/>
          </w:tcPr>
          <w:p w14:paraId="5C2B3E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企业现行安全生产规章制度和操作规程是最新有效的版本。</w:t>
            </w:r>
          </w:p>
        </w:tc>
        <w:tc>
          <w:tcPr>
            <w:tcW w:w="642" w:type="pct"/>
          </w:tcPr>
          <w:p w14:paraId="3EA70A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09A8C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发布最新版本安全生产规章制度或操作规程的文件发放记录。</w:t>
            </w:r>
          </w:p>
          <w:p w14:paraId="34A397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6140BD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部门、岗位使用的安全生产规章制度和操作规程是否是最新、有效版本。</w:t>
            </w:r>
          </w:p>
        </w:tc>
        <w:tc>
          <w:tcPr>
            <w:tcW w:w="574" w:type="pct"/>
          </w:tcPr>
          <w:p w14:paraId="01123E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0F264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相关岗位使用失效（或已被修订）的安全生产规章制度和操作规程，一个岗位扣5分</w:t>
            </w:r>
            <w:r>
              <w:rPr>
                <w:rFonts w:hint="eastAsia" w:ascii="仿宋" w:hAnsi="仿宋" w:eastAsia="仿宋" w:cs="仿宋"/>
                <w:sz w:val="18"/>
                <w:lang w:eastAsia="zh-CN"/>
              </w:rPr>
              <w:t>。</w:t>
            </w:r>
          </w:p>
        </w:tc>
        <w:tc>
          <w:tcPr>
            <w:tcW w:w="132" w:type="pct"/>
            <w:vAlign w:val="center"/>
          </w:tcPr>
          <w:p w14:paraId="6608169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B040F7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87050D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现行安全生产规章制度和操作规程为最新有效的版本</w:t>
            </w:r>
            <w:r>
              <w:rPr>
                <w:rFonts w:hint="eastAsia" w:ascii="仿宋" w:hAnsi="仿宋" w:eastAsia="仿宋" w:cs="仿宋"/>
                <w:sz w:val="18"/>
                <w:lang w:val="en-US" w:eastAsia="zh-CN"/>
              </w:rPr>
              <w:t>见文件。</w:t>
            </w:r>
          </w:p>
        </w:tc>
      </w:tr>
      <w:tr w14:paraId="488F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43C8DB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5培训教育</w:t>
            </w:r>
          </w:p>
          <w:p w14:paraId="0ACDF3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tc>
        <w:tc>
          <w:tcPr>
            <w:tcW w:w="244" w:type="pct"/>
            <w:vMerge w:val="restart"/>
          </w:tcPr>
          <w:p w14:paraId="1B951A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5.1培训教育管理</w:t>
            </w:r>
          </w:p>
          <w:p w14:paraId="1D7798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6727CAB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1.企业应严格执行安全培训教育制度，依据国家、地方及行业规定和岗位需要，制定适宜的安全培训教育目标和要求。根据不断变化的实际情况和培训目标，定期识别安全培训教育需求，制定并实施安全培训教育计划。</w:t>
            </w:r>
          </w:p>
        </w:tc>
        <w:tc>
          <w:tcPr>
            <w:tcW w:w="710" w:type="pct"/>
          </w:tcPr>
          <w:p w14:paraId="2CA683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1.制定全员安全培训、教育目标和要求；</w:t>
            </w:r>
          </w:p>
          <w:p w14:paraId="5CA368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2.定期识别安全培训、教育需求；</w:t>
            </w:r>
          </w:p>
          <w:p w14:paraId="4F58826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3.制定安全培训、教育计划并实施。</w:t>
            </w:r>
          </w:p>
        </w:tc>
        <w:tc>
          <w:tcPr>
            <w:tcW w:w="642" w:type="pct"/>
          </w:tcPr>
          <w:p w14:paraId="673D18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151F3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1.安全培训、教育制度；</w:t>
            </w:r>
          </w:p>
          <w:p w14:paraId="07CFCD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2.安全培训、教育需求记录；</w:t>
            </w:r>
          </w:p>
          <w:p w14:paraId="1F8BE6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3.安全培训教育计划；</w:t>
            </w:r>
          </w:p>
          <w:p w14:paraId="0CFB6F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4.安全培训、教育记录。</w:t>
            </w:r>
          </w:p>
          <w:p w14:paraId="4200F3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95AFB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抽查有关人员参加培训情况。</w:t>
            </w:r>
          </w:p>
        </w:tc>
        <w:tc>
          <w:tcPr>
            <w:tcW w:w="574" w:type="pct"/>
          </w:tcPr>
          <w:p w14:paraId="721117E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F11DE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1.未制定全员安全培训、教育目标和要求，扣1分；</w:t>
            </w:r>
          </w:p>
          <w:p w14:paraId="00C64F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2.未定期识别培训、教育需求,扣2分；</w:t>
            </w:r>
          </w:p>
          <w:p w14:paraId="239C46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3.未根据培训需求制定培训计划，扣2分；</w:t>
            </w:r>
          </w:p>
          <w:p w14:paraId="033D61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4.未按照计划要求实施培训，1次不符合扣1分。</w:t>
            </w:r>
          </w:p>
        </w:tc>
        <w:tc>
          <w:tcPr>
            <w:tcW w:w="132" w:type="pct"/>
            <w:vAlign w:val="center"/>
          </w:tcPr>
          <w:p w14:paraId="1A74EE3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8BB28C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AEE23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建立有安全培训教育制度，制定有全员安全培训、教育目标和要求，见《</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安全生产规章制度 》</w:t>
            </w:r>
          </w:p>
          <w:p w14:paraId="0F706D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定期识别培训、教育需求</w:t>
            </w:r>
            <w:r>
              <w:rPr>
                <w:rFonts w:hint="eastAsia" w:ascii="仿宋" w:hAnsi="仿宋" w:eastAsia="仿宋" w:cs="仿宋"/>
                <w:sz w:val="18"/>
                <w:lang w:eastAsia="zh-CN"/>
              </w:rPr>
              <w:t>，</w:t>
            </w:r>
            <w:r>
              <w:rPr>
                <w:rFonts w:hint="eastAsia" w:ascii="仿宋" w:hAnsi="仿宋" w:eastAsia="仿宋" w:cs="仿宋"/>
                <w:sz w:val="18"/>
              </w:rPr>
              <w:t>见《培训需求调查表》。</w:t>
            </w:r>
          </w:p>
          <w:p w14:paraId="1B5F73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根据培训需求制定培训计划并按计划实施，见202</w:t>
            </w:r>
            <w:r>
              <w:rPr>
                <w:rFonts w:hint="eastAsia" w:ascii="仿宋" w:hAnsi="仿宋" w:eastAsia="仿宋" w:cs="仿宋"/>
                <w:sz w:val="18"/>
                <w:lang w:val="en-US" w:eastAsia="zh-CN"/>
              </w:rPr>
              <w:t>4</w:t>
            </w:r>
            <w:r>
              <w:rPr>
                <w:rFonts w:hint="eastAsia" w:ascii="仿宋" w:hAnsi="仿宋" w:eastAsia="仿宋" w:cs="仿宋"/>
                <w:sz w:val="18"/>
              </w:rPr>
              <w:t>年度员工安全环保培训计划表。</w:t>
            </w:r>
          </w:p>
        </w:tc>
      </w:tr>
      <w:tr w14:paraId="3B20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B141CB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832199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12662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2.企业应组织培训教育，保证安全培训教育所需人员、资金和设施。</w:t>
            </w:r>
          </w:p>
        </w:tc>
        <w:tc>
          <w:tcPr>
            <w:tcW w:w="710" w:type="pct"/>
          </w:tcPr>
          <w:p w14:paraId="55BE1F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提供培训、教育所需的人员、资金和设施。</w:t>
            </w:r>
          </w:p>
        </w:tc>
        <w:tc>
          <w:tcPr>
            <w:tcW w:w="642" w:type="pct"/>
          </w:tcPr>
          <w:p w14:paraId="1AF320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21192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1.安全生产费用台账或资金计划；</w:t>
            </w:r>
          </w:p>
          <w:p w14:paraId="694305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2.培训教育计划和记录。</w:t>
            </w:r>
          </w:p>
        </w:tc>
        <w:tc>
          <w:tcPr>
            <w:tcW w:w="574" w:type="pct"/>
          </w:tcPr>
          <w:p w14:paraId="7C209C6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A12C4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1.无资金计划或资金不落实，扣1分；</w:t>
            </w:r>
          </w:p>
          <w:p w14:paraId="2C09B1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2.培训教师不落实或不满足要求，扣1分；</w:t>
            </w:r>
          </w:p>
          <w:p w14:paraId="4BE305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3.培训场所不落实或不满足要求，扣1分。</w:t>
            </w:r>
          </w:p>
        </w:tc>
        <w:tc>
          <w:tcPr>
            <w:tcW w:w="132" w:type="pct"/>
            <w:vAlign w:val="center"/>
          </w:tcPr>
          <w:p w14:paraId="15F7AC6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E662A1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FB34E3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有资金预算计划</w:t>
            </w:r>
          </w:p>
        </w:tc>
      </w:tr>
      <w:tr w14:paraId="256C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D7A6E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5A75D8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A7E01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3.企业应建立从业人员安全培训教育档案。</w:t>
            </w:r>
          </w:p>
        </w:tc>
        <w:tc>
          <w:tcPr>
            <w:tcW w:w="710" w:type="pct"/>
          </w:tcPr>
          <w:p w14:paraId="7682E4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建立从业人员安全培训教育档案。</w:t>
            </w:r>
          </w:p>
        </w:tc>
        <w:tc>
          <w:tcPr>
            <w:tcW w:w="642" w:type="pct"/>
          </w:tcPr>
          <w:p w14:paraId="7B9FD5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5F8DB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从业人员安全培训教育档案。</w:t>
            </w:r>
          </w:p>
        </w:tc>
        <w:tc>
          <w:tcPr>
            <w:tcW w:w="574" w:type="pct"/>
          </w:tcPr>
          <w:p w14:paraId="31C858F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02AE72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1.未建立档案，扣5分；每少1人档案，扣1分；</w:t>
            </w:r>
          </w:p>
          <w:p w14:paraId="5EA7B9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2.培训教育档案记录不符合规定要求，一项扣1分。</w:t>
            </w:r>
          </w:p>
        </w:tc>
        <w:tc>
          <w:tcPr>
            <w:tcW w:w="132" w:type="pct"/>
            <w:vAlign w:val="center"/>
          </w:tcPr>
          <w:p w14:paraId="4EA151C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2552316">
            <w:pPr>
              <w:keepNext w:val="0"/>
              <w:keepLines w:val="0"/>
              <w:suppressLineNumbers w:val="0"/>
              <w:spacing w:before="0" w:beforeAutospacing="0" w:after="0" w:afterAutospacing="0" w:line="280" w:lineRule="exact"/>
              <w:ind w:left="0" w:right="0"/>
              <w:rPr>
                <w:rFonts w:hint="default" w:ascii="仿宋" w:hAnsi="仿宋" w:eastAsia="仿宋" w:cs="仿宋"/>
                <w:sz w:val="18"/>
                <w:lang w:val="en-US" w:eastAsia="zh-CN"/>
              </w:rPr>
            </w:pPr>
            <w:r>
              <w:rPr>
                <w:rFonts w:hint="eastAsia" w:ascii="仿宋" w:hAnsi="仿宋" w:eastAsia="仿宋" w:cs="仿宋"/>
                <w:sz w:val="18"/>
                <w:lang w:val="en-US" w:eastAsia="zh-CN"/>
              </w:rPr>
              <w:t>-</w:t>
            </w:r>
            <w:r>
              <w:rPr>
                <w:rFonts w:hint="eastAsia" w:ascii="仿宋" w:hAnsi="仿宋" w:cs="仿宋"/>
                <w:sz w:val="18"/>
                <w:lang w:val="en-US" w:eastAsia="zh-CN"/>
              </w:rPr>
              <w:t>3</w:t>
            </w:r>
          </w:p>
        </w:tc>
        <w:tc>
          <w:tcPr>
            <w:tcW w:w="851" w:type="pct"/>
          </w:tcPr>
          <w:p w14:paraId="77E9CA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培训教育档案有，本年度个人培训记录未整理打印存档</w:t>
            </w:r>
          </w:p>
        </w:tc>
      </w:tr>
      <w:tr w14:paraId="7F01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123BD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85CD12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1B8B9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4.企业安全培训教育计划变更时，应记录变更情况。</w:t>
            </w:r>
          </w:p>
        </w:tc>
        <w:tc>
          <w:tcPr>
            <w:tcW w:w="710" w:type="pct"/>
          </w:tcPr>
          <w:p w14:paraId="7EDB69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安全培训教育计划变更时，应按规定记录变更情况。</w:t>
            </w:r>
          </w:p>
        </w:tc>
        <w:tc>
          <w:tcPr>
            <w:tcW w:w="642" w:type="pct"/>
            <w:vAlign w:val="top"/>
          </w:tcPr>
          <w:p w14:paraId="2A178C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49065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1.安全培训教育计划；</w:t>
            </w:r>
          </w:p>
          <w:p w14:paraId="12A7F7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2.变更记录。</w:t>
            </w:r>
          </w:p>
        </w:tc>
        <w:tc>
          <w:tcPr>
            <w:tcW w:w="574" w:type="pct"/>
          </w:tcPr>
          <w:p w14:paraId="75AC279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1449A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未记录计划变更情况，一项扣1分。</w:t>
            </w:r>
          </w:p>
        </w:tc>
        <w:tc>
          <w:tcPr>
            <w:tcW w:w="132" w:type="pct"/>
            <w:vAlign w:val="center"/>
          </w:tcPr>
          <w:p w14:paraId="088C0AE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B8A782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347AD1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安全培训教育计划未按计划变更。扣2分</w:t>
            </w:r>
          </w:p>
        </w:tc>
      </w:tr>
      <w:tr w14:paraId="4C03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2CA9F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F3F404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C93BB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5.企业安全培训教育主管部门应对培训教育效果进行评价。</w:t>
            </w:r>
          </w:p>
        </w:tc>
        <w:tc>
          <w:tcPr>
            <w:tcW w:w="710" w:type="pct"/>
          </w:tcPr>
          <w:p w14:paraId="1B4C75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安全培训教育主管部门应对培训教育效果进行评价和改进。</w:t>
            </w:r>
          </w:p>
        </w:tc>
        <w:tc>
          <w:tcPr>
            <w:tcW w:w="642" w:type="pct"/>
            <w:vAlign w:val="top"/>
          </w:tcPr>
          <w:p w14:paraId="051D55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E4C14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培训教育效果评价记录。</w:t>
            </w:r>
          </w:p>
          <w:p w14:paraId="132EC9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D92E1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了解有关人员对安全培训、教育效果的评价。</w:t>
            </w:r>
          </w:p>
        </w:tc>
        <w:tc>
          <w:tcPr>
            <w:tcW w:w="574" w:type="pct"/>
          </w:tcPr>
          <w:p w14:paraId="1F71D12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9187C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1.未进行教育效果评价，扣3分；</w:t>
            </w:r>
          </w:p>
          <w:p w14:paraId="4C73A1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2.未制定改进措施并改进，扣2分。</w:t>
            </w:r>
          </w:p>
        </w:tc>
        <w:tc>
          <w:tcPr>
            <w:tcW w:w="132" w:type="pct"/>
            <w:vAlign w:val="center"/>
          </w:tcPr>
          <w:p w14:paraId="7755B89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EE844A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7A6C2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1、对培训教育效果进行了 评价和改进，见《培训效果评价表》。2、培训持续改进中，但未记录相关改进文件</w:t>
            </w:r>
          </w:p>
        </w:tc>
      </w:tr>
      <w:tr w14:paraId="2120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022907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E25276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31DE4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6.企业应确立终身教育的观念和全员培训的目标，对在岗的从业人员进行经常性安全培训教育。</w:t>
            </w:r>
          </w:p>
        </w:tc>
        <w:tc>
          <w:tcPr>
            <w:tcW w:w="710" w:type="pct"/>
          </w:tcPr>
          <w:p w14:paraId="372343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1.确立终身教育的观念和全员培训的目标；</w:t>
            </w:r>
          </w:p>
          <w:p w14:paraId="79B6C0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2.对从业人员进行经常性安全培训教育。</w:t>
            </w:r>
          </w:p>
        </w:tc>
        <w:tc>
          <w:tcPr>
            <w:tcW w:w="642" w:type="pct"/>
            <w:vAlign w:val="top"/>
          </w:tcPr>
          <w:p w14:paraId="3A7DDA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198A2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1.安全培训教育制度；</w:t>
            </w:r>
          </w:p>
          <w:p w14:paraId="4AA3EB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2.安全培训教育计划；</w:t>
            </w:r>
          </w:p>
          <w:p w14:paraId="5ADB1B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3.安全培训教育记录、档案。</w:t>
            </w:r>
          </w:p>
        </w:tc>
        <w:tc>
          <w:tcPr>
            <w:tcW w:w="574" w:type="pct"/>
          </w:tcPr>
          <w:p w14:paraId="58C50C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D7FCE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1.未进行全员培训，少1人次扣1分；</w:t>
            </w:r>
          </w:p>
          <w:p w14:paraId="0E8382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2.未进行经常性安全培训教育，1人次扣1分。</w:t>
            </w:r>
          </w:p>
        </w:tc>
        <w:tc>
          <w:tcPr>
            <w:tcW w:w="132" w:type="pct"/>
            <w:vAlign w:val="center"/>
          </w:tcPr>
          <w:p w14:paraId="6530E1E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04D8D1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w:t>
            </w:r>
            <w:r>
              <w:rPr>
                <w:rFonts w:hint="eastAsia" w:ascii="仿宋" w:hAnsi="仿宋" w:cs="仿宋"/>
                <w:sz w:val="18"/>
                <w:lang w:val="en-US" w:eastAsia="zh-CN"/>
              </w:rPr>
              <w:t>2</w:t>
            </w:r>
          </w:p>
        </w:tc>
        <w:tc>
          <w:tcPr>
            <w:tcW w:w="851" w:type="pct"/>
          </w:tcPr>
          <w:p w14:paraId="1D1F31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安排全员培训，但因特殊原因未参加培训人员的补训未完成</w:t>
            </w:r>
          </w:p>
        </w:tc>
      </w:tr>
      <w:tr w14:paraId="6BB0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28E0F9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3CE9BF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5.2从业人员岗位标准</w:t>
            </w:r>
          </w:p>
          <w:p w14:paraId="7BA1C2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tcPr>
          <w:p w14:paraId="31F7C9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68E52A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1.企业对从业人员岗位标准要求应文件化，做到明确具体；</w:t>
            </w:r>
          </w:p>
          <w:p w14:paraId="5AE44C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2.落实国家、地方及行业等部门制定的岗位标准。</w:t>
            </w:r>
          </w:p>
        </w:tc>
        <w:tc>
          <w:tcPr>
            <w:tcW w:w="642" w:type="pct"/>
          </w:tcPr>
          <w:p w14:paraId="070D61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F117D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1.载明企业从业人员岗位标准的文件；</w:t>
            </w:r>
          </w:p>
          <w:p w14:paraId="61D0AC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2.从业人员招聘资料、员工台账、档案。</w:t>
            </w:r>
          </w:p>
        </w:tc>
        <w:tc>
          <w:tcPr>
            <w:tcW w:w="574" w:type="pct"/>
          </w:tcPr>
          <w:p w14:paraId="578198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18269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1.从业人员岗位标准不明确，一项扣1分；</w:t>
            </w:r>
          </w:p>
          <w:p w14:paraId="6CE6E9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2.上岗的从业人员未满足岗位标准要求，1人次扣2分。</w:t>
            </w:r>
          </w:p>
        </w:tc>
        <w:tc>
          <w:tcPr>
            <w:tcW w:w="132" w:type="pct"/>
            <w:vAlign w:val="center"/>
          </w:tcPr>
          <w:p w14:paraId="0DF4DA9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B6C852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77240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1.从业人员岗位标准明确，见《岗位标准》。</w:t>
            </w:r>
          </w:p>
        </w:tc>
      </w:tr>
      <w:tr w14:paraId="1BFF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D1D52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77373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5.3管理人员培训</w:t>
            </w:r>
          </w:p>
          <w:p w14:paraId="61B3D1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vAlign w:val="top"/>
          </w:tcPr>
          <w:p w14:paraId="26B273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1.企业主要负责人和安全生产管理人员应接受专门的安全培训教育，经安全生产监管部门对其安全生产知识和管理能力考核合格，取得安全资格证书后方可任职，并按规定参加每年再培训。</w:t>
            </w:r>
          </w:p>
        </w:tc>
        <w:tc>
          <w:tcPr>
            <w:tcW w:w="710" w:type="pct"/>
          </w:tcPr>
          <w:p w14:paraId="473CE6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1.企业主要负责人和安全生产管理人员应接受专门的安全培训教育，经安全监管部门对其安全生产知识和管理能力考核合格，取得安全资格证书后方可任职；</w:t>
            </w:r>
          </w:p>
          <w:p w14:paraId="767B6B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2.按规定参加每年再培训。</w:t>
            </w:r>
          </w:p>
        </w:tc>
        <w:tc>
          <w:tcPr>
            <w:tcW w:w="642" w:type="pct"/>
            <w:vAlign w:val="top"/>
          </w:tcPr>
          <w:p w14:paraId="2D24F0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6A2228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安全资格证书及培训档案。</w:t>
            </w:r>
          </w:p>
        </w:tc>
        <w:tc>
          <w:tcPr>
            <w:tcW w:w="574" w:type="pct"/>
          </w:tcPr>
          <w:p w14:paraId="10D65C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主要负责人或安全生产管理人员未取得安全资格证书或证书失效，扣20分（B级要素否决项）。</w:t>
            </w:r>
          </w:p>
        </w:tc>
        <w:tc>
          <w:tcPr>
            <w:tcW w:w="716" w:type="pct"/>
          </w:tcPr>
          <w:p w14:paraId="0C7AD9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主要负责人和安全生产管理人员未按规定每年进行再培训，1人次不符合扣5分。</w:t>
            </w:r>
          </w:p>
        </w:tc>
        <w:tc>
          <w:tcPr>
            <w:tcW w:w="132" w:type="pct"/>
            <w:vAlign w:val="center"/>
          </w:tcPr>
          <w:p w14:paraId="6E7E408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04766B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A5F9FD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7C60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055FF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C4838B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D1998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2.企业其他管理人员，包括管理部门负责人和基层单位负责人、专业工程技术人员的安全培训教育由企业相关部门组织，经考核合格后方可任职。</w:t>
            </w:r>
          </w:p>
        </w:tc>
        <w:tc>
          <w:tcPr>
            <w:tcW w:w="710" w:type="pct"/>
          </w:tcPr>
          <w:p w14:paraId="05B725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1.其他管理人员，包括管理部门负责人和基层单位负责人、专业工程技术人员的安全培训教育由企业相关部门组织；</w:t>
            </w:r>
          </w:p>
          <w:p w14:paraId="18AD21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2.经考核合格后方可任职；</w:t>
            </w:r>
          </w:p>
          <w:p w14:paraId="733FF9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3.按规定参加每年再培训。</w:t>
            </w:r>
          </w:p>
        </w:tc>
        <w:tc>
          <w:tcPr>
            <w:tcW w:w="642" w:type="pct"/>
            <w:vAlign w:val="top"/>
          </w:tcPr>
          <w:p w14:paraId="74F18D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D01463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安全培训教育档案。</w:t>
            </w:r>
          </w:p>
        </w:tc>
        <w:tc>
          <w:tcPr>
            <w:tcW w:w="574" w:type="pct"/>
          </w:tcPr>
          <w:p w14:paraId="11A2B74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BEB80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1.未对其他管理人员进行安全培训教育，1人次不符合扣2分；</w:t>
            </w:r>
          </w:p>
          <w:p w14:paraId="756E31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2.未经考核合格上岗任职，1人次扣2分；</w:t>
            </w:r>
          </w:p>
          <w:p w14:paraId="5FAD69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3．未参加每年的再培训，1人次扣1分。</w:t>
            </w:r>
          </w:p>
        </w:tc>
        <w:tc>
          <w:tcPr>
            <w:tcW w:w="132" w:type="pct"/>
            <w:vAlign w:val="center"/>
          </w:tcPr>
          <w:p w14:paraId="392893F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CF0A84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w:t>
            </w:r>
            <w:r>
              <w:rPr>
                <w:rFonts w:hint="eastAsia" w:ascii="仿宋" w:hAnsi="仿宋" w:cs="仿宋"/>
                <w:sz w:val="18"/>
                <w:lang w:val="en-US" w:eastAsia="zh-CN"/>
              </w:rPr>
              <w:t>4</w:t>
            </w:r>
          </w:p>
        </w:tc>
        <w:tc>
          <w:tcPr>
            <w:tcW w:w="851" w:type="pct"/>
          </w:tcPr>
          <w:p w14:paraId="5ADA1A2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rPr>
            </w:pPr>
            <w:r>
              <w:rPr>
                <w:rFonts w:hint="eastAsia" w:ascii="仿宋" w:hAnsi="仿宋" w:eastAsia="仿宋" w:cs="仿宋"/>
                <w:sz w:val="18"/>
                <w:lang w:val="en-US" w:eastAsia="zh-CN"/>
              </w:rPr>
              <w:t>其他管理人员同其余员工一起参加培训，但因故未参加的培训，也未及时补训，扣</w:t>
            </w:r>
            <w:r>
              <w:rPr>
                <w:rFonts w:hint="eastAsia" w:ascii="仿宋" w:hAnsi="仿宋" w:cs="仿宋"/>
                <w:sz w:val="18"/>
                <w:lang w:val="en-US" w:eastAsia="zh-CN"/>
              </w:rPr>
              <w:t>3</w:t>
            </w:r>
            <w:r>
              <w:rPr>
                <w:rFonts w:hint="eastAsia" w:ascii="仿宋" w:hAnsi="仿宋" w:eastAsia="仿宋" w:cs="仿宋"/>
                <w:sz w:val="18"/>
                <w:lang w:val="en-US" w:eastAsia="zh-CN"/>
              </w:rPr>
              <w:t>分；生产副总未参加每年的再培训口1分</w:t>
            </w:r>
          </w:p>
        </w:tc>
      </w:tr>
      <w:tr w14:paraId="54F3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C74D8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D8CF2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5.4从业人员培训教育</w:t>
            </w:r>
          </w:p>
          <w:p w14:paraId="6ADB139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（30分）</w:t>
            </w:r>
          </w:p>
        </w:tc>
        <w:tc>
          <w:tcPr>
            <w:tcW w:w="719" w:type="pct"/>
            <w:vAlign w:val="top"/>
          </w:tcPr>
          <w:p w14:paraId="199C49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1.企业应对从业人员进行安全培训教育，并经考核合格后方可上岗。从业人员每年应接受再培训，再培训时间不得少于国家或地方政府规定学时。</w:t>
            </w:r>
          </w:p>
        </w:tc>
        <w:tc>
          <w:tcPr>
            <w:tcW w:w="710" w:type="pct"/>
          </w:tcPr>
          <w:p w14:paraId="681CF2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1.对从业人员进行安全培训教育，并经考核合格后方可上岗；</w:t>
            </w:r>
          </w:p>
          <w:p w14:paraId="7C0430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2.对从业人员进行安全生产法律、法规、标准、规章制度和操作规程、安全管理方法等培训；</w:t>
            </w:r>
          </w:p>
          <w:p w14:paraId="45C21E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3.从业人员每年应接受再培训，再培训时间不得少于规定学时。</w:t>
            </w:r>
          </w:p>
        </w:tc>
        <w:tc>
          <w:tcPr>
            <w:tcW w:w="642" w:type="pct"/>
            <w:vAlign w:val="top"/>
          </w:tcPr>
          <w:p w14:paraId="06C808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42107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培训教育记录、档案。</w:t>
            </w:r>
          </w:p>
          <w:p w14:paraId="160EE6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78FBE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从业人员上岗证。</w:t>
            </w:r>
          </w:p>
        </w:tc>
        <w:tc>
          <w:tcPr>
            <w:tcW w:w="574" w:type="pct"/>
          </w:tcPr>
          <w:p w14:paraId="5D867B0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471A6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1.从业人员安全培训教育、再培训未达到规定要求的学时，1人次扣2分；</w:t>
            </w:r>
          </w:p>
          <w:p w14:paraId="128F50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2.未持上岗证上岗，1人次扣2分。</w:t>
            </w:r>
          </w:p>
        </w:tc>
        <w:tc>
          <w:tcPr>
            <w:tcW w:w="132" w:type="pct"/>
            <w:vAlign w:val="center"/>
          </w:tcPr>
          <w:p w14:paraId="0086BC6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B38DE9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37204E5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1、对从业人员进行安全培训教育，并经考核合格后方可上岗；从业人员初次培训学时不少于 72 学时，每年再培训学时不少于 20 学时，符合要求，见安全教育培训档案。</w:t>
            </w:r>
          </w:p>
          <w:p w14:paraId="73F3107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2、部分人员未达到规定要求的学时口2分</w:t>
            </w:r>
          </w:p>
        </w:tc>
      </w:tr>
      <w:tr w14:paraId="3E25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92259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EE6246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FBC6C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2.企业应按有关规定，对新从业人员进行厂级、车间(工段)级、班组级安全培训教育，经考核合格后，方可上岗。新从业人员安全培训教育时间不得少于国家或地方政府规定学时。</w:t>
            </w:r>
          </w:p>
        </w:tc>
        <w:tc>
          <w:tcPr>
            <w:tcW w:w="710" w:type="pct"/>
          </w:tcPr>
          <w:p w14:paraId="360560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1.新从业人员进行厂级、车间(工段)级、班组级安全培训教育，经考核合格后，方可上岗；</w:t>
            </w:r>
          </w:p>
          <w:p w14:paraId="317427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2.三级安全培训教育的内容、学时应符合安全监管总局令第3号的规定。</w:t>
            </w:r>
          </w:p>
          <w:p w14:paraId="28A86B8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vAlign w:val="top"/>
          </w:tcPr>
          <w:p w14:paraId="08B559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274DC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从业人员安全培训教育档案、考核合格证明。</w:t>
            </w:r>
          </w:p>
          <w:p w14:paraId="3A0BE4A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现场考核：</w:t>
            </w:r>
          </w:p>
          <w:p w14:paraId="672BEB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抽查新上岗的从业人员接受三级培训教育情况。</w:t>
            </w:r>
          </w:p>
        </w:tc>
        <w:tc>
          <w:tcPr>
            <w:tcW w:w="574" w:type="pct"/>
          </w:tcPr>
          <w:p w14:paraId="68565C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未接受三级安全培训教育或考核不合格上岗，1人次扣30分（B级要素否决项）。 </w:t>
            </w:r>
          </w:p>
        </w:tc>
        <w:tc>
          <w:tcPr>
            <w:tcW w:w="716" w:type="pct"/>
          </w:tcPr>
          <w:p w14:paraId="5CDB35F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1.缺一级培训，1人次扣5分；</w:t>
            </w:r>
          </w:p>
          <w:p w14:paraId="466E11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2.三级安全培训教育内容不符合规定，一项扣2分；</w:t>
            </w:r>
          </w:p>
          <w:p w14:paraId="67D749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3.三级安全培训教育学时不符合规定，1人次扣2分。</w:t>
            </w:r>
          </w:p>
        </w:tc>
        <w:tc>
          <w:tcPr>
            <w:tcW w:w="132" w:type="pct"/>
            <w:vAlign w:val="center"/>
          </w:tcPr>
          <w:p w14:paraId="22371F0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1A1320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w:t>
            </w:r>
            <w:r>
              <w:rPr>
                <w:rFonts w:hint="eastAsia" w:ascii="仿宋" w:hAnsi="仿宋" w:cs="仿宋"/>
                <w:sz w:val="18"/>
                <w:lang w:val="en-US" w:eastAsia="zh-CN"/>
              </w:rPr>
              <w:t>2</w:t>
            </w:r>
          </w:p>
        </w:tc>
        <w:tc>
          <w:tcPr>
            <w:tcW w:w="851" w:type="pct"/>
          </w:tcPr>
          <w:p w14:paraId="2D8D20B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1.新从业人员均进行了三级安全培训教育，经考核合格后上岗，见《新员工三级安全教育记录卡》。</w:t>
            </w:r>
          </w:p>
          <w:p w14:paraId="70D48F7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2.三级安全培训教育内容，学时均符合安全监管总局令第 3 号的规定。</w:t>
            </w:r>
          </w:p>
          <w:p w14:paraId="1637E1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3、经检查发现车间级两名人员未经考核扣2分；2名老员工三级教育档案不全；</w:t>
            </w:r>
          </w:p>
        </w:tc>
      </w:tr>
      <w:tr w14:paraId="0719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256" w:type="pct"/>
            <w:vMerge w:val="continue"/>
          </w:tcPr>
          <w:p w14:paraId="65A305C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FE654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5EAC1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3.企业特种作业人员应按有关规定参加安全培训教育，取得特种作业操作证，方可上岗作业，并定期复审。</w:t>
            </w:r>
          </w:p>
        </w:tc>
        <w:tc>
          <w:tcPr>
            <w:tcW w:w="710" w:type="pct"/>
          </w:tcPr>
          <w:p w14:paraId="28CE60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1.特种作业人员及特种设备作业人员应按有关规定参加安全培训教育，取得特种作业操作证，方可上岗作业；</w:t>
            </w:r>
          </w:p>
          <w:p w14:paraId="103B53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2.特种作业操作证定期复审；</w:t>
            </w:r>
          </w:p>
          <w:p w14:paraId="1E3D46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3.建立特种作业人员及特种设备作业人员管理台账。</w:t>
            </w:r>
          </w:p>
        </w:tc>
        <w:tc>
          <w:tcPr>
            <w:tcW w:w="642" w:type="pct"/>
            <w:vAlign w:val="top"/>
          </w:tcPr>
          <w:p w14:paraId="0AEF293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D93A1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1.特种作业人员及特种设备作业人员管理台账；</w:t>
            </w:r>
          </w:p>
          <w:p w14:paraId="0DA7EE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2.特种作业操作证；</w:t>
            </w:r>
          </w:p>
          <w:p w14:paraId="25486A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3.特种作业人员和特种设备作业人员培训教育计划。</w:t>
            </w:r>
          </w:p>
          <w:p w14:paraId="41455C6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F5035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抽查现场特种作业人员、特种设备作业人员。</w:t>
            </w:r>
          </w:p>
        </w:tc>
        <w:tc>
          <w:tcPr>
            <w:tcW w:w="574" w:type="pct"/>
          </w:tcPr>
          <w:p w14:paraId="19B2CD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34CFC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1.无管理台账，扣2分；</w:t>
            </w:r>
          </w:p>
          <w:p w14:paraId="639A49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2.操作资格证未按期复审，1人次扣2分；</w:t>
            </w:r>
          </w:p>
          <w:p w14:paraId="33F31E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3.无操作证或失效，在现场从事特种作业，1人次扣10分。</w:t>
            </w:r>
          </w:p>
        </w:tc>
        <w:tc>
          <w:tcPr>
            <w:tcW w:w="132" w:type="pct"/>
            <w:vAlign w:val="center"/>
          </w:tcPr>
          <w:p w14:paraId="4CBEE6E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DFB63D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E73D6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特种作业人员及特种设备作业人员均按规定参加了安全培训教育，取得特种作业操作证，并按期复审，见特种作业人员台账、特种设备安全管理和操作人员台账。</w:t>
            </w:r>
          </w:p>
        </w:tc>
      </w:tr>
      <w:tr w14:paraId="1CDC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256" w:type="pct"/>
            <w:vMerge w:val="continue"/>
          </w:tcPr>
          <w:p w14:paraId="3A06A7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FD5014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31297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4.企业从事危险化学品运输的驾驶员、船员、押运人员，必须经所在地设区的市级人民政府交通部门考核合格（船员经海事管理机构考核合格），取得从业资格证，方可上岗作业。</w:t>
            </w:r>
          </w:p>
        </w:tc>
        <w:tc>
          <w:tcPr>
            <w:tcW w:w="710" w:type="pct"/>
          </w:tcPr>
          <w:p w14:paraId="0B298F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1.从事危险化学品运输的驾驶人员、船员、装卸管理人员、押运人员，应当经交通运输主管部门考核合格，取得从业资格证，方可上岗作业；</w:t>
            </w:r>
          </w:p>
          <w:p w14:paraId="281D41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2.建立危险化学品运输的驾驶人员、船员、押运人员管理台账。</w:t>
            </w:r>
          </w:p>
        </w:tc>
        <w:tc>
          <w:tcPr>
            <w:tcW w:w="642" w:type="pct"/>
            <w:vAlign w:val="top"/>
          </w:tcPr>
          <w:p w14:paraId="7FF400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DDDBF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1.从业资格证；</w:t>
            </w:r>
          </w:p>
          <w:p w14:paraId="38ADC8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2.管理台账。</w:t>
            </w:r>
          </w:p>
          <w:p w14:paraId="170599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4F156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抽查危险化学品运输有关人员资格证。</w:t>
            </w:r>
          </w:p>
        </w:tc>
        <w:tc>
          <w:tcPr>
            <w:tcW w:w="574" w:type="pct"/>
          </w:tcPr>
          <w:p w14:paraId="66C6DF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C4B20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1.未建立台账，扣2分；</w:t>
            </w:r>
          </w:p>
          <w:p w14:paraId="3F8497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2.资格证不在有效期内，1人次扣2分；</w:t>
            </w:r>
          </w:p>
          <w:p w14:paraId="672E71E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3.无资格证或失效从事相关作业，1人次扣10分。</w:t>
            </w:r>
          </w:p>
        </w:tc>
        <w:tc>
          <w:tcPr>
            <w:tcW w:w="132" w:type="pct"/>
            <w:vAlign w:val="center"/>
          </w:tcPr>
          <w:p w14:paraId="5CB12BC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3F86C4E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312CDC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危险化学品运输由有资 质的第三方运输 ，不涉及，空项。</w:t>
            </w:r>
          </w:p>
        </w:tc>
      </w:tr>
      <w:tr w14:paraId="3C15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6" w:type="pct"/>
            <w:vMerge w:val="continue"/>
          </w:tcPr>
          <w:p w14:paraId="0E3D69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B6338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8E5E0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5.企业应在新工艺、新技术、新装置、新产品投产前，对有关人员进行专门培训，经考核合格后，方可上岗。</w:t>
            </w:r>
          </w:p>
        </w:tc>
        <w:tc>
          <w:tcPr>
            <w:tcW w:w="710" w:type="pct"/>
          </w:tcPr>
          <w:p w14:paraId="29B614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在新工艺、新技术、新装置、新产品投产或投用前，对有关人员（操作人员和管理人员）进行专门培训，经考核合格后，方可上岗。</w:t>
            </w:r>
          </w:p>
        </w:tc>
        <w:tc>
          <w:tcPr>
            <w:tcW w:w="642" w:type="pct"/>
            <w:vAlign w:val="top"/>
          </w:tcPr>
          <w:p w14:paraId="2EA155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AE221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培训记录、培训内容、考核内容。</w:t>
            </w:r>
          </w:p>
          <w:p w14:paraId="0ABECF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02032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现场抽查上岗人员培训情况。</w:t>
            </w:r>
          </w:p>
        </w:tc>
        <w:tc>
          <w:tcPr>
            <w:tcW w:w="574" w:type="pct"/>
          </w:tcPr>
          <w:p w14:paraId="01C91E5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714F1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1.未对有关人员进行专门培训，1人次扣2分；</w:t>
            </w:r>
          </w:p>
          <w:p w14:paraId="77DD24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2.有关人员未经考核合格上岗，1人次扣2分。</w:t>
            </w:r>
          </w:p>
        </w:tc>
        <w:tc>
          <w:tcPr>
            <w:tcW w:w="132" w:type="pct"/>
            <w:vAlign w:val="center"/>
          </w:tcPr>
          <w:p w14:paraId="49EF37F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59FCF41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04C8215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30F2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256" w:type="pct"/>
            <w:vMerge w:val="continue"/>
          </w:tcPr>
          <w:p w14:paraId="1CD5B5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05F2AB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5.5其他人员培训教育</w:t>
            </w:r>
          </w:p>
          <w:p w14:paraId="4BF7F3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vAlign w:val="top"/>
          </w:tcPr>
          <w:p w14:paraId="392FC1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1.企业从业人员转岗、脱离岗位一年以上(含一年)者，应进行车间（工段）、班组级安全培训教育，经考核合格后，方可上岗。</w:t>
            </w:r>
          </w:p>
        </w:tc>
        <w:tc>
          <w:tcPr>
            <w:tcW w:w="710" w:type="pct"/>
          </w:tcPr>
          <w:p w14:paraId="22059A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从业人员转岗、脱离岗位一年以上(含一年)者，应进行车间（工段）、班组级安全培训教育，经考核合格后，方可上岗。</w:t>
            </w:r>
          </w:p>
        </w:tc>
        <w:tc>
          <w:tcPr>
            <w:tcW w:w="642" w:type="pct"/>
            <w:vAlign w:val="top"/>
          </w:tcPr>
          <w:p w14:paraId="4A06747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436A6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从业人员安全培训教育档案。</w:t>
            </w:r>
          </w:p>
        </w:tc>
        <w:tc>
          <w:tcPr>
            <w:tcW w:w="574" w:type="pct"/>
          </w:tcPr>
          <w:p w14:paraId="67FF2F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3DE4D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未进行车间（工段）、班组级安全培训教育，1人次扣2分；缺一级培训，1人次扣2分。</w:t>
            </w:r>
          </w:p>
        </w:tc>
        <w:tc>
          <w:tcPr>
            <w:tcW w:w="132" w:type="pct"/>
            <w:vAlign w:val="center"/>
          </w:tcPr>
          <w:p w14:paraId="344A7BB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B96E90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p>
        </w:tc>
        <w:tc>
          <w:tcPr>
            <w:tcW w:w="851" w:type="pct"/>
          </w:tcPr>
          <w:p w14:paraId="1E54D63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缺张柯欣、王治金转岗培训记录</w:t>
            </w:r>
            <w:r>
              <w:rPr>
                <w:rFonts w:hint="eastAsia" w:ascii="仿宋" w:hAnsi="仿宋" w:eastAsia="仿宋" w:cs="仿宋"/>
                <w:sz w:val="18"/>
                <w:lang w:val="en-US" w:eastAsia="zh-CN"/>
              </w:rPr>
              <w:t>扣4分</w:t>
            </w:r>
          </w:p>
        </w:tc>
      </w:tr>
      <w:tr w14:paraId="4120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A5820E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40699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A1881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2.企业应对外来参观、学习等人员进行有关安全规定及安全注意事项的培训教育。</w:t>
            </w:r>
          </w:p>
        </w:tc>
        <w:tc>
          <w:tcPr>
            <w:tcW w:w="710" w:type="pct"/>
          </w:tcPr>
          <w:p w14:paraId="208637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对外来参观、学习等人员进行有关安全规定及安全注意事项的培训教育。</w:t>
            </w:r>
          </w:p>
        </w:tc>
        <w:tc>
          <w:tcPr>
            <w:tcW w:w="642" w:type="pct"/>
            <w:vAlign w:val="top"/>
          </w:tcPr>
          <w:p w14:paraId="63AAC4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6763F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外来参观、学习等人员培训记录。</w:t>
            </w:r>
          </w:p>
        </w:tc>
        <w:tc>
          <w:tcPr>
            <w:tcW w:w="574" w:type="pct"/>
          </w:tcPr>
          <w:p w14:paraId="692E2C8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1ACCD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不符合标准要求，1人次扣2分。</w:t>
            </w:r>
          </w:p>
        </w:tc>
        <w:tc>
          <w:tcPr>
            <w:tcW w:w="132" w:type="pct"/>
            <w:vAlign w:val="center"/>
          </w:tcPr>
          <w:p w14:paraId="570F77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19973FA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1040F0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7174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F0F2E4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05598A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AD430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对承包商的作业人员进行入厂安全培训教育，经考核合格发放入厂证，保存安全培训教育记录。进入作业现场前，作业现场所在基层单位应对施工单位的作业人员进行进入现场前安全培训教育，保存安全培训教育记录。</w:t>
            </w:r>
          </w:p>
        </w:tc>
        <w:tc>
          <w:tcPr>
            <w:tcW w:w="710" w:type="pct"/>
          </w:tcPr>
          <w:p w14:paraId="310BFD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1.对承包商的所有人员进行入厂安全培训教育，经考核合格发放入厂证；</w:t>
            </w:r>
          </w:p>
          <w:p w14:paraId="09024B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2.进入作业现场前，作业现场所在基层单位对施工单位进行进入现场前安全培训教育；</w:t>
            </w:r>
          </w:p>
          <w:p w14:paraId="0DCE86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3.保存安全培训教育记录。</w:t>
            </w:r>
          </w:p>
        </w:tc>
        <w:tc>
          <w:tcPr>
            <w:tcW w:w="642" w:type="pct"/>
            <w:vAlign w:val="top"/>
          </w:tcPr>
          <w:p w14:paraId="11BA6C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0E974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1.厂级承包商安全培训教育记录；</w:t>
            </w:r>
          </w:p>
          <w:p w14:paraId="5BED47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2.基层单位承包商安全培训教育记录。</w:t>
            </w:r>
          </w:p>
          <w:p w14:paraId="0DD0E7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C931E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外来施工单位接受企业培训教育情况。</w:t>
            </w:r>
          </w:p>
          <w:p w14:paraId="4F5F1F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D4C91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抽查外来施工单位入厂证。</w:t>
            </w:r>
          </w:p>
        </w:tc>
        <w:tc>
          <w:tcPr>
            <w:tcW w:w="574" w:type="pct"/>
          </w:tcPr>
          <w:p w14:paraId="6BDAD4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A2CA6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1.未对承包商的所有人员进行相关安全培训教育，1人次扣2分；培训教育内容不符合有关要求，扣2分；</w:t>
            </w:r>
          </w:p>
          <w:p w14:paraId="472971C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2.承包商的人员无入厂证，1人次扣2分；</w:t>
            </w:r>
          </w:p>
          <w:p w14:paraId="76E7DA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3.未建立承包商的人员安全培训教育记录，1人次扣1分。</w:t>
            </w:r>
          </w:p>
        </w:tc>
        <w:tc>
          <w:tcPr>
            <w:tcW w:w="132" w:type="pct"/>
            <w:vAlign w:val="center"/>
          </w:tcPr>
          <w:p w14:paraId="1B89B3A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3AD92B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1A4BDF4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一名承包商未发放入场证</w:t>
            </w:r>
          </w:p>
        </w:tc>
      </w:tr>
      <w:tr w14:paraId="2FBD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256" w:type="pct"/>
            <w:vMerge w:val="continue"/>
          </w:tcPr>
          <w:p w14:paraId="7DB4C9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6E505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5.6日常安全教育</w:t>
            </w:r>
          </w:p>
          <w:p w14:paraId="14C284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vAlign w:val="top"/>
          </w:tcPr>
          <w:p w14:paraId="24A677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1.企业管理部门、班组应按照月度安全活动计划开展安全活动和基本功训练。</w:t>
            </w:r>
          </w:p>
        </w:tc>
        <w:tc>
          <w:tcPr>
            <w:tcW w:w="710" w:type="pct"/>
          </w:tcPr>
          <w:p w14:paraId="7911BD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1.管理部门、班组应明确基本功训练项目、内容和要求；</w:t>
            </w:r>
          </w:p>
          <w:p w14:paraId="1D2B2A2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2.按照月度安全活动计划开展安全活动和基本功训练。</w:t>
            </w:r>
          </w:p>
        </w:tc>
        <w:tc>
          <w:tcPr>
            <w:tcW w:w="642" w:type="pct"/>
            <w:vAlign w:val="top"/>
          </w:tcPr>
          <w:p w14:paraId="440EF9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3DC19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1.安全活动计划；</w:t>
            </w:r>
          </w:p>
          <w:p w14:paraId="62E3FE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2.管理部门和班组安全活动、基本功训练记录。</w:t>
            </w:r>
          </w:p>
        </w:tc>
        <w:tc>
          <w:tcPr>
            <w:tcW w:w="574" w:type="pct"/>
          </w:tcPr>
          <w:p w14:paraId="04903D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F8F76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1.基本功训练项目、内容和要求不明确，一项扣1分；</w:t>
            </w:r>
          </w:p>
          <w:p w14:paraId="50EAE1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2．未按计划开展安全活动，缺1次扣1分。</w:t>
            </w:r>
          </w:p>
        </w:tc>
        <w:tc>
          <w:tcPr>
            <w:tcW w:w="132" w:type="pct"/>
            <w:vAlign w:val="center"/>
          </w:tcPr>
          <w:p w14:paraId="32B1214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67A7C9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p>
        </w:tc>
        <w:tc>
          <w:tcPr>
            <w:tcW w:w="851" w:type="pct"/>
          </w:tcPr>
          <w:p w14:paraId="0CCB8D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车间</w:t>
            </w:r>
            <w:r>
              <w:rPr>
                <w:rFonts w:hint="eastAsia" w:ascii="仿宋" w:hAnsi="仿宋" w:eastAsia="仿宋" w:cs="仿宋"/>
                <w:sz w:val="18"/>
              </w:rPr>
              <w:t>未按计划开展安全活动，缺1次扣3分。</w:t>
            </w:r>
          </w:p>
        </w:tc>
      </w:tr>
      <w:tr w14:paraId="7899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21FB8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F1843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14416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班组安全活动每月不少于2次，每次活动时间不少于1学时。班组安全活动应有负责人、有计划、有内容、有记录。企业负责人应每月至少参加1次班组安全活动，基层单位负责人及其管理人员应每月至少参加2次班组安全活动。</w:t>
            </w:r>
          </w:p>
        </w:tc>
        <w:tc>
          <w:tcPr>
            <w:tcW w:w="710" w:type="pct"/>
          </w:tcPr>
          <w:p w14:paraId="321373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1.班组安全活动每月不少于2次，每次活动时间不少于1学时；</w:t>
            </w:r>
          </w:p>
          <w:p w14:paraId="143D1F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2.班组安全活动有负责人、有内容、有记录；</w:t>
            </w:r>
          </w:p>
          <w:p w14:paraId="236A89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3.企业负责人每季度至少参加1次班组安全活动，基层单位负责人及其管理人员每月至少参加2次班组安全活动，并在班组安全活动记录上签字。</w:t>
            </w:r>
          </w:p>
        </w:tc>
        <w:tc>
          <w:tcPr>
            <w:tcW w:w="642" w:type="pct"/>
            <w:vAlign w:val="top"/>
          </w:tcPr>
          <w:p w14:paraId="0EA8A5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43E18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查班组安全活动记录。</w:t>
            </w:r>
          </w:p>
        </w:tc>
        <w:tc>
          <w:tcPr>
            <w:tcW w:w="574" w:type="pct"/>
          </w:tcPr>
          <w:p w14:paraId="5893723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7C220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1.班组安全活动频次、时间或内容不符合计划或规定要求，一项扣1分；</w:t>
            </w:r>
          </w:p>
          <w:p w14:paraId="400D11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2.企业负责人、基层单位负责人及管理人员未按规定参加安全活动并签字，1人次扣1分。</w:t>
            </w:r>
          </w:p>
        </w:tc>
        <w:tc>
          <w:tcPr>
            <w:tcW w:w="132" w:type="pct"/>
            <w:vAlign w:val="center"/>
          </w:tcPr>
          <w:p w14:paraId="557F050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6C03C4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34490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有参加安全活动，但频次不够</w:t>
            </w:r>
          </w:p>
        </w:tc>
      </w:tr>
      <w:tr w14:paraId="3E33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FEAB23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32A8E8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CAD03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3.管理部门安全活动每月不少于1次，每次活动时间不少于2学时。</w:t>
            </w:r>
          </w:p>
        </w:tc>
        <w:tc>
          <w:tcPr>
            <w:tcW w:w="710" w:type="pct"/>
          </w:tcPr>
          <w:p w14:paraId="3D0796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管理部门安全活动每月不少于1次，每次活动时间不少于2学时。</w:t>
            </w:r>
          </w:p>
        </w:tc>
        <w:tc>
          <w:tcPr>
            <w:tcW w:w="642" w:type="pct"/>
            <w:vAlign w:val="top"/>
          </w:tcPr>
          <w:p w14:paraId="2BC44B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F9DD8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部门安全活动记录。</w:t>
            </w:r>
          </w:p>
        </w:tc>
        <w:tc>
          <w:tcPr>
            <w:tcW w:w="574" w:type="pct"/>
          </w:tcPr>
          <w:p w14:paraId="60CDEC8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D19C9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未按计划或规定进行安全活动，1次扣1分。</w:t>
            </w:r>
          </w:p>
        </w:tc>
        <w:tc>
          <w:tcPr>
            <w:tcW w:w="132" w:type="pct"/>
            <w:vAlign w:val="center"/>
          </w:tcPr>
          <w:p w14:paraId="2205791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64ECB8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7A71CB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22E3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8678ED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F9B9F8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668F8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4.企业安全生产管理部门或专职安全生产管理人员应每月至少1次对安全活动记录进行检查，并签字。</w:t>
            </w:r>
          </w:p>
        </w:tc>
        <w:tc>
          <w:tcPr>
            <w:tcW w:w="710" w:type="pct"/>
          </w:tcPr>
          <w:p w14:paraId="286CAF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安全生产管理部门或专职安全生产管理人员每月至少检查1次安全活动记录，并签字。</w:t>
            </w:r>
          </w:p>
        </w:tc>
        <w:tc>
          <w:tcPr>
            <w:tcW w:w="642" w:type="pct"/>
            <w:vAlign w:val="top"/>
          </w:tcPr>
          <w:p w14:paraId="1C08F5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E6C1B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安全活动记录。</w:t>
            </w:r>
          </w:p>
        </w:tc>
        <w:tc>
          <w:tcPr>
            <w:tcW w:w="574" w:type="pct"/>
          </w:tcPr>
          <w:p w14:paraId="43231D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8CD766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未按规定对安全活动记录进行检查并签字，缺1次扣1分。</w:t>
            </w:r>
          </w:p>
        </w:tc>
        <w:tc>
          <w:tcPr>
            <w:tcW w:w="132" w:type="pct"/>
            <w:vAlign w:val="center"/>
          </w:tcPr>
          <w:p w14:paraId="66458CE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0E8888B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4893CA4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未对生产部安全活动记录进行检查</w:t>
            </w:r>
            <w:r>
              <w:rPr>
                <w:rFonts w:hint="eastAsia" w:ascii="仿宋" w:hAnsi="仿宋" w:eastAsia="仿宋" w:cs="仿宋"/>
                <w:sz w:val="18"/>
                <w:lang w:val="en-US" w:eastAsia="zh-CN"/>
              </w:rPr>
              <w:t>扣2分</w:t>
            </w:r>
          </w:p>
        </w:tc>
      </w:tr>
      <w:tr w14:paraId="6B3A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256" w:type="pct"/>
            <w:vMerge w:val="continue"/>
          </w:tcPr>
          <w:p w14:paraId="24E264C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16CFE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19F8A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5.企业安全生产管理部门或专职安全生产管理人员应结合安全生产实际，制定管理部门、班组月度安全活动计划，规定活动形式、内容和要求。</w:t>
            </w:r>
          </w:p>
        </w:tc>
        <w:tc>
          <w:tcPr>
            <w:tcW w:w="710" w:type="pct"/>
          </w:tcPr>
          <w:p w14:paraId="3F47C6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1.安全生产管理部门或专职安全生产管理人员制定管理部门、班组月度安全活动计划；</w:t>
            </w:r>
          </w:p>
          <w:p w14:paraId="252DC8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2.规定活动形式、内容和要求。</w:t>
            </w:r>
          </w:p>
          <w:p w14:paraId="3125E07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F90C0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DF7E3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vAlign w:val="top"/>
          </w:tcPr>
          <w:p w14:paraId="2B123B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68B28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月度安全活动计划。</w:t>
            </w:r>
          </w:p>
        </w:tc>
        <w:tc>
          <w:tcPr>
            <w:tcW w:w="574" w:type="pct"/>
          </w:tcPr>
          <w:p w14:paraId="29A7AC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1D7D5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1.未制定月度安全活动计划，1次扣2分；</w:t>
            </w:r>
          </w:p>
          <w:p w14:paraId="3D3DA5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2.未规定安全活动形式、内容、要求等，一项扣1分。</w:t>
            </w:r>
          </w:p>
        </w:tc>
        <w:tc>
          <w:tcPr>
            <w:tcW w:w="132" w:type="pct"/>
            <w:vAlign w:val="center"/>
          </w:tcPr>
          <w:p w14:paraId="2D22014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C84627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D4A77F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0BF1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5DA2FC79">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6</w:t>
            </w:r>
            <w:r>
              <w:rPr>
                <w:rFonts w:hint="eastAsia" w:ascii="仿宋" w:hAnsi="仿宋" w:eastAsia="仿宋" w:cs="仿宋"/>
                <w:sz w:val="18"/>
                <w:lang w:val="zh-CN"/>
              </w:rPr>
              <w:t>生产设施及工艺安全</w:t>
            </w:r>
          </w:p>
          <w:p w14:paraId="5F34A2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（100分）</w:t>
            </w:r>
          </w:p>
        </w:tc>
        <w:tc>
          <w:tcPr>
            <w:tcW w:w="244" w:type="pct"/>
            <w:vMerge w:val="restart"/>
          </w:tcPr>
          <w:p w14:paraId="29797EF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6.1生产设施建设</w:t>
            </w:r>
          </w:p>
          <w:p w14:paraId="5AADBF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（10分）</w:t>
            </w:r>
          </w:p>
        </w:tc>
        <w:tc>
          <w:tcPr>
            <w:tcW w:w="719" w:type="pct"/>
            <w:vAlign w:val="top"/>
          </w:tcPr>
          <w:p w14:paraId="285C9E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1.企业应确保建设项目安全设施与建设项目的主体工程同时设计、同时施工、同时投入生产和使用。</w:t>
            </w:r>
          </w:p>
        </w:tc>
        <w:tc>
          <w:tcPr>
            <w:tcW w:w="710" w:type="pct"/>
          </w:tcPr>
          <w:p w14:paraId="102AB6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确保建设项目安全设施与建设项目的主体工程同时设计、同时施工、同时投入生产和使用。</w:t>
            </w:r>
          </w:p>
        </w:tc>
        <w:tc>
          <w:tcPr>
            <w:tcW w:w="642" w:type="pct"/>
            <w:vAlign w:val="top"/>
          </w:tcPr>
          <w:p w14:paraId="2A21A060">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4EB11A4D">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生产设施建设项目设计资料、施工记录、试生产方案、竣工验收文件等。</w:t>
            </w:r>
          </w:p>
          <w:p w14:paraId="2B7840C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现场检查：</w:t>
            </w:r>
          </w:p>
          <w:p w14:paraId="302D6A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查看安全设施投入使用情况。</w:t>
            </w:r>
          </w:p>
        </w:tc>
        <w:tc>
          <w:tcPr>
            <w:tcW w:w="574" w:type="pct"/>
          </w:tcPr>
          <w:p w14:paraId="5D71C0B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08C52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未按国家安全监管总局令第8号要求进行设计审查、安全条件论证和竣工验收的，扣100分（A级要素否决项）。</w:t>
            </w:r>
          </w:p>
        </w:tc>
        <w:tc>
          <w:tcPr>
            <w:tcW w:w="132" w:type="pct"/>
            <w:vAlign w:val="center"/>
          </w:tcPr>
          <w:p w14:paraId="15259A4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F66555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48F0762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107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CB08ED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8A193C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D8713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2.企业应按照建设项目安全许可有关规定，对建设项目的设立阶段、设计阶段、试生产阶段和竣工验收阶段规范管理。</w:t>
            </w:r>
          </w:p>
        </w:tc>
        <w:tc>
          <w:tcPr>
            <w:tcW w:w="710" w:type="pct"/>
          </w:tcPr>
          <w:p w14:paraId="19DC57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1.按照有关法律法规和国家安全监管总局有关危化品建设项目安全条件审查的规章、规范性文件规定，对建设项目的设立阶段、设计阶段、试生产阶段和竣工验收阶段规范管理；</w:t>
            </w:r>
          </w:p>
          <w:p w14:paraId="02F836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设项目建成试生产前，企业要组织设计、施工、监理和建设单位的工程技术人员进行“三查四定”；试车和投料过程要严格按照设备管道试压、吹扫、气密、单机试车、仪表调校、联动试车、化工投料试生产的程序进行；</w:t>
            </w:r>
          </w:p>
          <w:p w14:paraId="70BAB5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3.编制试生产前安全检查报告。</w:t>
            </w:r>
          </w:p>
        </w:tc>
        <w:tc>
          <w:tcPr>
            <w:tcW w:w="642" w:type="pct"/>
            <w:vAlign w:val="top"/>
          </w:tcPr>
          <w:p w14:paraId="7F98089E">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430AC5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1.新建、改建、扩建项目可行性研究报告、初步设计（</w:t>
            </w:r>
            <w:r>
              <w:rPr>
                <w:rFonts w:hint="eastAsia" w:ascii="仿宋" w:hAnsi="仿宋" w:eastAsia="仿宋" w:cs="仿宋"/>
                <w:sz w:val="18"/>
              </w:rPr>
              <w:t>“安全设施设计专篇”、“消防专篇”、“职业卫生专篇”）及批复</w:t>
            </w:r>
            <w:r>
              <w:rPr>
                <w:rFonts w:hint="eastAsia" w:ascii="仿宋" w:hAnsi="仿宋" w:eastAsia="仿宋" w:cs="仿宋"/>
                <w:sz w:val="18"/>
                <w:lang w:val="zh-CN"/>
              </w:rPr>
              <w:t>等资料；</w:t>
            </w:r>
          </w:p>
          <w:p w14:paraId="4810F8F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2.安全设施</w:t>
            </w:r>
            <w:r>
              <w:rPr>
                <w:rFonts w:hint="eastAsia" w:ascii="仿宋" w:hAnsi="仿宋" w:eastAsia="仿宋" w:cs="仿宋"/>
                <w:sz w:val="18"/>
              </w:rPr>
              <w:t>设计审查资料；</w:t>
            </w:r>
            <w:r>
              <w:rPr>
                <w:rFonts w:hint="eastAsia" w:ascii="仿宋" w:hAnsi="仿宋" w:eastAsia="仿宋" w:cs="仿宋"/>
                <w:sz w:val="18"/>
                <w:lang w:val="zh-CN"/>
              </w:rPr>
              <w:t xml:space="preserve"> </w:t>
            </w:r>
          </w:p>
          <w:p w14:paraId="5220921C">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3.建设项目设立安全评价报告；</w:t>
            </w:r>
          </w:p>
          <w:p w14:paraId="41AB77F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4.建设项目试生产方案及备案资料（</w:t>
            </w:r>
            <w:r>
              <w:rPr>
                <w:rFonts w:hint="eastAsia" w:ascii="仿宋" w:hAnsi="仿宋" w:eastAsia="仿宋" w:cs="仿宋"/>
                <w:sz w:val="18"/>
              </w:rPr>
              <w:t>施工完成情况、试生产前安全检查报告、试生产或使用过程中可能出现的安全问题及对策、采取的安全措施、事故应急救援预案等）</w:t>
            </w:r>
            <w:r>
              <w:rPr>
                <w:rFonts w:hint="eastAsia" w:ascii="仿宋" w:hAnsi="仿宋" w:eastAsia="仿宋" w:cs="仿宋"/>
                <w:sz w:val="18"/>
                <w:lang w:val="zh-CN"/>
              </w:rPr>
              <w:t>；</w:t>
            </w:r>
          </w:p>
          <w:p w14:paraId="1DC8C2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5.建设项目安全设施竣工验收资</w:t>
            </w:r>
            <w:r>
              <w:rPr>
                <w:rFonts w:hint="eastAsia" w:ascii="仿宋" w:hAnsi="仿宋" w:eastAsia="仿宋" w:cs="仿宋"/>
                <w:sz w:val="18"/>
              </w:rPr>
              <w:t>料(安全设施检验检测报告、安全监管部门出具的“安全设施竣工验收意见书”和“建设项目竣工验收安全评价报告”等)</w:t>
            </w:r>
            <w:r>
              <w:rPr>
                <w:rFonts w:hint="eastAsia" w:ascii="仿宋" w:hAnsi="仿宋" w:eastAsia="仿宋" w:cs="仿宋"/>
                <w:sz w:val="18"/>
                <w:lang w:val="zh-CN"/>
              </w:rPr>
              <w:t>。</w:t>
            </w:r>
          </w:p>
        </w:tc>
        <w:tc>
          <w:tcPr>
            <w:tcW w:w="574" w:type="pct"/>
          </w:tcPr>
          <w:p w14:paraId="2B6C2EC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BC643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建设项目各阶段资料不符合要求，或审批手续不全，一项扣3分。</w:t>
            </w:r>
          </w:p>
        </w:tc>
        <w:tc>
          <w:tcPr>
            <w:tcW w:w="132" w:type="pct"/>
            <w:vAlign w:val="center"/>
          </w:tcPr>
          <w:p w14:paraId="656B975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6590863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4764D72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r>
      <w:tr w14:paraId="1174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256" w:type="pct"/>
            <w:vMerge w:val="continue"/>
          </w:tcPr>
          <w:p w14:paraId="08ED265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D4170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58237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3.企业应对建设项目的施工过程实施有效安全监督，保证施工过程处于有序管理状态。</w:t>
            </w:r>
          </w:p>
        </w:tc>
        <w:tc>
          <w:tcPr>
            <w:tcW w:w="710" w:type="pct"/>
          </w:tcPr>
          <w:p w14:paraId="781646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1.建设项目必须由具备相应资质的单位负责设计、施工、监理； </w:t>
            </w:r>
          </w:p>
          <w:p w14:paraId="058C08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2.对建设项目的施工过程实施有效安全监督，保证施工过程处于有序管理状态。</w:t>
            </w:r>
          </w:p>
        </w:tc>
        <w:tc>
          <w:tcPr>
            <w:tcW w:w="642" w:type="pct"/>
            <w:vAlign w:val="top"/>
          </w:tcPr>
          <w:p w14:paraId="57AAFB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A7ADD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1.设计、施工、监理单位的相关资质； </w:t>
            </w:r>
          </w:p>
          <w:p w14:paraId="2C31DF7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2.施工现场安全检查记录。</w:t>
            </w:r>
          </w:p>
          <w:p w14:paraId="2474F8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074EC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施工现场安全管理情况。</w:t>
            </w:r>
          </w:p>
        </w:tc>
        <w:tc>
          <w:tcPr>
            <w:tcW w:w="574" w:type="pct"/>
          </w:tcPr>
          <w:p w14:paraId="56FC0398">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使用无资质或资质不符合规定的设计、施工、监理单位，扣100分（A级要素否决项）。</w:t>
            </w:r>
          </w:p>
        </w:tc>
        <w:tc>
          <w:tcPr>
            <w:tcW w:w="716" w:type="pct"/>
          </w:tcPr>
          <w:p w14:paraId="63A81C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1.未进行现场安全检查，扣2分；</w:t>
            </w:r>
          </w:p>
          <w:p w14:paraId="193F1B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2.现场存在不符合要求的问题，一项扣2分。</w:t>
            </w:r>
          </w:p>
        </w:tc>
        <w:tc>
          <w:tcPr>
            <w:tcW w:w="132" w:type="pct"/>
            <w:vAlign w:val="center"/>
          </w:tcPr>
          <w:p w14:paraId="3D797CC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21E9098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01E5161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2E6E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AF9824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27D170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A74CE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4.企业建设项目建设过程中的变更应严格执行变更管理规定，履行变更程序，对变更全过程进行风险管理。</w:t>
            </w:r>
          </w:p>
        </w:tc>
        <w:tc>
          <w:tcPr>
            <w:tcW w:w="710" w:type="pct"/>
          </w:tcPr>
          <w:p w14:paraId="4DBA6E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1.建设项目建设过程中的变更应严格执行变更管理规定，履行变更程序，对变更全过程进行风险管理；</w:t>
            </w:r>
          </w:p>
          <w:p w14:paraId="2D1BC8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w:t>
            </w:r>
            <w:r>
              <w:rPr>
                <w:rFonts w:hint="eastAsia" w:ascii="仿宋" w:hAnsi="仿宋" w:eastAsia="仿宋" w:cs="仿宋"/>
                <w:sz w:val="18"/>
                <w:lang w:val="zh-CN"/>
              </w:rPr>
              <w:t>符合</w:t>
            </w:r>
            <w:r>
              <w:rPr>
                <w:rFonts w:hint="eastAsia" w:ascii="仿宋" w:hAnsi="仿宋" w:eastAsia="仿宋" w:cs="仿宋"/>
                <w:sz w:val="18"/>
              </w:rPr>
              <w:t>安全监管总局有关危化品建设项目安全条件审查的规章</w:t>
            </w:r>
            <w:r>
              <w:rPr>
                <w:rFonts w:hint="eastAsia" w:ascii="仿宋" w:hAnsi="仿宋" w:eastAsia="仿宋" w:cs="仿宋"/>
                <w:sz w:val="18"/>
                <w:lang w:val="zh-CN"/>
              </w:rPr>
              <w:t>规定的变更发生后，应重新进行安全审查。</w:t>
            </w:r>
          </w:p>
        </w:tc>
        <w:tc>
          <w:tcPr>
            <w:tcW w:w="642" w:type="pct"/>
            <w:vAlign w:val="top"/>
          </w:tcPr>
          <w:p w14:paraId="0EF1A2CA">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1B946C3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1.变更资料，包括变更后向负责安全审查的安全监管部门报告的文件；</w:t>
            </w:r>
          </w:p>
          <w:p w14:paraId="07BB0F1C">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2.变更风险分析记录；</w:t>
            </w:r>
          </w:p>
          <w:p w14:paraId="040C38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3.安全评价报告和审查报告等。</w:t>
            </w:r>
          </w:p>
        </w:tc>
        <w:tc>
          <w:tcPr>
            <w:tcW w:w="574" w:type="pct"/>
          </w:tcPr>
          <w:p w14:paraId="3679F3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CF2ABA4">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1.未按变更管理程序实施变更管理的，一项扣3分；</w:t>
            </w:r>
          </w:p>
          <w:p w14:paraId="3584DDB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2.变更过程未进行风险评价，一项扣3分；</w:t>
            </w:r>
          </w:p>
          <w:p w14:paraId="24160B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3.未按</w:t>
            </w:r>
            <w:r>
              <w:rPr>
                <w:rFonts w:hint="eastAsia" w:ascii="仿宋" w:hAnsi="仿宋" w:eastAsia="仿宋" w:cs="仿宋"/>
                <w:sz w:val="18"/>
              </w:rPr>
              <w:t>安全监管总局有关危化品建设项目安全条件审查的规章</w:t>
            </w:r>
            <w:r>
              <w:rPr>
                <w:rFonts w:hint="eastAsia" w:ascii="仿宋" w:hAnsi="仿宋" w:eastAsia="仿宋" w:cs="仿宋"/>
                <w:sz w:val="18"/>
                <w:lang w:val="zh-CN"/>
              </w:rPr>
              <w:t>规定需重新进行安全评价和项目设立安全审查的变更，未履行相关手续，一项扣5分。</w:t>
            </w:r>
          </w:p>
        </w:tc>
        <w:tc>
          <w:tcPr>
            <w:tcW w:w="132" w:type="pct"/>
            <w:vAlign w:val="center"/>
          </w:tcPr>
          <w:p w14:paraId="5DD0552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47D70E7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-6</w:t>
            </w:r>
          </w:p>
        </w:tc>
        <w:tc>
          <w:tcPr>
            <w:tcW w:w="851" w:type="pct"/>
          </w:tcPr>
          <w:p w14:paraId="242ECFC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2#车间异丙醇</w:t>
            </w:r>
            <w:r>
              <w:rPr>
                <w:rFonts w:hint="eastAsia" w:ascii="仿宋" w:hAnsi="仿宋" w:eastAsia="仿宋" w:cs="仿宋"/>
                <w:sz w:val="18"/>
                <w:lang w:val="zh-CN"/>
              </w:rPr>
              <w:t>工艺变更未执行变更程序；</w:t>
            </w:r>
            <w:r>
              <w:rPr>
                <w:rFonts w:hint="eastAsia" w:ascii="仿宋" w:hAnsi="仿宋" w:eastAsia="仿宋" w:cs="仿宋"/>
                <w:sz w:val="18"/>
                <w:lang w:val="en-US" w:eastAsia="zh-CN"/>
              </w:rPr>
              <w:t>扣3分；</w:t>
            </w:r>
            <w:r>
              <w:rPr>
                <w:rFonts w:hint="eastAsia" w:ascii="仿宋" w:hAnsi="仿宋" w:eastAsia="仿宋" w:cs="仿宋"/>
                <w:sz w:val="18"/>
                <w:lang w:val="zh-CN"/>
              </w:rPr>
              <w:t>有变更管理但未开展变更风险分析无记录</w:t>
            </w:r>
            <w:r>
              <w:rPr>
                <w:rFonts w:hint="eastAsia" w:ascii="仿宋" w:hAnsi="仿宋" w:eastAsia="仿宋" w:cs="仿宋"/>
                <w:sz w:val="18"/>
                <w:lang w:val="en-US" w:eastAsia="zh-CN"/>
              </w:rPr>
              <w:t>扣，3分</w:t>
            </w:r>
          </w:p>
        </w:tc>
      </w:tr>
      <w:tr w14:paraId="5C02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5894E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8121B9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7CE48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5.企业应采用先进的、安全性能可靠的新技术、新工艺、新设备和新材料。</w:t>
            </w:r>
          </w:p>
        </w:tc>
        <w:tc>
          <w:tcPr>
            <w:tcW w:w="710" w:type="pct"/>
          </w:tcPr>
          <w:p w14:paraId="7D824C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1.采用先进的、安全性能可靠的新技术、新工艺、新设备和新材料；</w:t>
            </w:r>
          </w:p>
          <w:p w14:paraId="0A9981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2.新开发的危险化学品生产工艺，必须在小试、中试、工业化试验的基础上逐步放大到工业化生产。</w:t>
            </w:r>
          </w:p>
          <w:p w14:paraId="7CE5BB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3.国内首次采用的化工工艺，要通过省级有关部门组织专家组进行安全论证。</w:t>
            </w:r>
          </w:p>
        </w:tc>
        <w:tc>
          <w:tcPr>
            <w:tcW w:w="642" w:type="pct"/>
            <w:vAlign w:val="top"/>
          </w:tcPr>
          <w:p w14:paraId="76A95C0A">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3DE15D3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1.工艺设计文件；</w:t>
            </w:r>
          </w:p>
          <w:p w14:paraId="26C2D40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2.新工艺小试、中试、工业化试验的报告。</w:t>
            </w:r>
          </w:p>
          <w:p w14:paraId="444E6F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956EB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采用的设备、材料。</w:t>
            </w:r>
          </w:p>
        </w:tc>
        <w:tc>
          <w:tcPr>
            <w:tcW w:w="574" w:type="pct"/>
          </w:tcPr>
          <w:p w14:paraId="65D7EAE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716" w:type="pct"/>
          </w:tcPr>
          <w:p w14:paraId="1EE46D00">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1.采用国家明令淘汰的工艺、技术、设备、材料，扣100分（A级要素否决项）；</w:t>
            </w:r>
          </w:p>
          <w:p w14:paraId="579176D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2.国内首次采用的化工工艺未经论证的，扣100分（A级要素否决项）；</w:t>
            </w:r>
          </w:p>
          <w:p w14:paraId="519A10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3.</w:t>
            </w:r>
            <w:r>
              <w:rPr>
                <w:rFonts w:hint="eastAsia" w:ascii="仿宋" w:hAnsi="仿宋" w:eastAsia="仿宋" w:cs="仿宋"/>
                <w:sz w:val="18"/>
              </w:rPr>
              <w:t>新开发的危险化学品生产工艺，未经小试、中试、工业化试验直接进行工业化生产，扣10分（B级要素否决项）。</w:t>
            </w:r>
          </w:p>
        </w:tc>
        <w:tc>
          <w:tcPr>
            <w:tcW w:w="132" w:type="pct"/>
            <w:vAlign w:val="center"/>
          </w:tcPr>
          <w:p w14:paraId="0D9F82C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708D4D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851" w:type="pct"/>
          </w:tcPr>
          <w:p w14:paraId="058044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57E3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E21E5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0A9B232">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6.2安全设施</w:t>
            </w:r>
          </w:p>
          <w:p w14:paraId="1A7E17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（20分）</w:t>
            </w:r>
          </w:p>
        </w:tc>
        <w:tc>
          <w:tcPr>
            <w:tcW w:w="719" w:type="pct"/>
          </w:tcPr>
          <w:p w14:paraId="09A84E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1.企业应严格执行安全设施管理制度，建立安全设施台账。</w:t>
            </w:r>
          </w:p>
        </w:tc>
        <w:tc>
          <w:tcPr>
            <w:tcW w:w="710" w:type="pct"/>
          </w:tcPr>
          <w:p w14:paraId="7B1BE0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建立安全设施台账。</w:t>
            </w:r>
          </w:p>
        </w:tc>
        <w:tc>
          <w:tcPr>
            <w:tcW w:w="642" w:type="pct"/>
          </w:tcPr>
          <w:p w14:paraId="1C9AB66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06039F1D">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安全设施管理台账。</w:t>
            </w:r>
          </w:p>
          <w:p w14:paraId="178E932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6ACE9677">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716" w:type="pct"/>
          </w:tcPr>
          <w:p w14:paraId="37651A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未建立安全设施台账，扣5分；台账内容不符合要求，一项扣1分。</w:t>
            </w:r>
          </w:p>
        </w:tc>
        <w:tc>
          <w:tcPr>
            <w:tcW w:w="132" w:type="pct"/>
            <w:vAlign w:val="center"/>
          </w:tcPr>
          <w:p w14:paraId="1E625D4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cs="仿宋"/>
                <w:sz w:val="18"/>
                <w:lang w:val="en-US" w:eastAsia="zh-CN"/>
              </w:rPr>
              <w:t>0</w:t>
            </w:r>
          </w:p>
        </w:tc>
        <w:tc>
          <w:tcPr>
            <w:tcW w:w="152" w:type="pct"/>
            <w:vAlign w:val="center"/>
          </w:tcPr>
          <w:p w14:paraId="1EC12A9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4B6E924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未建立完整的安全设施台账</w:t>
            </w:r>
          </w:p>
        </w:tc>
      </w:tr>
      <w:tr w14:paraId="137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3F8E75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BC78B0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7E2EF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2.企业应确保安全设施配备符合国家有关规定和标准,做到：</w:t>
            </w:r>
          </w:p>
          <w:p w14:paraId="1308A6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（1）宜按照SH3063－1999在易燃、易爆、有毒区域设置固定式可燃气体和/或有毒气体的检测报警设施，报警信号应发送至工艺装置、储运设施等控制室或操作室；</w:t>
            </w:r>
          </w:p>
          <w:p w14:paraId="1335E2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（2）按照GB50351在可燃液体罐区设置防火堤，在酸、碱罐区设置围堤并进行防腐处理；</w:t>
            </w:r>
          </w:p>
          <w:p w14:paraId="7CD63D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（3）宜按照SH3097－2000在输送易燃物料的设备、管道安装防静电设施；</w:t>
            </w:r>
          </w:p>
          <w:p w14:paraId="142893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（4）按照GB50057在厂区安装防雷设施；</w:t>
            </w:r>
          </w:p>
          <w:p w14:paraId="310F47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（5）按照GB50016、GB50140配置消防设施与</w:t>
            </w:r>
          </w:p>
          <w:p w14:paraId="2433D9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器材；</w:t>
            </w:r>
          </w:p>
          <w:p w14:paraId="54AE86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（6）按照GB50058设置电力装置；</w:t>
            </w:r>
          </w:p>
          <w:p w14:paraId="4D0F89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（7）按照GB11651配备个体防护设施； </w:t>
            </w:r>
          </w:p>
          <w:p w14:paraId="6E87AD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（8）厂房、库房建筑应符合GB50016、GB50160；</w:t>
            </w:r>
          </w:p>
          <w:p w14:paraId="3F12D6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（9）在工艺装置上可能引起火灾、爆炸的部位设置超温、超压等检测仪表、声和/或光报警和安全联锁装置等设施。</w:t>
            </w:r>
          </w:p>
        </w:tc>
        <w:tc>
          <w:tcPr>
            <w:tcW w:w="710" w:type="pct"/>
          </w:tcPr>
          <w:p w14:paraId="572F41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按照国家有关规定和标准设置安全设施,做到：</w:t>
            </w:r>
          </w:p>
          <w:p w14:paraId="47F6BB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（1）按照GB50493在易燃、易爆、有毒区域设置固定式可燃气体和/或有毒有害气体泄漏的检测报警设施，报警信号应发送至工艺装置、储运设施等控制室或操作室；</w:t>
            </w:r>
          </w:p>
          <w:p w14:paraId="1DD115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（2）按照GB50351在可燃液体罐区设置防火堤，在酸、碱罐区设置围堤并进行防腐处理；</w:t>
            </w:r>
          </w:p>
          <w:p w14:paraId="63FA41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（3）宜按照SH3097－2000在输送易燃物料的设备、管道上安装防静电设施；</w:t>
            </w:r>
          </w:p>
          <w:p w14:paraId="78052F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（4）按照GB50057在厂区安装防雷设施；</w:t>
            </w:r>
          </w:p>
          <w:p w14:paraId="4A054D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（5）按照GB50016、GB50140配置消防设施与器材；</w:t>
            </w:r>
          </w:p>
          <w:p w14:paraId="2B76A8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（6）按照GB50058设置电力装置；</w:t>
            </w:r>
          </w:p>
          <w:p w14:paraId="211BA32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（7）按照GB11651配备个体防护设施； </w:t>
            </w:r>
          </w:p>
          <w:p w14:paraId="6E74A8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（8）厂房、库房建筑应符合GB50016、</w:t>
            </w:r>
          </w:p>
          <w:p w14:paraId="4E6D4A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GB50160的有关要求；</w:t>
            </w:r>
          </w:p>
          <w:p w14:paraId="152BCE6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（9）在工艺装置上可能引起火灾、爆炸的部位设置超温、超压等检测仪表、声和/或光报警和安全联锁装置等设施；</w:t>
            </w:r>
          </w:p>
          <w:p w14:paraId="20F57B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（10）新建大型和危险程度高的化工装置，在设计阶段要进行仪表系统安全完整性等级评估，选用安全可靠的仪表、联锁控制系统；</w:t>
            </w:r>
          </w:p>
          <w:p w14:paraId="1D2D709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（11）专家诊断按标准、规范应设置的其他安全设施。</w:t>
            </w:r>
          </w:p>
        </w:tc>
        <w:tc>
          <w:tcPr>
            <w:tcW w:w="642" w:type="pct"/>
          </w:tcPr>
          <w:p w14:paraId="35D65F84">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68F2F15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安全设施管理台账。</w:t>
            </w:r>
          </w:p>
          <w:p w14:paraId="36291F8C">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现场检查：</w:t>
            </w:r>
          </w:p>
          <w:p w14:paraId="3FE02D04">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各种安全设施的配备情况。</w:t>
            </w:r>
          </w:p>
          <w:p w14:paraId="7EDD36B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2C017B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1.未在危险工艺装置上可能引起火灾、爆炸的部位设置超温、超压等检测仪表、声和/或光报警和安全联锁装置等设施，扣20分（B级要素否决项）；</w:t>
            </w:r>
          </w:p>
          <w:p w14:paraId="018770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2.没有按标准设置有毒有害、可燃气体泄漏报警仪的，扣20分（B级要素否决项）；</w:t>
            </w:r>
          </w:p>
          <w:p w14:paraId="409D536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3.经专家诊断没有按标准、规范设置其他安全设施的，扣20分（B级要素否决项）。</w:t>
            </w:r>
          </w:p>
        </w:tc>
        <w:tc>
          <w:tcPr>
            <w:tcW w:w="716" w:type="pct"/>
          </w:tcPr>
          <w:p w14:paraId="2F33DE6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1.应当配备的安全设施缺失，一项扣2分；</w:t>
            </w:r>
          </w:p>
          <w:p w14:paraId="7DEAA9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2.安全设施的配备、安装不符合国家有关规定，一项扣2分；</w:t>
            </w:r>
          </w:p>
          <w:p w14:paraId="68A508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3.新建大型和危险程度高的化工装置，在设计阶段未进行仪表系统安全完整性等级评估的，扣2分</w:t>
            </w:r>
          </w:p>
        </w:tc>
        <w:tc>
          <w:tcPr>
            <w:tcW w:w="132" w:type="pct"/>
            <w:vAlign w:val="center"/>
          </w:tcPr>
          <w:p w14:paraId="0545060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827B40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2EDAE50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公用工程站使用盐酸区域未配置洗眼器，扣2分</w:t>
            </w:r>
          </w:p>
        </w:tc>
      </w:tr>
      <w:tr w14:paraId="1ACE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677727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E9542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0FA97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3523B3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二级企业化工生产装置设置自动化控制系统，涉及危险化工工艺和重点监管危险化学品的化工生产装置根据风险状况设置了安全联锁或紧急停车系统等；</w:t>
            </w:r>
          </w:p>
        </w:tc>
        <w:tc>
          <w:tcPr>
            <w:tcW w:w="642" w:type="pct"/>
          </w:tcPr>
          <w:p w14:paraId="4B591416">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3E4E0018">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安全设施管理台账。</w:t>
            </w:r>
          </w:p>
          <w:p w14:paraId="514C3B69">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现场检查：</w:t>
            </w:r>
          </w:p>
          <w:p w14:paraId="135584B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各种安全设施的设置及运行情况。</w:t>
            </w:r>
          </w:p>
          <w:p w14:paraId="177FD18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75BE1FA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B4823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二级企业化工生产装置未设置自动化控制系统，或涉及危险化工工艺和重点监管危险化学品的化工生产装置未根据风险状况设置安全联锁或紧急停车系统等，扣100分（A级要素否决项）。</w:t>
            </w:r>
          </w:p>
        </w:tc>
        <w:tc>
          <w:tcPr>
            <w:tcW w:w="132" w:type="pct"/>
            <w:vAlign w:val="center"/>
          </w:tcPr>
          <w:p w14:paraId="123BAC4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AAE987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BFFD3F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设置了安全联锁和紧急 停车系统。</w:t>
            </w:r>
          </w:p>
        </w:tc>
      </w:tr>
      <w:tr w14:paraId="085E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0857C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1CD6A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52486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3.企业的各种安全设施应有专人负责管理，定期检查和维护保养。</w:t>
            </w:r>
          </w:p>
        </w:tc>
        <w:tc>
          <w:tcPr>
            <w:tcW w:w="710" w:type="pct"/>
          </w:tcPr>
          <w:p w14:paraId="7D5F25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1.专人负责管理各种安全设施；</w:t>
            </w:r>
          </w:p>
          <w:p w14:paraId="6E2FB2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2.建立安全设施管理档案；</w:t>
            </w:r>
          </w:p>
          <w:p w14:paraId="6622B3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3.定期检查和维护保养安全设施，并建立记录。</w:t>
            </w:r>
          </w:p>
        </w:tc>
        <w:tc>
          <w:tcPr>
            <w:tcW w:w="642" w:type="pct"/>
          </w:tcPr>
          <w:p w14:paraId="7508F1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7291FA6">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1.</w:t>
            </w:r>
            <w:r>
              <w:rPr>
                <w:rFonts w:hint="eastAsia" w:ascii="仿宋" w:hAnsi="仿宋" w:eastAsia="仿宋" w:cs="仿宋"/>
                <w:sz w:val="18"/>
                <w:lang w:val="zh-CN"/>
              </w:rPr>
              <w:t>安全设施管理制度；</w:t>
            </w:r>
          </w:p>
          <w:p w14:paraId="22AB408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2.安全设施维护保养检查记录。</w:t>
            </w:r>
          </w:p>
          <w:p w14:paraId="31A721B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现场检查：</w:t>
            </w:r>
          </w:p>
          <w:p w14:paraId="7B108D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安全设施的完整性。</w:t>
            </w:r>
          </w:p>
        </w:tc>
        <w:tc>
          <w:tcPr>
            <w:tcW w:w="574" w:type="pct"/>
          </w:tcPr>
          <w:p w14:paraId="76ECF06D">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716" w:type="pct"/>
          </w:tcPr>
          <w:p w14:paraId="7F1EF62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1.</w:t>
            </w:r>
            <w:r>
              <w:rPr>
                <w:rFonts w:hint="eastAsia" w:ascii="仿宋" w:hAnsi="仿宋" w:eastAsia="仿宋" w:cs="仿宋"/>
                <w:sz w:val="18"/>
                <w:lang w:val="zh-CN"/>
              </w:rPr>
              <w:t>无专人负责管理安全设施，或无安全设施管理档案，一项扣2分；</w:t>
            </w:r>
          </w:p>
          <w:p w14:paraId="75360E3A">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2.未建立安全设施维护保养检查记录或未进行定期检查和维护保养，一项扣2分；</w:t>
            </w:r>
          </w:p>
          <w:p w14:paraId="16F8F6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3.现场安全设施不符合完整性要求，1处扣2分。</w:t>
            </w:r>
          </w:p>
        </w:tc>
        <w:tc>
          <w:tcPr>
            <w:tcW w:w="132" w:type="pct"/>
            <w:vAlign w:val="center"/>
          </w:tcPr>
          <w:p w14:paraId="0D0D410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E7838C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04CD56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zh-CN"/>
              </w:rPr>
              <w:t>无人负责安全设施的管理档案</w:t>
            </w:r>
            <w:r>
              <w:rPr>
                <w:rFonts w:hint="eastAsia" w:ascii="仿宋" w:hAnsi="仿宋" w:eastAsia="仿宋" w:cs="仿宋"/>
                <w:sz w:val="18"/>
                <w:lang w:val="en-US" w:eastAsia="zh-CN"/>
              </w:rPr>
              <w:t>扣2分</w:t>
            </w:r>
          </w:p>
        </w:tc>
      </w:tr>
      <w:tr w14:paraId="1B21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0C256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E89256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71DCD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4.安全设施应编入设备检维修计划，定期检维修。安全设施不得随意拆除、挪用或弃置不用，因检维修拆除的，检维修完毕后应立即复原。</w:t>
            </w:r>
          </w:p>
        </w:tc>
        <w:tc>
          <w:tcPr>
            <w:tcW w:w="710" w:type="pct"/>
          </w:tcPr>
          <w:p w14:paraId="42DC67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1.安全设施应编入设备检维修计划，定期检维修；</w:t>
            </w:r>
          </w:p>
          <w:p w14:paraId="74A13A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2.安全设施不得随意拆除、挪用或弃置不用，因检维修拆除的，检维修完毕后应立即复原。</w:t>
            </w:r>
          </w:p>
        </w:tc>
        <w:tc>
          <w:tcPr>
            <w:tcW w:w="642" w:type="pct"/>
          </w:tcPr>
          <w:p w14:paraId="71D1F872">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038C9A9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1.设备检维修计划；</w:t>
            </w:r>
          </w:p>
          <w:p w14:paraId="65D4CE5E">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2.安全设施检维修记录；</w:t>
            </w:r>
          </w:p>
          <w:p w14:paraId="320FD427">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3.安全设施拆除、停用资料。</w:t>
            </w:r>
          </w:p>
          <w:p w14:paraId="6AC4A84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现场检查：</w:t>
            </w:r>
          </w:p>
          <w:p w14:paraId="12A009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安全设施是否存在随意拆除、挪用或弃置不用的情况。</w:t>
            </w:r>
          </w:p>
        </w:tc>
        <w:tc>
          <w:tcPr>
            <w:tcW w:w="574" w:type="pct"/>
          </w:tcPr>
          <w:p w14:paraId="525CC68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40EDFE9">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1.未将安全设施编入设备检维修计划，一项扣2分；</w:t>
            </w:r>
          </w:p>
          <w:p w14:paraId="362D276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2.安全设施未按计划检维修的，一处扣2分；</w:t>
            </w:r>
          </w:p>
          <w:p w14:paraId="50466C3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3.随意拆除、停用、挪用或弃置不用</w:t>
            </w:r>
            <w:r>
              <w:rPr>
                <w:rFonts w:hint="eastAsia" w:ascii="仿宋" w:hAnsi="仿宋" w:eastAsia="仿宋" w:cs="仿宋"/>
                <w:sz w:val="18"/>
              </w:rPr>
              <w:t>安全设施</w:t>
            </w:r>
            <w:r>
              <w:rPr>
                <w:rFonts w:hint="eastAsia" w:ascii="仿宋" w:hAnsi="仿宋" w:eastAsia="仿宋" w:cs="仿宋"/>
                <w:sz w:val="18"/>
                <w:lang w:val="zh-CN"/>
              </w:rPr>
              <w:t>，</w:t>
            </w:r>
            <w:r>
              <w:rPr>
                <w:rFonts w:hint="eastAsia" w:ascii="仿宋" w:hAnsi="仿宋" w:eastAsia="仿宋" w:cs="仿宋"/>
                <w:sz w:val="18"/>
              </w:rPr>
              <w:t>一处</w:t>
            </w:r>
            <w:r>
              <w:rPr>
                <w:rFonts w:hint="eastAsia" w:ascii="仿宋" w:hAnsi="仿宋" w:eastAsia="仿宋" w:cs="仿宋"/>
                <w:sz w:val="18"/>
                <w:lang w:val="zh-CN"/>
              </w:rPr>
              <w:t>扣5分；</w:t>
            </w:r>
          </w:p>
          <w:p w14:paraId="43AED7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4.因检维修拆除，检维修完毕未立即复原，</w:t>
            </w:r>
            <w:r>
              <w:rPr>
                <w:rFonts w:hint="eastAsia" w:ascii="仿宋" w:hAnsi="仿宋" w:eastAsia="仿宋" w:cs="仿宋"/>
                <w:sz w:val="18"/>
              </w:rPr>
              <w:t>一处</w:t>
            </w:r>
            <w:r>
              <w:rPr>
                <w:rFonts w:hint="eastAsia" w:ascii="仿宋" w:hAnsi="仿宋" w:eastAsia="仿宋" w:cs="仿宋"/>
                <w:sz w:val="18"/>
                <w:lang w:val="zh-CN"/>
              </w:rPr>
              <w:t>扣2分。</w:t>
            </w:r>
          </w:p>
        </w:tc>
        <w:tc>
          <w:tcPr>
            <w:tcW w:w="132" w:type="pct"/>
            <w:vAlign w:val="center"/>
          </w:tcPr>
          <w:p w14:paraId="556FDEF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CB5743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76B7A7B6">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无相应的检修计划，一处扣2分；</w:t>
            </w:r>
          </w:p>
        </w:tc>
      </w:tr>
      <w:tr w14:paraId="0885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859691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ECB67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4C43A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5.企业应对监视和测量设备进行规范管理，建立监视和测量设备台账，定期进行校准和维护，并保存校准和维护活动的记录。</w:t>
            </w:r>
          </w:p>
        </w:tc>
        <w:tc>
          <w:tcPr>
            <w:tcW w:w="710" w:type="pct"/>
          </w:tcPr>
          <w:p w14:paraId="3C00CE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1.对监视和测量设备进行规范管理；</w:t>
            </w:r>
          </w:p>
          <w:p w14:paraId="23B9FD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2.建立监视和测量设备台账；</w:t>
            </w:r>
          </w:p>
          <w:p w14:paraId="30A38C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3.定期进行校准和维护；</w:t>
            </w:r>
          </w:p>
          <w:p w14:paraId="67597F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4.保存校准和维护活动的记录；</w:t>
            </w:r>
          </w:p>
          <w:p w14:paraId="54BA8A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5.对风险较高的系统或装置，要加强在线检测或功能测试，保证设备、设施的完整性。</w:t>
            </w:r>
          </w:p>
        </w:tc>
        <w:tc>
          <w:tcPr>
            <w:tcW w:w="642" w:type="pct"/>
          </w:tcPr>
          <w:p w14:paraId="543EB1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A81F5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1.监视和测量设备管理制度；</w:t>
            </w:r>
          </w:p>
          <w:p w14:paraId="465322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2.监视和测量设备台账；</w:t>
            </w:r>
          </w:p>
          <w:p w14:paraId="15431C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3.监视和测量设备检验报告；</w:t>
            </w:r>
          </w:p>
          <w:p w14:paraId="18C8DA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4.校验和维护记录。</w:t>
            </w:r>
          </w:p>
          <w:p w14:paraId="3E9CC5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66432D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监视和测量设备的完整性及校验合格标志。</w:t>
            </w:r>
          </w:p>
        </w:tc>
        <w:tc>
          <w:tcPr>
            <w:tcW w:w="574" w:type="pct"/>
          </w:tcPr>
          <w:p w14:paraId="4B631A1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D6597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1.未建立监视和测量设备台账，扣5分；台账内容不符合要求，一项扣1分；</w:t>
            </w:r>
          </w:p>
          <w:p w14:paraId="21AB1C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2.监视和测量设备维护记录内容不符合要求，一项扣2分；</w:t>
            </w:r>
          </w:p>
          <w:p w14:paraId="3DB176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3.未定期校验或校验不合格仍在使用，1台次扣5分；</w:t>
            </w:r>
          </w:p>
          <w:p w14:paraId="2B06F2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4.现场监视和测量设备不完好或无检验合格标志，1台扣2分；</w:t>
            </w:r>
          </w:p>
          <w:p w14:paraId="169FAB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5.对风险较高的系统或装置，未设置在线检测或未进行功能测试，1台次扣2分。</w:t>
            </w:r>
          </w:p>
        </w:tc>
        <w:tc>
          <w:tcPr>
            <w:tcW w:w="132" w:type="pct"/>
            <w:vAlign w:val="center"/>
          </w:tcPr>
          <w:p w14:paraId="4E8D9EC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A3669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052E1C7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台账不全</w:t>
            </w:r>
            <w:r>
              <w:rPr>
                <w:rFonts w:hint="eastAsia" w:ascii="仿宋" w:hAnsi="仿宋" w:eastAsia="仿宋" w:cs="仿宋"/>
                <w:sz w:val="18"/>
                <w:lang w:val="en-US" w:eastAsia="zh-CN"/>
              </w:rPr>
              <w:t>扣2分</w:t>
            </w:r>
          </w:p>
        </w:tc>
      </w:tr>
      <w:tr w14:paraId="76F6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D6FAC2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488F9E96">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6.3特种设备</w:t>
            </w:r>
          </w:p>
          <w:p w14:paraId="46471A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（10分）</w:t>
            </w:r>
          </w:p>
        </w:tc>
        <w:tc>
          <w:tcPr>
            <w:tcW w:w="719" w:type="pct"/>
            <w:vAlign w:val="top"/>
          </w:tcPr>
          <w:p w14:paraId="489E0C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1.企业应按照《特种设备安全监察条例》管理规定，对特种设备进行规范管理。</w:t>
            </w:r>
          </w:p>
        </w:tc>
        <w:tc>
          <w:tcPr>
            <w:tcW w:w="710" w:type="pct"/>
          </w:tcPr>
          <w:p w14:paraId="203374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按照《特种设备安全监察条例》的规定，对特种设备进行规范管理。</w:t>
            </w:r>
          </w:p>
        </w:tc>
        <w:tc>
          <w:tcPr>
            <w:tcW w:w="642" w:type="pct"/>
            <w:vAlign w:val="top"/>
          </w:tcPr>
          <w:p w14:paraId="5D698D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AC88BB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1.特种设备管理制度；</w:t>
            </w:r>
          </w:p>
          <w:p w14:paraId="1B759A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2.特种设备台账和</w:t>
            </w:r>
            <w:r>
              <w:rPr>
                <w:rFonts w:hint="eastAsia" w:ascii="仿宋" w:hAnsi="仿宋" w:eastAsia="仿宋" w:cs="仿宋"/>
                <w:sz w:val="18"/>
              </w:rPr>
              <w:t>定期检验报告。</w:t>
            </w:r>
          </w:p>
        </w:tc>
        <w:tc>
          <w:tcPr>
            <w:tcW w:w="574" w:type="pct"/>
          </w:tcPr>
          <w:p w14:paraId="438BD60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C7C1B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w:t>
            </w:r>
            <w:r>
              <w:rPr>
                <w:rFonts w:hint="eastAsia" w:ascii="仿宋" w:hAnsi="仿宋" w:eastAsia="仿宋" w:cs="仿宋"/>
                <w:sz w:val="18"/>
              </w:rPr>
              <w:t>管理制度内容不符合要求，一项扣1分；</w:t>
            </w:r>
          </w:p>
          <w:p w14:paraId="632E17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2.</w:t>
            </w:r>
            <w:r>
              <w:rPr>
                <w:rFonts w:hint="eastAsia" w:ascii="仿宋" w:hAnsi="仿宋" w:eastAsia="仿宋" w:cs="仿宋"/>
                <w:sz w:val="18"/>
              </w:rPr>
              <w:t>未定期检验，1台扣1分</w:t>
            </w:r>
            <w:r>
              <w:rPr>
                <w:rFonts w:hint="eastAsia" w:ascii="仿宋" w:hAnsi="仿宋" w:eastAsia="仿宋" w:cs="仿宋"/>
                <w:sz w:val="18"/>
                <w:lang w:val="zh-CN"/>
              </w:rPr>
              <w:t>。</w:t>
            </w:r>
          </w:p>
        </w:tc>
        <w:tc>
          <w:tcPr>
            <w:tcW w:w="132" w:type="pct"/>
            <w:vAlign w:val="center"/>
          </w:tcPr>
          <w:p w14:paraId="673F414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914518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ACF248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r>
      <w:tr w14:paraId="08F2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CBA08B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8FD5D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22A97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2.企业应建立特种设备台账和档案。</w:t>
            </w:r>
          </w:p>
        </w:tc>
        <w:tc>
          <w:tcPr>
            <w:tcW w:w="710" w:type="pct"/>
          </w:tcPr>
          <w:p w14:paraId="597CA3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建立特种设备台账和档案，包括</w:t>
            </w:r>
            <w:r>
              <w:rPr>
                <w:rFonts w:hint="eastAsia" w:ascii="仿宋" w:hAnsi="仿宋" w:eastAsia="仿宋" w:cs="仿宋"/>
                <w:sz w:val="18"/>
                <w:lang w:val="zh-CN"/>
              </w:rPr>
              <w:t>特种设备技术资料、</w:t>
            </w:r>
            <w:r>
              <w:rPr>
                <w:rFonts w:hint="eastAsia" w:ascii="仿宋" w:hAnsi="仿宋" w:eastAsia="仿宋" w:cs="仿宋"/>
                <w:sz w:val="18"/>
              </w:rPr>
              <w:t>特种设备登记注册表、特种设备及安全附件定期检测检验记录、特种设备运行记录和故障记录、特种设备日常维修保养记录、特种设备事故应急救援预案及演练记录。</w:t>
            </w:r>
          </w:p>
        </w:tc>
        <w:tc>
          <w:tcPr>
            <w:tcW w:w="642" w:type="pct"/>
            <w:vAlign w:val="top"/>
          </w:tcPr>
          <w:p w14:paraId="25668A7F">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2E7BAB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特种设备台账和档案。</w:t>
            </w:r>
          </w:p>
        </w:tc>
        <w:tc>
          <w:tcPr>
            <w:tcW w:w="574" w:type="pct"/>
          </w:tcPr>
          <w:p w14:paraId="7D26EDD0">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716" w:type="pct"/>
          </w:tcPr>
          <w:p w14:paraId="646A4C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未建立台账或档案，扣5分；台账和</w:t>
            </w:r>
            <w:r>
              <w:rPr>
                <w:rFonts w:hint="eastAsia" w:ascii="仿宋" w:hAnsi="仿宋" w:eastAsia="仿宋" w:cs="仿宋"/>
                <w:sz w:val="18"/>
              </w:rPr>
              <w:t>档案内容不符合要求</w:t>
            </w:r>
            <w:r>
              <w:rPr>
                <w:rFonts w:hint="eastAsia" w:ascii="仿宋" w:hAnsi="仿宋" w:eastAsia="仿宋" w:cs="仿宋"/>
                <w:sz w:val="18"/>
                <w:lang w:val="zh-CN"/>
              </w:rPr>
              <w:t>，</w:t>
            </w:r>
            <w:r>
              <w:rPr>
                <w:rFonts w:hint="eastAsia" w:ascii="仿宋" w:hAnsi="仿宋" w:eastAsia="仿宋" w:cs="仿宋"/>
                <w:sz w:val="18"/>
              </w:rPr>
              <w:t>一项</w:t>
            </w:r>
            <w:r>
              <w:rPr>
                <w:rFonts w:hint="eastAsia" w:ascii="仿宋" w:hAnsi="仿宋" w:eastAsia="仿宋" w:cs="仿宋"/>
                <w:sz w:val="18"/>
                <w:lang w:val="zh-CN"/>
              </w:rPr>
              <w:t>扣1分。</w:t>
            </w:r>
          </w:p>
        </w:tc>
        <w:tc>
          <w:tcPr>
            <w:tcW w:w="132" w:type="pct"/>
            <w:vAlign w:val="center"/>
          </w:tcPr>
          <w:p w14:paraId="0B1099F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15C05B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00DCE4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建立有特种设备台账和技术档案，档案类容符合《特种设备安全监察条例》规定，特种设备进行日常维护，定期检验。</w:t>
            </w:r>
          </w:p>
        </w:tc>
      </w:tr>
      <w:tr w14:paraId="66B7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7869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553F8F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7D12B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3.特种设备投入使用前或者投入使用后30日内，企业应当向直辖市或者设区的市特种设备监督管理部门登记注册。</w:t>
            </w:r>
          </w:p>
        </w:tc>
        <w:tc>
          <w:tcPr>
            <w:tcW w:w="710" w:type="pct"/>
          </w:tcPr>
          <w:p w14:paraId="5AFCF2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特种设备投入使用前或者投入使用后30日内，应当向直辖市或者设区的市特种设备监督管理部门登记，登记标志置于设备显著位置。</w:t>
            </w:r>
          </w:p>
        </w:tc>
        <w:tc>
          <w:tcPr>
            <w:tcW w:w="642" w:type="pct"/>
          </w:tcPr>
          <w:p w14:paraId="0DA40E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788D08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w:t>
            </w:r>
            <w:r>
              <w:rPr>
                <w:rFonts w:hint="eastAsia" w:ascii="仿宋" w:hAnsi="仿宋" w:eastAsia="仿宋" w:cs="仿宋"/>
                <w:sz w:val="18"/>
                <w:lang w:val="zh-CN"/>
              </w:rPr>
              <w:t>台账和</w:t>
            </w:r>
            <w:r>
              <w:rPr>
                <w:rFonts w:hint="eastAsia" w:ascii="仿宋" w:hAnsi="仿宋" w:eastAsia="仿宋" w:cs="仿宋"/>
                <w:sz w:val="18"/>
              </w:rPr>
              <w:t>档案。</w:t>
            </w:r>
          </w:p>
          <w:p w14:paraId="42A609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59B19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登记标志。</w:t>
            </w:r>
          </w:p>
        </w:tc>
        <w:tc>
          <w:tcPr>
            <w:tcW w:w="574" w:type="pct"/>
          </w:tcPr>
          <w:p w14:paraId="2FCD8D70">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716" w:type="pct"/>
          </w:tcPr>
          <w:p w14:paraId="108CE1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1.未办理登记，1台扣2分；</w:t>
            </w:r>
          </w:p>
          <w:p w14:paraId="0F5CA6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2.无标志，1台扣1分。</w:t>
            </w:r>
          </w:p>
        </w:tc>
        <w:tc>
          <w:tcPr>
            <w:tcW w:w="132" w:type="pct"/>
            <w:vAlign w:val="center"/>
          </w:tcPr>
          <w:p w14:paraId="1D5B3E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BC54E3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02A0B60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防爆叉车未办理登记；扣2分</w:t>
            </w:r>
          </w:p>
        </w:tc>
      </w:tr>
      <w:tr w14:paraId="3C1C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18D79E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ED3727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2E479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4.企业应对在用特种设备进行经常性日常维护保养，至少每月进行1次检查，并保存记录。</w:t>
            </w:r>
          </w:p>
        </w:tc>
        <w:tc>
          <w:tcPr>
            <w:tcW w:w="710" w:type="pct"/>
          </w:tcPr>
          <w:p w14:paraId="1BB1EA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对在用特种设备进行经常性日常维护保养，至少每月进行1次检查，并保存记录。</w:t>
            </w:r>
          </w:p>
        </w:tc>
        <w:tc>
          <w:tcPr>
            <w:tcW w:w="642" w:type="pct"/>
          </w:tcPr>
          <w:p w14:paraId="7A3AB3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D352C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特种设备维护保养记录。</w:t>
            </w:r>
          </w:p>
          <w:p w14:paraId="418F8C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63F663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特种设备日常维护保养状态。</w:t>
            </w:r>
          </w:p>
        </w:tc>
        <w:tc>
          <w:tcPr>
            <w:tcW w:w="574" w:type="pct"/>
          </w:tcPr>
          <w:p w14:paraId="0048F0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61A6F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1.未按规定进行检查和维护保养，扣2分；</w:t>
            </w:r>
          </w:p>
          <w:p w14:paraId="6DF697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2.未建立日常维护保养、检查记录，或记录内容不符合要求，一项扣1分；</w:t>
            </w:r>
          </w:p>
          <w:p w14:paraId="3D3CD7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3.特种设备存在缺陷，1台次扣1分。</w:t>
            </w:r>
          </w:p>
        </w:tc>
        <w:tc>
          <w:tcPr>
            <w:tcW w:w="132" w:type="pct"/>
            <w:vAlign w:val="center"/>
          </w:tcPr>
          <w:p w14:paraId="3801529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EB241A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752C6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按规定进行检查和维护保养，且频次符合要求。</w:t>
            </w:r>
          </w:p>
        </w:tc>
      </w:tr>
      <w:tr w14:paraId="1051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F375C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60EA4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5D090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5.企业应对在用特种设备及安全附件、安全保护装置、测量调控装置及有关附属仪器仪表进行定期校验、检修，并保存记录。</w:t>
            </w:r>
          </w:p>
        </w:tc>
        <w:tc>
          <w:tcPr>
            <w:tcW w:w="710" w:type="pct"/>
          </w:tcPr>
          <w:p w14:paraId="521BDA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对在用特种设备及安全附件、安全保护装置、测量调控装置及有关附属仪器仪表进行定期校验、检修，并保存记录。</w:t>
            </w:r>
          </w:p>
        </w:tc>
        <w:tc>
          <w:tcPr>
            <w:tcW w:w="642" w:type="pct"/>
            <w:vAlign w:val="top"/>
          </w:tcPr>
          <w:p w14:paraId="69F56C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FD5AD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校验报告、检修记录。</w:t>
            </w:r>
          </w:p>
        </w:tc>
        <w:tc>
          <w:tcPr>
            <w:tcW w:w="574" w:type="pct"/>
          </w:tcPr>
          <w:p w14:paraId="4F24044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0409A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1.未定期校验或无校验报告，1台次扣4分；</w:t>
            </w:r>
          </w:p>
          <w:p w14:paraId="39FDB2C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2.未定期检修或未保存记录，1台次扣1分。</w:t>
            </w:r>
          </w:p>
        </w:tc>
        <w:tc>
          <w:tcPr>
            <w:tcW w:w="132" w:type="pct"/>
            <w:vAlign w:val="center"/>
          </w:tcPr>
          <w:p w14:paraId="1766CE3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5F454A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p>
        </w:tc>
        <w:tc>
          <w:tcPr>
            <w:tcW w:w="851" w:type="pct"/>
          </w:tcPr>
          <w:p w14:paraId="4BFB40C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防爆叉车无定期校验报告扣4分；</w:t>
            </w:r>
          </w:p>
        </w:tc>
      </w:tr>
      <w:tr w14:paraId="4547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691DD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5202E3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DDB25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应在特种设备检验合格有效期届满前一个月向特种设备检验检测机构提出定期检验要求。未经定期检验或者检验不合格的特种设备，不得继续使用。企业应将安全检验合格标志置于或者附着于特种设备的显著位置。</w:t>
            </w:r>
          </w:p>
        </w:tc>
        <w:tc>
          <w:tcPr>
            <w:tcW w:w="710" w:type="pct"/>
          </w:tcPr>
          <w:p w14:paraId="29D850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1.特种设备检验合格有效期届满前一个月向特种设备检验检测机构提出定期检验要求；</w:t>
            </w:r>
          </w:p>
          <w:p w14:paraId="5F2F6B6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2.未经定期检验或者检验不合格的特种设备，不得继续使用；</w:t>
            </w:r>
          </w:p>
          <w:p w14:paraId="7ADEEA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3.将安全检验合格标志置于或者附着于特种设备的显著位置。</w:t>
            </w:r>
          </w:p>
        </w:tc>
        <w:tc>
          <w:tcPr>
            <w:tcW w:w="642" w:type="pct"/>
            <w:vAlign w:val="top"/>
          </w:tcPr>
          <w:p w14:paraId="24C1CF69">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查文件：</w:t>
            </w:r>
          </w:p>
          <w:p w14:paraId="195BCA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w:t>
            </w:r>
            <w:r>
              <w:rPr>
                <w:rFonts w:hint="eastAsia" w:ascii="仿宋" w:hAnsi="仿宋" w:eastAsia="仿宋" w:cs="仿宋"/>
                <w:sz w:val="18"/>
              </w:rPr>
              <w:t>特种设备档案；</w:t>
            </w:r>
          </w:p>
          <w:p w14:paraId="6CEFA8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2.定期检验申请资料。</w:t>
            </w:r>
          </w:p>
          <w:p w14:paraId="31BCB5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EF36C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特种设备检验合格标志。</w:t>
            </w:r>
          </w:p>
        </w:tc>
        <w:tc>
          <w:tcPr>
            <w:tcW w:w="574" w:type="pct"/>
          </w:tcPr>
          <w:p w14:paraId="2B4844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1E9FF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1.存在未检验或检验不合格或无检验报告的在用特种设备，1台次扣4分；</w:t>
            </w:r>
          </w:p>
          <w:p w14:paraId="58C9FD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2.未按规定提出检验要求的，1台次扣1分；</w:t>
            </w:r>
          </w:p>
          <w:p w14:paraId="46AFF8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3.特种设备上无检验合格标志，1台次扣1分。</w:t>
            </w:r>
          </w:p>
        </w:tc>
        <w:tc>
          <w:tcPr>
            <w:tcW w:w="132" w:type="pct"/>
            <w:vAlign w:val="center"/>
          </w:tcPr>
          <w:p w14:paraId="59F177B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8B3F91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34A51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定期进行特种设备检验，检验结果均合格，且将安全检验合格标志置于特种设备的显著位置。</w:t>
            </w:r>
          </w:p>
        </w:tc>
      </w:tr>
      <w:tr w14:paraId="5F73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8C4A42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BE5A1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shd w:val="clear" w:color="auto" w:fill="auto"/>
            <w:vAlign w:val="top"/>
          </w:tcPr>
          <w:p w14:paraId="75F46FE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7.企业特种设备存在严重事故隐患，无改造、维修价值，或者超过安全技术规范规定使用年限，应及时予以报废，并向原登记的特种设备监督管理部门办理注销。</w:t>
            </w:r>
          </w:p>
        </w:tc>
        <w:tc>
          <w:tcPr>
            <w:tcW w:w="710" w:type="pct"/>
          </w:tcPr>
          <w:p w14:paraId="7F2649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1.特种设备存在严重事故隐患，无改造、维修价值，或者超过安全技术规范规定使用年限，应及时予以报废；</w:t>
            </w:r>
          </w:p>
          <w:p w14:paraId="1B4B85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2.向原登记的特种设备监督管理部门办理注销。</w:t>
            </w:r>
          </w:p>
        </w:tc>
        <w:tc>
          <w:tcPr>
            <w:tcW w:w="642" w:type="pct"/>
          </w:tcPr>
          <w:p w14:paraId="5B49D06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A63C6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1.特种设备档案和事故隐患台账；</w:t>
            </w:r>
          </w:p>
          <w:p w14:paraId="2494D1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2.报废的特种设备注销手续。</w:t>
            </w:r>
          </w:p>
          <w:p w14:paraId="0D59C9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F7B0E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特种设备是否有报废但仍在使用的现象。</w:t>
            </w:r>
          </w:p>
        </w:tc>
        <w:tc>
          <w:tcPr>
            <w:tcW w:w="574" w:type="pct"/>
          </w:tcPr>
          <w:p w14:paraId="53587A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1.未及时报废，1台次扣10分（B级要素否决项）；</w:t>
            </w:r>
          </w:p>
          <w:p w14:paraId="27495D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2.已报废的特种设备，仍在现场使用，1台次扣10分（B级要素否决项）。</w:t>
            </w:r>
          </w:p>
        </w:tc>
        <w:tc>
          <w:tcPr>
            <w:tcW w:w="716" w:type="pct"/>
          </w:tcPr>
          <w:p w14:paraId="2867F0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未办理注销手续，1台次扣1分。</w:t>
            </w:r>
          </w:p>
        </w:tc>
        <w:tc>
          <w:tcPr>
            <w:tcW w:w="132" w:type="pct"/>
            <w:vAlign w:val="center"/>
          </w:tcPr>
          <w:p w14:paraId="67DDF44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CA796C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68EFA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特种设备全部在用，符合要求，暂无需要报废的特种设备。</w:t>
            </w:r>
          </w:p>
        </w:tc>
      </w:tr>
      <w:tr w14:paraId="1787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8A356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6C5F9A0">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6.4工艺安全</w:t>
            </w:r>
          </w:p>
          <w:p w14:paraId="5BDAE7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（25分）</w:t>
            </w:r>
          </w:p>
        </w:tc>
        <w:tc>
          <w:tcPr>
            <w:tcW w:w="719" w:type="pct"/>
            <w:vAlign w:val="top"/>
          </w:tcPr>
          <w:p w14:paraId="5A6175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1.企业操作人员应掌握工艺安全信息，主要包括：</w:t>
            </w:r>
          </w:p>
          <w:p w14:paraId="1BBC0D9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（1）化学品危险性信息：</w:t>
            </w:r>
          </w:p>
          <w:p w14:paraId="33A803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1）物理特性；</w:t>
            </w:r>
          </w:p>
          <w:p w14:paraId="34CEAC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2）化学特性，包括反应活性、腐蚀性、热和化学稳定性等；</w:t>
            </w:r>
          </w:p>
          <w:p w14:paraId="4EF6AF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3）毒性；</w:t>
            </w:r>
          </w:p>
          <w:p w14:paraId="30BD49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4）职业接触限值。</w:t>
            </w:r>
          </w:p>
          <w:p w14:paraId="5DA03F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（2）工艺信息：</w:t>
            </w:r>
          </w:p>
          <w:p w14:paraId="11AF84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1）流程图；</w:t>
            </w:r>
          </w:p>
          <w:p w14:paraId="3D0E0E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2）化学反应过程；</w:t>
            </w:r>
          </w:p>
          <w:p w14:paraId="55DFB8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3）最大储存量；</w:t>
            </w:r>
          </w:p>
          <w:p w14:paraId="43FBAB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4）工艺参数（如：压力、温度、流量）安全上下限值。</w:t>
            </w:r>
          </w:p>
          <w:p w14:paraId="1B8638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（3）设备信息:</w:t>
            </w:r>
          </w:p>
          <w:p w14:paraId="086A82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1）设备材料；</w:t>
            </w:r>
          </w:p>
          <w:p w14:paraId="3E4092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2）设备和管道图纸； </w:t>
            </w:r>
          </w:p>
          <w:p w14:paraId="21AFE3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3）电气类别；</w:t>
            </w:r>
          </w:p>
          <w:p w14:paraId="0891ED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4）调节阀系统；</w:t>
            </w:r>
          </w:p>
          <w:p w14:paraId="205E84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5）安全设施（如报警器、联锁等）。</w:t>
            </w:r>
          </w:p>
        </w:tc>
        <w:tc>
          <w:tcPr>
            <w:tcW w:w="710" w:type="pct"/>
          </w:tcPr>
          <w:p w14:paraId="6231E9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操作人员应掌握工艺安全信息，主要包括：</w:t>
            </w:r>
          </w:p>
          <w:p w14:paraId="17229F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（1）化学品危险性信息：</w:t>
            </w:r>
          </w:p>
          <w:p w14:paraId="3FD9552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1）物理特性；</w:t>
            </w:r>
          </w:p>
          <w:p w14:paraId="063EED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2）化学特性，包括反应活性、腐蚀性、热和化学稳定性等；</w:t>
            </w:r>
          </w:p>
          <w:p w14:paraId="27CAD2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3）毒性；</w:t>
            </w:r>
          </w:p>
          <w:p w14:paraId="51E2B9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4）职业接触限值。</w:t>
            </w:r>
          </w:p>
          <w:p w14:paraId="12B7A7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（2）工艺信息：</w:t>
            </w:r>
          </w:p>
          <w:p w14:paraId="690316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1）流程图；</w:t>
            </w:r>
          </w:p>
          <w:p w14:paraId="28C584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2）化学反应过程；</w:t>
            </w:r>
          </w:p>
          <w:p w14:paraId="287AD6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3）最大储存量；</w:t>
            </w:r>
          </w:p>
          <w:p w14:paraId="6724F1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4）工艺参数（如：压力、温度、流量）安全上下限值。</w:t>
            </w:r>
          </w:p>
          <w:p w14:paraId="691AB0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（3）设备信息:</w:t>
            </w:r>
          </w:p>
          <w:p w14:paraId="6E2F22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1）设备材料；</w:t>
            </w:r>
          </w:p>
          <w:p w14:paraId="66E720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2）设备和管道图纸； </w:t>
            </w:r>
          </w:p>
          <w:p w14:paraId="27F7DC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3）电气类别；</w:t>
            </w:r>
          </w:p>
          <w:p w14:paraId="0762F0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4）调节阀系统；</w:t>
            </w:r>
          </w:p>
          <w:p w14:paraId="1697AE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5）安全设施（如报警器、联锁等）。</w:t>
            </w:r>
          </w:p>
        </w:tc>
        <w:tc>
          <w:tcPr>
            <w:tcW w:w="642" w:type="pct"/>
            <w:vAlign w:val="top"/>
          </w:tcPr>
          <w:p w14:paraId="0012AA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01A13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员工培训记录。</w:t>
            </w:r>
          </w:p>
          <w:p w14:paraId="69987F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639E2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员工对岗位工艺安全信息掌握程度。</w:t>
            </w:r>
          </w:p>
        </w:tc>
        <w:tc>
          <w:tcPr>
            <w:tcW w:w="574" w:type="pct"/>
          </w:tcPr>
          <w:p w14:paraId="154450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A111C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操作人员对岗位工艺安全信息掌握程度，1人不掌握扣3分。</w:t>
            </w:r>
          </w:p>
        </w:tc>
        <w:tc>
          <w:tcPr>
            <w:tcW w:w="132" w:type="pct"/>
            <w:vAlign w:val="center"/>
          </w:tcPr>
          <w:p w14:paraId="28D3F56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96C2827">
            <w:pPr>
              <w:keepNext w:val="0"/>
              <w:keepLines w:val="0"/>
              <w:suppressLineNumbers w:val="0"/>
              <w:spacing w:before="0" w:beforeAutospacing="0" w:after="0" w:afterAutospacing="0" w:line="280" w:lineRule="exact"/>
              <w:ind w:left="0" w:right="0"/>
              <w:rPr>
                <w:rFonts w:hint="default" w:ascii="仿宋" w:hAnsi="仿宋" w:eastAsia="仿宋" w:cs="仿宋"/>
                <w:sz w:val="18"/>
                <w:lang w:val="en-US" w:eastAsia="zh-CN"/>
              </w:rPr>
            </w:pPr>
            <w:r>
              <w:rPr>
                <w:rFonts w:hint="eastAsia" w:ascii="仿宋" w:hAnsi="仿宋" w:cs="仿宋"/>
                <w:sz w:val="18"/>
                <w:lang w:val="en-US" w:eastAsia="zh-CN"/>
              </w:rPr>
              <w:t>0</w:t>
            </w:r>
          </w:p>
        </w:tc>
        <w:tc>
          <w:tcPr>
            <w:tcW w:w="851" w:type="pct"/>
          </w:tcPr>
          <w:p w14:paraId="540D4A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p>
        </w:tc>
      </w:tr>
      <w:tr w14:paraId="2365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16B65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22217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FF971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2.企业应保证下列设备设施运行安全可靠、完整：</w:t>
            </w:r>
          </w:p>
          <w:p w14:paraId="74E727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（1）压力容器和压力管道，包括管件和阀门；</w:t>
            </w:r>
          </w:p>
          <w:p w14:paraId="236C2F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（2）泄压和排空系统；</w:t>
            </w:r>
          </w:p>
          <w:p w14:paraId="46C4B1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（3）紧急停车系统；</w:t>
            </w:r>
          </w:p>
          <w:p w14:paraId="197DE10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（4）监控、报警系统；</w:t>
            </w:r>
          </w:p>
          <w:p w14:paraId="2D472F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（5）联锁系统；</w:t>
            </w:r>
          </w:p>
          <w:p w14:paraId="5005B1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（6）各类动设备，包括备用设备等。</w:t>
            </w:r>
          </w:p>
        </w:tc>
        <w:tc>
          <w:tcPr>
            <w:tcW w:w="710" w:type="pct"/>
          </w:tcPr>
          <w:p w14:paraId="4022E6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1.保证下列设备设施运行安全可靠、完整：</w:t>
            </w:r>
          </w:p>
          <w:p w14:paraId="6BD8FF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（1）压力容器和压力管道，包括管件和阀门；</w:t>
            </w:r>
          </w:p>
          <w:p w14:paraId="60114A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（2）泄压和排空系统；</w:t>
            </w:r>
          </w:p>
          <w:p w14:paraId="16A734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（3）紧急停车系统；</w:t>
            </w:r>
          </w:p>
          <w:p w14:paraId="440F15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（4）监控、报警系统；</w:t>
            </w:r>
          </w:p>
          <w:p w14:paraId="533EA7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（5）联锁系统；</w:t>
            </w:r>
          </w:p>
          <w:p w14:paraId="0134D2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（6）各类动设备，包括备用设备等。</w:t>
            </w:r>
          </w:p>
          <w:p w14:paraId="699D09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2.工艺技术自动控制水平低的重点危险化学品企业要制定技术改造计划，完成自动化控制技术改造。</w:t>
            </w:r>
          </w:p>
        </w:tc>
        <w:tc>
          <w:tcPr>
            <w:tcW w:w="642" w:type="pct"/>
            <w:vAlign w:val="top"/>
          </w:tcPr>
          <w:p w14:paraId="7EDF90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1BC81C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1.压力容器和压力管道及安全附件检验报告；</w:t>
            </w:r>
          </w:p>
          <w:p w14:paraId="1E5CC39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2.安全阀检验报告；爆破片、防爆膜合格证及更换记录； </w:t>
            </w:r>
          </w:p>
          <w:p w14:paraId="26763E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3.紧急停车系统分布图及维护记录； </w:t>
            </w:r>
          </w:p>
          <w:p w14:paraId="32BFED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4.监控、报警系统、联锁系统维护、调试记录；</w:t>
            </w:r>
          </w:p>
          <w:p w14:paraId="21BA96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5.各类动设备，包括备用设备维护保养记录等；</w:t>
            </w:r>
          </w:p>
          <w:p w14:paraId="42E6D3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6.工艺控制流程图及自动化控制资料。</w:t>
            </w:r>
          </w:p>
          <w:p w14:paraId="2F02A4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4A4EA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标准规定的各类设备设施的完整性。</w:t>
            </w:r>
          </w:p>
        </w:tc>
        <w:tc>
          <w:tcPr>
            <w:tcW w:w="574" w:type="pct"/>
          </w:tcPr>
          <w:p w14:paraId="016A3F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1.压力容器及附件未检验或检验不合格，一项扣25分（B级要素否决项）；</w:t>
            </w:r>
          </w:p>
          <w:p w14:paraId="631BA1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2.危险工艺未按规定实现自动化控制的，扣100分（A级要素否决项）。</w:t>
            </w:r>
          </w:p>
        </w:tc>
        <w:tc>
          <w:tcPr>
            <w:tcW w:w="716" w:type="pct"/>
          </w:tcPr>
          <w:p w14:paraId="243D6DF3">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1.压力管道未检验或检验不合格，一项扣1分；</w:t>
            </w:r>
          </w:p>
          <w:p w14:paraId="769E88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2.安全阀未检验或检验不合格；爆破片、防爆膜不合格或未定期更换，或未做更换记录，一项扣2分；</w:t>
            </w:r>
          </w:p>
          <w:p w14:paraId="506057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3.紧急停车系统失效或未进行日常维护，一项扣2分；</w:t>
            </w:r>
          </w:p>
          <w:p w14:paraId="124A80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4.监控、报警系统、联锁系统未经调试或失效，一项扣2分；</w:t>
            </w:r>
          </w:p>
          <w:p w14:paraId="39001349">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5.安全阀、排空系统、火炬设置不符合要求，一处扣2分；</w:t>
            </w:r>
            <w:r>
              <w:rPr>
                <w:rFonts w:hint="eastAsia" w:ascii="仿宋" w:hAnsi="仿宋" w:eastAsia="仿宋" w:cs="仿宋"/>
                <w:sz w:val="18"/>
                <w:lang w:val="zh-CN"/>
              </w:rPr>
              <w:t xml:space="preserve"> </w:t>
            </w:r>
          </w:p>
          <w:p w14:paraId="7091F8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6.机泵等动设备运行不正常，振动超标、有泄漏；备用设备未进行定期盘车或无记录，一项扣2分。</w:t>
            </w:r>
          </w:p>
        </w:tc>
        <w:tc>
          <w:tcPr>
            <w:tcW w:w="132" w:type="pct"/>
            <w:vAlign w:val="center"/>
          </w:tcPr>
          <w:p w14:paraId="6DAD7EB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2D5C31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E0AB3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1.压力容器和压力管道，包括管件和阀门；泄压和排空系统；紧急停车系统；监控、报警系统；联锁系统；各类动设备，包括备用设备等设备设施运行安全可靠、完整。</w:t>
            </w:r>
          </w:p>
          <w:p w14:paraId="3E2782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2.压力容器、压力管道及附件定期检验，检验结果均合格，见特种设备技术档案定期检验报告。</w:t>
            </w:r>
          </w:p>
          <w:p w14:paraId="41BD53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3.安全阀定期检验，检验结果均合格，见特种设备技术档案安全阀定期检验报告。</w:t>
            </w:r>
          </w:p>
          <w:p w14:paraId="3A0980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4.紧急停车系统进行日常维护，完好有效。</w:t>
            </w:r>
          </w:p>
          <w:p w14:paraId="00691541">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5.监控、报警系统、联锁系统进行调试，完好有效</w:t>
            </w:r>
            <w:r>
              <w:rPr>
                <w:rFonts w:hint="eastAsia" w:ascii="仿宋" w:hAnsi="仿宋" w:eastAsia="仿宋" w:cs="仿宋"/>
                <w:sz w:val="18"/>
                <w:lang w:eastAsia="zh-CN"/>
              </w:rPr>
              <w:t>，</w:t>
            </w:r>
            <w:r>
              <w:rPr>
                <w:rFonts w:hint="eastAsia" w:ascii="仿宋" w:hAnsi="仿宋" w:eastAsia="仿宋" w:cs="仿宋"/>
                <w:sz w:val="18"/>
              </w:rPr>
              <w:t>见《联锁调试记录》</w:t>
            </w:r>
            <w:r>
              <w:rPr>
                <w:rFonts w:hint="eastAsia" w:ascii="仿宋" w:hAnsi="仿宋" w:eastAsia="仿宋" w:cs="仿宋"/>
                <w:sz w:val="18"/>
                <w:lang w:eastAsia="zh-CN"/>
              </w:rPr>
              <w:t>。</w:t>
            </w:r>
          </w:p>
          <w:p w14:paraId="39190D53">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eastAsia="zh-CN"/>
              </w:rPr>
              <w:t>6.机泵等动设备运行正常，振动未超标、现场无泄漏；</w:t>
            </w:r>
          </w:p>
        </w:tc>
      </w:tr>
      <w:tr w14:paraId="6A99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6" w:type="pct"/>
            <w:vMerge w:val="continue"/>
          </w:tcPr>
          <w:p w14:paraId="3E00697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CF55F4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D9692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3.企业应对工艺过程进行风险分析：</w:t>
            </w:r>
          </w:p>
          <w:p w14:paraId="645039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（1）工艺过程中的危险性；</w:t>
            </w:r>
          </w:p>
          <w:p w14:paraId="757CFF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（2）工作场所潜在事故发生因素；</w:t>
            </w:r>
          </w:p>
          <w:p w14:paraId="3C603E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（3）控制失效的影响；</w:t>
            </w:r>
          </w:p>
          <w:p w14:paraId="77322A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（4）人为因素等。</w:t>
            </w:r>
          </w:p>
        </w:tc>
        <w:tc>
          <w:tcPr>
            <w:tcW w:w="710" w:type="pct"/>
          </w:tcPr>
          <w:p w14:paraId="692CCE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1.要从工艺、设备、仪表、控制、应急响应等方面开展系统的工艺过程风险分析；</w:t>
            </w:r>
          </w:p>
          <w:p w14:paraId="201792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2.对工艺过程进行风险分析，包括：</w:t>
            </w:r>
          </w:p>
          <w:p w14:paraId="628697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（1）工艺过程中的危险性；</w:t>
            </w:r>
          </w:p>
          <w:p w14:paraId="33362D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（2）工作场所潜在事故发生因素；</w:t>
            </w:r>
          </w:p>
          <w:p w14:paraId="70E381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（3）控制失效的影响；</w:t>
            </w:r>
          </w:p>
          <w:p w14:paraId="40A89BF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（4）人为因素等。</w:t>
            </w:r>
          </w:p>
        </w:tc>
        <w:tc>
          <w:tcPr>
            <w:tcW w:w="642" w:type="pct"/>
          </w:tcPr>
          <w:p w14:paraId="7B9640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C5CD7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1.风险评价记录；</w:t>
            </w:r>
          </w:p>
          <w:p w14:paraId="09BC48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2.岗位操作规程。</w:t>
            </w:r>
          </w:p>
          <w:p w14:paraId="318EFD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F1E5A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操作人员对工艺过程中的风险的认知程度。</w:t>
            </w:r>
          </w:p>
        </w:tc>
        <w:tc>
          <w:tcPr>
            <w:tcW w:w="574" w:type="pct"/>
          </w:tcPr>
          <w:p w14:paraId="7147B7B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DFEDD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1.未对工艺过程进行风险分析，一个单元扣3分；</w:t>
            </w:r>
          </w:p>
          <w:p w14:paraId="75654C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2.岗位操作规程内容中未针对工艺操作中的风险制定安全措施及应急处置措施，一项扣1分；</w:t>
            </w:r>
          </w:p>
          <w:p w14:paraId="2B3A3D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3.操作人员不清楚岗位风险及控制措施，1人次扣1分。</w:t>
            </w:r>
          </w:p>
        </w:tc>
        <w:tc>
          <w:tcPr>
            <w:tcW w:w="132" w:type="pct"/>
            <w:vAlign w:val="center"/>
          </w:tcPr>
          <w:p w14:paraId="190049F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B6AAB1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348FB90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1.对工艺过程进行了风险分析，见《安全风险分级指南和隐患排查治理双控预防手册》。</w:t>
            </w:r>
          </w:p>
          <w:p w14:paraId="7B14E1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2、岗位操作规程内容中针对工艺操作中的风险制定有安全措施及应急处置措施，见《岗位安全操作规程》。</w:t>
            </w:r>
          </w:p>
          <w:p w14:paraId="0AA1B4E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3.经现场检查，1 人不清楚岗位风险及控制措施，扣 1 分。</w:t>
            </w:r>
          </w:p>
        </w:tc>
      </w:tr>
      <w:tr w14:paraId="0FAD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56" w:type="pct"/>
            <w:vMerge w:val="continue"/>
          </w:tcPr>
          <w:p w14:paraId="6F850F1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148775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B2B45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3FA7941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一级企业涉及危险化工工艺和重点监管危险化学品的化工生产装置进行过危险与可操作性分析（HAZOP），并定期应用先进的工艺（过程）安全分析技术开展工艺（过程）安全分析。</w:t>
            </w:r>
          </w:p>
        </w:tc>
        <w:tc>
          <w:tcPr>
            <w:tcW w:w="642" w:type="pct"/>
          </w:tcPr>
          <w:p w14:paraId="63152E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530E7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1.涉及危险化工工艺和重点监管危险化学品的化工生产装置进行危险与可操作性分析（HAZOP）记录、报告；</w:t>
            </w:r>
          </w:p>
          <w:p w14:paraId="4BA2F5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2.定期应用先进的工艺（过程）安全分析技术开展工艺（过程）安全分析的记录、报告。</w:t>
            </w:r>
          </w:p>
        </w:tc>
        <w:tc>
          <w:tcPr>
            <w:tcW w:w="574" w:type="pct"/>
          </w:tcPr>
          <w:p w14:paraId="6EFA8B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D40E4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1.生产装置开车前安全条件确认检查表；</w:t>
            </w:r>
          </w:p>
          <w:p w14:paraId="03147B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2.系统气密、置换及动设备空试记录；</w:t>
            </w:r>
          </w:p>
          <w:p w14:paraId="59C3A3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3.装置开车方案；</w:t>
            </w:r>
          </w:p>
          <w:p w14:paraId="64EDF0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4.操作规程和应急预案；</w:t>
            </w:r>
          </w:p>
          <w:p w14:paraId="16EB43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5.操作人员培训记录；</w:t>
            </w:r>
          </w:p>
          <w:p w14:paraId="4A7B42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6.开车前隐患排查与整改记录。</w:t>
            </w:r>
          </w:p>
        </w:tc>
        <w:tc>
          <w:tcPr>
            <w:tcW w:w="716" w:type="pct"/>
          </w:tcPr>
          <w:p w14:paraId="440209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一级企业涉及危险化工工艺和重点监管危险化学品的化工生产装置未进行过危险与可操作性分析（HAZOP），或未定期应用先进的工艺（过程）安全分析技术开展工艺（过程）安全分析，扣100分（A级要素否决项）。</w:t>
            </w:r>
          </w:p>
        </w:tc>
        <w:tc>
          <w:tcPr>
            <w:tcW w:w="132" w:type="pct"/>
            <w:vAlign w:val="center"/>
          </w:tcPr>
          <w:p w14:paraId="12B5B3C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EB9294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72F4BF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已开展</w:t>
            </w:r>
            <w:r>
              <w:rPr>
                <w:rFonts w:hint="eastAsia" w:ascii="仿宋" w:hAnsi="仿宋" w:eastAsia="仿宋" w:cs="仿宋"/>
                <w:sz w:val="18"/>
              </w:rPr>
              <w:t>危险与可操作性分析（HAZOP）</w:t>
            </w:r>
            <w:r>
              <w:rPr>
                <w:rFonts w:hint="eastAsia" w:ascii="仿宋" w:hAnsi="仿宋" w:eastAsia="仿宋" w:cs="仿宋"/>
                <w:sz w:val="18"/>
                <w:lang w:eastAsia="zh-CN"/>
              </w:rPr>
              <w:t>，</w:t>
            </w:r>
            <w:r>
              <w:rPr>
                <w:rFonts w:hint="eastAsia" w:ascii="仿宋" w:hAnsi="仿宋" w:eastAsia="仿宋" w:cs="仿宋"/>
                <w:sz w:val="18"/>
                <w:lang w:val="en-US" w:eastAsia="zh-CN"/>
              </w:rPr>
              <w:t>见《HAZOP分析报告》。</w:t>
            </w:r>
          </w:p>
        </w:tc>
      </w:tr>
      <w:tr w14:paraId="48E7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BECC0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5D4B27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9841B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4.企业生产装置开车前应组织检查,进行安全条件确认。安全条件应满足下列要求：</w:t>
            </w:r>
          </w:p>
          <w:p w14:paraId="5C15E9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（1)现场工艺和设备符合设计规范；</w:t>
            </w:r>
          </w:p>
          <w:p w14:paraId="5B4A25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（2）系统气密测试、设施空运转调试合格；</w:t>
            </w:r>
          </w:p>
          <w:p w14:paraId="510119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（3）操作规程和应急预案已制订；</w:t>
            </w:r>
          </w:p>
          <w:p w14:paraId="3EF51F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（4）编制并落实了装置开车方案；</w:t>
            </w:r>
          </w:p>
          <w:p w14:paraId="0C18E0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（5）操作人员培训合格；</w:t>
            </w:r>
          </w:p>
          <w:p w14:paraId="5DE90D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（6）各种危险已消除或控制。</w:t>
            </w:r>
          </w:p>
        </w:tc>
        <w:tc>
          <w:tcPr>
            <w:tcW w:w="710" w:type="pct"/>
          </w:tcPr>
          <w:p w14:paraId="659922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生产装置开车前应组织检查,进行安全条件确认。安全条件应满足下列要求：</w:t>
            </w:r>
          </w:p>
          <w:p w14:paraId="53EB9F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（1）现场工艺和设备符合设计规范；</w:t>
            </w:r>
          </w:p>
          <w:p w14:paraId="5E34AE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（2）系统气密测试、设施空运转调试合格；</w:t>
            </w:r>
          </w:p>
          <w:p w14:paraId="553970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（3）操作规程和应急预案已制订；</w:t>
            </w:r>
          </w:p>
          <w:p w14:paraId="37A97B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（4）编制并落实了装置开车方案；</w:t>
            </w:r>
          </w:p>
          <w:p w14:paraId="33FA68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（5）操作人员培训合格；</w:t>
            </w:r>
          </w:p>
          <w:p w14:paraId="3244E3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（6）各种危险已消除或控制。</w:t>
            </w:r>
          </w:p>
        </w:tc>
        <w:tc>
          <w:tcPr>
            <w:tcW w:w="642" w:type="pct"/>
          </w:tcPr>
          <w:p w14:paraId="4FB5ED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E77A0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1.生产装置开车前安全条件确认检查表；</w:t>
            </w:r>
          </w:p>
          <w:p w14:paraId="43D421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2.系统气密、置换及动设备空试记录；</w:t>
            </w:r>
          </w:p>
          <w:p w14:paraId="3E5D00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3.装置开车方案；</w:t>
            </w:r>
          </w:p>
          <w:p w14:paraId="7E8753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4.操作规程和应急预案；</w:t>
            </w:r>
          </w:p>
          <w:p w14:paraId="47684D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5.操作人员培训记录；</w:t>
            </w:r>
          </w:p>
          <w:p w14:paraId="090E60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6.开车前隐患排查与整改记录。</w:t>
            </w:r>
          </w:p>
        </w:tc>
        <w:tc>
          <w:tcPr>
            <w:tcW w:w="574" w:type="pct"/>
          </w:tcPr>
          <w:p w14:paraId="6836C4B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253287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1.未制定安全条件确认表，或内容不符合要求，一项扣1分；</w:t>
            </w:r>
          </w:p>
          <w:p w14:paraId="763C18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2.未进行系统气密测试、置换及动设备空试或无记录，一项扣3分；</w:t>
            </w:r>
          </w:p>
          <w:p w14:paraId="267996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3.没有编制装置开车方案，扣3分；</w:t>
            </w:r>
          </w:p>
          <w:p w14:paraId="4CA9FD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4.没有编制操作规程和应急预案，一项扣2分；</w:t>
            </w:r>
          </w:p>
          <w:p w14:paraId="582928D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5.操作人员未经培训合格,1人次扣1分；</w:t>
            </w:r>
          </w:p>
          <w:p w14:paraId="463071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6.开车前未进行隐患整改，扣3分。</w:t>
            </w:r>
          </w:p>
        </w:tc>
        <w:tc>
          <w:tcPr>
            <w:tcW w:w="132" w:type="pct"/>
            <w:vAlign w:val="center"/>
          </w:tcPr>
          <w:p w14:paraId="07829A5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30042D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6764E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1.生产装置开车前组织检查,进行安全条件确认，见开车方案。</w:t>
            </w:r>
          </w:p>
          <w:p w14:paraId="628DA8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2.进行系统气密测试、置换及动设备空试，见开车方案。</w:t>
            </w:r>
          </w:p>
          <w:p w14:paraId="51609F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3.编制有装置开车方案。 </w:t>
            </w:r>
          </w:p>
          <w:p w14:paraId="7D3BC3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4.编制有操作规程和应急预案，见开车方案。</w:t>
            </w:r>
          </w:p>
          <w:p w14:paraId="1B368B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5.操作人员均培训合格后上岗，见开车方案安全培训记录。</w:t>
            </w:r>
          </w:p>
          <w:p w14:paraId="729E4EC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6.开车前进行了安全检查和隐患整改，见开车方</w:t>
            </w:r>
            <w:r>
              <w:rPr>
                <w:rFonts w:hint="eastAsia" w:ascii="仿宋" w:hAnsi="仿宋" w:eastAsia="仿宋" w:cs="仿宋"/>
                <w:sz w:val="18"/>
                <w:lang w:val="en-US" w:eastAsia="zh-CN"/>
              </w:rPr>
              <w:t>案。</w:t>
            </w:r>
          </w:p>
        </w:tc>
      </w:tr>
      <w:tr w14:paraId="0118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E3ABD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83CD1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1E837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5.企业生产装置停车应满足下列要求：</w:t>
            </w:r>
          </w:p>
          <w:p w14:paraId="44C46B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（1）编制停车方案；</w:t>
            </w:r>
          </w:p>
          <w:p w14:paraId="6A0A41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（2）操作人员能够按停车方案和操作规程进行操作。</w:t>
            </w:r>
          </w:p>
        </w:tc>
        <w:tc>
          <w:tcPr>
            <w:tcW w:w="710" w:type="pct"/>
          </w:tcPr>
          <w:p w14:paraId="6EBCFD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生产装置停车应满足下列要求：</w:t>
            </w:r>
          </w:p>
          <w:p w14:paraId="2EDC0C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（1）编制停车方案；</w:t>
            </w:r>
          </w:p>
          <w:p w14:paraId="0E0F1C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（2）操作人员能够按停车方案和操作规程进行操作。</w:t>
            </w:r>
          </w:p>
        </w:tc>
        <w:tc>
          <w:tcPr>
            <w:tcW w:w="642" w:type="pct"/>
          </w:tcPr>
          <w:p w14:paraId="2BE787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D00EA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1.停车方案；</w:t>
            </w:r>
          </w:p>
          <w:p w14:paraId="421480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2.停车操作记录。</w:t>
            </w:r>
          </w:p>
          <w:p w14:paraId="624F7A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520C4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有关人员是否清楚停车要求。</w:t>
            </w:r>
          </w:p>
        </w:tc>
        <w:tc>
          <w:tcPr>
            <w:tcW w:w="574" w:type="pct"/>
          </w:tcPr>
          <w:p w14:paraId="38BC2E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5EAE5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1.未编制停车方案，扣3分；停车方案内容，一项不符合扣1分；</w:t>
            </w:r>
          </w:p>
          <w:p w14:paraId="7883B3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2.未执行操作规程和停车方案停车，1次扣3分；</w:t>
            </w:r>
          </w:p>
          <w:p w14:paraId="5D8A78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3.有关人员不清楚停车要求，1人次扣1分。</w:t>
            </w:r>
          </w:p>
        </w:tc>
        <w:tc>
          <w:tcPr>
            <w:tcW w:w="132" w:type="pct"/>
            <w:vAlign w:val="center"/>
          </w:tcPr>
          <w:p w14:paraId="0E1217A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5B355F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1207E2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1.编制了停车方案，能够按停车方案和操作规程进行操作，见停车方案。</w:t>
            </w:r>
          </w:p>
          <w:p w14:paraId="604EF5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2.经现场检查，1 人不清楚停车要求，扣 1 分。</w:t>
            </w:r>
          </w:p>
        </w:tc>
      </w:tr>
      <w:tr w14:paraId="72C3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A47C3B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C22CE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688D5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6.企业生产装置紧急情况处理应遵守下列要求：</w:t>
            </w:r>
          </w:p>
          <w:p w14:paraId="09DA5D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（1）发现或发生紧急情况，应按照不伤害人员为原则，妥善处理，同时向有关方面报告；</w:t>
            </w:r>
          </w:p>
          <w:p w14:paraId="5DA94D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（2）工艺及机电设备等发生异常情况时，采取适当的措施，并通知有关岗位协调处理，必要时，按程序紧急停车。</w:t>
            </w:r>
          </w:p>
        </w:tc>
        <w:tc>
          <w:tcPr>
            <w:tcW w:w="710" w:type="pct"/>
          </w:tcPr>
          <w:p w14:paraId="5584C5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生产装置紧急情况处理应遵守下列要求：</w:t>
            </w:r>
          </w:p>
          <w:p w14:paraId="0ADCD9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（1）发现或发生紧急情况，应按照不伤害人员为原则，妥善处理，同时向有关方面报告；</w:t>
            </w:r>
          </w:p>
          <w:p w14:paraId="09592A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（2）工艺及机电设备等发生异常情况时，应及时采取适当的措施，并通知有关岗位协调处理，必要时，按程序紧急停车。</w:t>
            </w:r>
          </w:p>
        </w:tc>
        <w:tc>
          <w:tcPr>
            <w:tcW w:w="642" w:type="pct"/>
          </w:tcPr>
          <w:p w14:paraId="61074A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88A82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1.操作规程；</w:t>
            </w:r>
          </w:p>
          <w:p w14:paraId="700C30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2.操作记录。</w:t>
            </w:r>
          </w:p>
          <w:p w14:paraId="7C6F63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21486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操作人员在紧急情况下处理措施和程序</w:t>
            </w:r>
          </w:p>
        </w:tc>
        <w:tc>
          <w:tcPr>
            <w:tcW w:w="574" w:type="pct"/>
          </w:tcPr>
          <w:p w14:paraId="5DFCA4D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1A018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1.操作规程中未制定发生紧急及异常情况时的处理措施，一项扣2分；</w:t>
            </w:r>
          </w:p>
          <w:p w14:paraId="609490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2.紧急情况未按规定处理，1次扣3分；</w:t>
            </w:r>
          </w:p>
          <w:p w14:paraId="3D3568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3.操作人员不清楚紧急及异常情况处理措施和上报程序，1人扣1分。</w:t>
            </w:r>
          </w:p>
        </w:tc>
        <w:tc>
          <w:tcPr>
            <w:tcW w:w="132" w:type="pct"/>
            <w:vAlign w:val="center"/>
          </w:tcPr>
          <w:p w14:paraId="10EA36E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558347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1B0CC8E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1#车间一名人员不清楚紧急及异常情况处理措施和上报程序，扣1分</w:t>
            </w:r>
          </w:p>
        </w:tc>
      </w:tr>
      <w:tr w14:paraId="43DD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EA55F5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11FE5C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A84E1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7.企业生产装置泄压系统或排空系统排放的危险化学品应引至安全地点并得到妥善处理。</w:t>
            </w:r>
          </w:p>
        </w:tc>
        <w:tc>
          <w:tcPr>
            <w:tcW w:w="710" w:type="pct"/>
          </w:tcPr>
          <w:p w14:paraId="5CC035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生产装置泄压系统或排空系统排放的危险化学品应引至安全地点并得到妥善处理。</w:t>
            </w:r>
          </w:p>
        </w:tc>
        <w:tc>
          <w:tcPr>
            <w:tcW w:w="642" w:type="pct"/>
          </w:tcPr>
          <w:p w14:paraId="0B35A7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EC107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1.生产装置泄压排放系统排放的危险物质处理；</w:t>
            </w:r>
          </w:p>
          <w:p w14:paraId="6A9D80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2.排空系统及火炬管理情况。</w:t>
            </w:r>
          </w:p>
        </w:tc>
        <w:tc>
          <w:tcPr>
            <w:tcW w:w="574" w:type="pct"/>
          </w:tcPr>
          <w:p w14:paraId="4B38233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DA6CB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1.排放管安装位置不符合规范或危险物质处理不符合要求，一处扣2分；</w:t>
            </w:r>
          </w:p>
          <w:p w14:paraId="003152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2.火炬系统运行不正常，扣3分。</w:t>
            </w:r>
          </w:p>
        </w:tc>
        <w:tc>
          <w:tcPr>
            <w:tcW w:w="132" w:type="pct"/>
            <w:vAlign w:val="center"/>
          </w:tcPr>
          <w:p w14:paraId="2CAB8C5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267A2A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670B7E3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双氧水原料罐区安全阀排放口直接排放地面未设置围堰扣2分</w:t>
            </w:r>
          </w:p>
        </w:tc>
      </w:tr>
      <w:tr w14:paraId="2C74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EDF5CD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21B205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80AD3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8.企业操作人员应严格执行操作规程，对工艺参数运行出现的偏离情况及时分析，保证工艺参数控制不超出安全限值，偏差及时得到纠正。</w:t>
            </w:r>
          </w:p>
        </w:tc>
        <w:tc>
          <w:tcPr>
            <w:tcW w:w="710" w:type="pct"/>
          </w:tcPr>
          <w:p w14:paraId="69BFAF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操作人员应对工艺参数运行出现的偏离情况及时分析，保证工艺参数控制不超出安全限值，偏差及时得到纠正。</w:t>
            </w:r>
          </w:p>
        </w:tc>
        <w:tc>
          <w:tcPr>
            <w:tcW w:w="642" w:type="pct"/>
          </w:tcPr>
          <w:p w14:paraId="2C5104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1FE88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工艺操作记录及交接班记录。</w:t>
            </w:r>
          </w:p>
          <w:p w14:paraId="50AD1E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64461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操作人员如何处理工艺参数的偏离。</w:t>
            </w:r>
          </w:p>
        </w:tc>
        <w:tc>
          <w:tcPr>
            <w:tcW w:w="574" w:type="pct"/>
          </w:tcPr>
          <w:p w14:paraId="1E9796B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81477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1.工艺参数偏离未分析原因，一次扣1分；</w:t>
            </w:r>
          </w:p>
          <w:p w14:paraId="36542B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2.超出安全限值未及时进行纠正，扣3分；</w:t>
            </w:r>
          </w:p>
          <w:p w14:paraId="195D4C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3.操作人员不清楚工艺参数偏离处理方法，1人次扣1分。</w:t>
            </w:r>
          </w:p>
        </w:tc>
        <w:tc>
          <w:tcPr>
            <w:tcW w:w="132" w:type="pct"/>
            <w:vAlign w:val="center"/>
          </w:tcPr>
          <w:p w14:paraId="721785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DF6717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59721F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操作人员严格执行操作规程，对工艺参数运行出现的偏离情况及时分析，保证工艺参数控制不超出安全限值，偏差及时得到纠正，见工艺操作记录。</w:t>
            </w:r>
          </w:p>
        </w:tc>
      </w:tr>
      <w:tr w14:paraId="6F95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0408E4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CCB028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6.5关键装置及重点部位</w:t>
            </w:r>
          </w:p>
          <w:p w14:paraId="14B910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（15分）</w:t>
            </w:r>
          </w:p>
        </w:tc>
        <w:tc>
          <w:tcPr>
            <w:tcW w:w="719" w:type="pct"/>
          </w:tcPr>
          <w:p w14:paraId="685161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1.企业应加强对关键装置、重点部位安全管理，实行企业领导干部联系点管理机制。</w:t>
            </w:r>
          </w:p>
        </w:tc>
        <w:tc>
          <w:tcPr>
            <w:tcW w:w="710" w:type="pct"/>
          </w:tcPr>
          <w:p w14:paraId="161AAB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1.确定关键装置、重点部位；</w:t>
            </w:r>
          </w:p>
          <w:p w14:paraId="26EE6D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2.实行企业领导干部联系点管理机制。</w:t>
            </w:r>
          </w:p>
        </w:tc>
        <w:tc>
          <w:tcPr>
            <w:tcW w:w="642" w:type="pct"/>
          </w:tcPr>
          <w:p w14:paraId="7A18A4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9C1F8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1.关键装置、重点部位管理制度；</w:t>
            </w:r>
          </w:p>
          <w:p w14:paraId="1A428D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2.关键装置、重点部位台账。</w:t>
            </w:r>
          </w:p>
        </w:tc>
        <w:tc>
          <w:tcPr>
            <w:tcW w:w="574" w:type="pct"/>
          </w:tcPr>
          <w:p w14:paraId="2E07B6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未确定关键装置、重点部位，扣15分（B级要素否决项）。</w:t>
            </w:r>
          </w:p>
        </w:tc>
        <w:tc>
          <w:tcPr>
            <w:tcW w:w="716" w:type="pct"/>
          </w:tcPr>
          <w:p w14:paraId="711542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1.未明确关键装置和重点部位的联系人以及联系人的职责及考核要求的，一项扣1分；</w:t>
            </w:r>
          </w:p>
          <w:p w14:paraId="25941E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2.确定的关键装置、重点部位，少一处扣2分；</w:t>
            </w:r>
          </w:p>
          <w:p w14:paraId="30B1CE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3.未建立联系点机制，扣2分。</w:t>
            </w:r>
          </w:p>
        </w:tc>
        <w:tc>
          <w:tcPr>
            <w:tcW w:w="132" w:type="pct"/>
            <w:vAlign w:val="center"/>
          </w:tcPr>
          <w:p w14:paraId="140628F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BC07DE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2E881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1.制定有关键装置、重点部位管理制度，确定了关键装置、重点部位，建立有关键装置、重点部位台 账，见《关键装置、重点部位风险防控清单》。</w:t>
            </w:r>
          </w:p>
          <w:p w14:paraId="6BDD66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2.关键装置、重点部位台账内容全面。</w:t>
            </w:r>
          </w:p>
          <w:p w14:paraId="1B1AB3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3.建立有联系点机制，实行四级承包制（公司级、部门/车间级、班组级、岗位级）。</w:t>
            </w:r>
          </w:p>
          <w:p w14:paraId="06BBCF9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4、未建立联系点机制，扣2分；</w:t>
            </w:r>
          </w:p>
        </w:tc>
      </w:tr>
      <w:tr w14:paraId="5A08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4FA3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2B97A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F698B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2.联系人对所负责的关键装置、重点部位负有安全监督与指导责任，包括：</w:t>
            </w:r>
          </w:p>
          <w:p w14:paraId="63D501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（1）指导安全联系点实现安全生产；</w:t>
            </w:r>
          </w:p>
          <w:p w14:paraId="52BFB4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（2）监督安全生产方针、政策、法规、制度的执行和落实；</w:t>
            </w:r>
          </w:p>
          <w:p w14:paraId="3FFFB7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（3）定期检查安全生产中存在的问题；</w:t>
            </w:r>
          </w:p>
          <w:p w14:paraId="38BDA8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（4）督促隐患项目治理；</w:t>
            </w:r>
          </w:p>
          <w:p w14:paraId="5347C2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（5）监督事故处理原则的落实；</w:t>
            </w:r>
          </w:p>
          <w:p w14:paraId="35F1BA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（6）解决影响安全生产的突出问题等。</w:t>
            </w:r>
          </w:p>
        </w:tc>
        <w:tc>
          <w:tcPr>
            <w:tcW w:w="710" w:type="pct"/>
          </w:tcPr>
          <w:p w14:paraId="64980C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联系人对所负责的关键装置、重点部位负有安全监督与指导责任，包括：</w:t>
            </w:r>
          </w:p>
          <w:p w14:paraId="527A3C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（1）指导安全联系点实现安全生产；</w:t>
            </w:r>
          </w:p>
          <w:p w14:paraId="543C79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（2）监督安全生产方针、政策、法规、制度的执行和落实；</w:t>
            </w:r>
          </w:p>
          <w:p w14:paraId="6F35F0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（3）定期检查安全生产中存在的问题；</w:t>
            </w:r>
          </w:p>
          <w:p w14:paraId="04F72F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（4）督促隐患项目治理；</w:t>
            </w:r>
          </w:p>
          <w:p w14:paraId="618C7B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（5）监督事故处理原则的落实；</w:t>
            </w:r>
          </w:p>
          <w:p w14:paraId="6353FE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（6）解决影响安全生产的突出问题等。</w:t>
            </w:r>
          </w:p>
        </w:tc>
        <w:tc>
          <w:tcPr>
            <w:tcW w:w="642" w:type="pct"/>
          </w:tcPr>
          <w:p w14:paraId="6E48C9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E078A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监督指导有关记录。</w:t>
            </w:r>
          </w:p>
          <w:p w14:paraId="7F0801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A0CF4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联系人对所负责的关键装置、重点部位进行的安全监督指导情况。</w:t>
            </w:r>
          </w:p>
        </w:tc>
        <w:tc>
          <w:tcPr>
            <w:tcW w:w="574" w:type="pct"/>
          </w:tcPr>
          <w:p w14:paraId="24952D8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81B34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联系人对所负责的关键装置、重点部位未履行安全监督指导职责，1次扣1分。</w:t>
            </w:r>
          </w:p>
          <w:p w14:paraId="33F8A72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0159344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6ABB4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4925C38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经检查，有 2 次联系人对 所负责的关键装置、重点 部位监督指导未记录，扣 2 分。</w:t>
            </w:r>
          </w:p>
        </w:tc>
      </w:tr>
      <w:tr w14:paraId="43E1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76C24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25757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96B89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3.联系人应每月至少到联系点进行一次安全活动，活动形式包括参加基层班组安全活动、安全检查、督促治理事故隐患、安全工作指示等。</w:t>
            </w:r>
          </w:p>
        </w:tc>
        <w:tc>
          <w:tcPr>
            <w:tcW w:w="710" w:type="pct"/>
          </w:tcPr>
          <w:p w14:paraId="117C94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联系人应每月至少到联系点进行一次安全活动。</w:t>
            </w:r>
          </w:p>
        </w:tc>
        <w:tc>
          <w:tcPr>
            <w:tcW w:w="642" w:type="pct"/>
          </w:tcPr>
          <w:p w14:paraId="17A34E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6B3BC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联系点活动记录。</w:t>
            </w:r>
          </w:p>
        </w:tc>
        <w:tc>
          <w:tcPr>
            <w:tcW w:w="574" w:type="pct"/>
          </w:tcPr>
          <w:p w14:paraId="6ED1B9C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089B1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企业领导干部未按规定到联系点活动或未记录，1次扣1分。</w:t>
            </w:r>
          </w:p>
        </w:tc>
        <w:tc>
          <w:tcPr>
            <w:tcW w:w="132" w:type="pct"/>
            <w:vAlign w:val="center"/>
          </w:tcPr>
          <w:p w14:paraId="62B3A79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AD81D4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350779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经现场检查，有 2 次联系 人到联系点活动未记录， 扣 2 分。</w:t>
            </w:r>
          </w:p>
        </w:tc>
      </w:tr>
      <w:tr w14:paraId="43C3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151C37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E21C0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AF12F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4.企业应建立关键装置、重点部位档案，建立企业、管理部门、基层单位及班组监控机制，明确各级组织、各专业的职责，定期进行监督检查，并形成记录。</w:t>
            </w:r>
          </w:p>
        </w:tc>
        <w:tc>
          <w:tcPr>
            <w:tcW w:w="710" w:type="pct"/>
          </w:tcPr>
          <w:p w14:paraId="6282D7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1.建立关键装置、重点部位档案；</w:t>
            </w:r>
          </w:p>
          <w:p w14:paraId="1CD50EF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2.建立企业、管理部门、基层单位及班组监控机制，明确各级组织、各专业的职责；</w:t>
            </w:r>
          </w:p>
          <w:p w14:paraId="42D61A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3.定期进行监督检查，并形成记录。</w:t>
            </w:r>
          </w:p>
        </w:tc>
        <w:tc>
          <w:tcPr>
            <w:tcW w:w="642" w:type="pct"/>
          </w:tcPr>
          <w:p w14:paraId="424AA3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976CF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1.关键装置、重点部位管理制度；</w:t>
            </w:r>
          </w:p>
          <w:p w14:paraId="648E0F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2.关键装置、重点部位档案；</w:t>
            </w:r>
          </w:p>
          <w:p w14:paraId="2C37CB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3.关键装置、重点部位的监督检查记录。</w:t>
            </w:r>
          </w:p>
        </w:tc>
        <w:tc>
          <w:tcPr>
            <w:tcW w:w="574" w:type="pct"/>
          </w:tcPr>
          <w:p w14:paraId="2BD917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8B910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1.未建立档案，扣3分；档案内容一项不符合扣1分；</w:t>
            </w:r>
          </w:p>
          <w:p w14:paraId="55AD53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2.未建立企业、管理部门、基层单位及班组监控机制，扣3分；</w:t>
            </w:r>
          </w:p>
          <w:p w14:paraId="25C1A6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3.未明确各级组织、各专业职责，扣2分；</w:t>
            </w:r>
          </w:p>
          <w:p w14:paraId="0D107A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4.未定期进行监督检查，扣2分；</w:t>
            </w:r>
          </w:p>
          <w:p w14:paraId="3E5437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5.未建立监督检查记录或记录不全，一项不符合扣1分。</w:t>
            </w:r>
          </w:p>
        </w:tc>
        <w:tc>
          <w:tcPr>
            <w:tcW w:w="132" w:type="pct"/>
            <w:vAlign w:val="center"/>
          </w:tcPr>
          <w:p w14:paraId="1BEC92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FFCDFE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1CE223D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1.建立了关键装置、重点部位台账。</w:t>
            </w:r>
          </w:p>
          <w:p w14:paraId="162296D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2.建立了四级承包制（公司级、部门/车间级、班组级、岗位级）。</w:t>
            </w:r>
          </w:p>
          <w:p w14:paraId="5C469B4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3.明确了各级组织、各专业职责；</w:t>
            </w:r>
          </w:p>
          <w:p w14:paraId="3C1C84F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4.经检查，有 2 次监督检查未记录，扣 2 分。</w:t>
            </w:r>
          </w:p>
        </w:tc>
      </w:tr>
      <w:tr w14:paraId="7E57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2B19B7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CDC07C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FA757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5.企业应制定关键装置、重点部位应急预案，至少每半年进行一次演练，确保关键装置、重点部位的操作、检修、仪表、电气等人员能够识别和及时处理各种事件及事故。</w:t>
            </w:r>
          </w:p>
        </w:tc>
        <w:tc>
          <w:tcPr>
            <w:tcW w:w="710" w:type="pct"/>
          </w:tcPr>
          <w:p w14:paraId="084214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1.制定关键装置、重点部位应急预案；</w:t>
            </w:r>
          </w:p>
          <w:p w14:paraId="5EC5A3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2.至少每半年进行一次演练，确保关键装置、重点部位的操作、检修、仪表、电气等人员能够识别和及时处理各种事件及事故。</w:t>
            </w:r>
          </w:p>
        </w:tc>
        <w:tc>
          <w:tcPr>
            <w:tcW w:w="642" w:type="pct"/>
          </w:tcPr>
          <w:p w14:paraId="1F4E05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2C6D5C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1.关键装置、重点部位应急预案；</w:t>
            </w:r>
          </w:p>
          <w:p w14:paraId="7A91DD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2.应急预案演练记录。</w:t>
            </w:r>
          </w:p>
          <w:p w14:paraId="4378C6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388CE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1.抽查岗位操作人员及机电仪人员对预案的掌握程度；</w:t>
            </w:r>
          </w:p>
          <w:p w14:paraId="72DE20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2.各种事件及事故处理措施。</w:t>
            </w:r>
          </w:p>
        </w:tc>
        <w:tc>
          <w:tcPr>
            <w:tcW w:w="574" w:type="pct"/>
          </w:tcPr>
          <w:p w14:paraId="7A8FAF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33911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1.关键装置、重点部位应急预案不全，每缺一项扣2分；</w:t>
            </w:r>
          </w:p>
          <w:p w14:paraId="694EE5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2.未进行演练或无演练记录或未对预案评审,一项扣2分；</w:t>
            </w:r>
          </w:p>
          <w:p w14:paraId="5A725C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3.有关人员对预案及各种事件、事故处理措施不熟练，1人次扣1分。</w:t>
            </w:r>
          </w:p>
        </w:tc>
        <w:tc>
          <w:tcPr>
            <w:tcW w:w="132" w:type="pct"/>
            <w:vAlign w:val="center"/>
          </w:tcPr>
          <w:p w14:paraId="619CF0E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8DA82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35771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针对关键装置、重点部位的危险特性制定有应急预案，每半年进行一次演练，见应急演练记录。</w:t>
            </w:r>
          </w:p>
        </w:tc>
      </w:tr>
      <w:tr w14:paraId="7FB0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F7150A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FBB38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AA42E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6.企业关键装置、重点部位为重大危险源时，还应按2.5条执行。</w:t>
            </w:r>
          </w:p>
        </w:tc>
        <w:tc>
          <w:tcPr>
            <w:tcW w:w="710" w:type="pct"/>
          </w:tcPr>
          <w:p w14:paraId="6C40B6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关键装置、重点部位为重大危险源时，还应按3.5条执行。</w:t>
            </w:r>
          </w:p>
        </w:tc>
        <w:tc>
          <w:tcPr>
            <w:tcW w:w="642" w:type="pct"/>
          </w:tcPr>
          <w:p w14:paraId="3117A4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按照3.5条评审</w:t>
            </w:r>
          </w:p>
        </w:tc>
        <w:tc>
          <w:tcPr>
            <w:tcW w:w="574" w:type="pct"/>
          </w:tcPr>
          <w:p w14:paraId="7C1B5C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D5360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按照3.5条评审</w:t>
            </w:r>
          </w:p>
        </w:tc>
        <w:tc>
          <w:tcPr>
            <w:tcW w:w="132" w:type="pct"/>
            <w:vAlign w:val="center"/>
          </w:tcPr>
          <w:p w14:paraId="75F049F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7C2863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3956C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符合 3.5 条要求。</w:t>
            </w:r>
          </w:p>
        </w:tc>
      </w:tr>
      <w:tr w14:paraId="21C2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491DBC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A6573D1">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6.6检维修</w:t>
            </w:r>
          </w:p>
          <w:p w14:paraId="7BE077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（10分）</w:t>
            </w:r>
          </w:p>
        </w:tc>
        <w:tc>
          <w:tcPr>
            <w:tcW w:w="719" w:type="pct"/>
            <w:vAlign w:val="top"/>
          </w:tcPr>
          <w:p w14:paraId="6F9518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1.企业应严格执行检维修管理制度，实行日常检维修和定期检维修管理。</w:t>
            </w:r>
          </w:p>
        </w:tc>
        <w:tc>
          <w:tcPr>
            <w:tcW w:w="710" w:type="pct"/>
          </w:tcPr>
          <w:p w14:paraId="742C69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严格执行检维修管理制度，实行日常检维修和定期检维修管理。</w:t>
            </w:r>
          </w:p>
        </w:tc>
        <w:tc>
          <w:tcPr>
            <w:tcW w:w="642" w:type="pct"/>
            <w:vAlign w:val="top"/>
          </w:tcPr>
          <w:p w14:paraId="31737F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1EF4F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1.设备检维修管理制度；</w:t>
            </w:r>
          </w:p>
          <w:p w14:paraId="59AC96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2.检维修记录。</w:t>
            </w:r>
          </w:p>
          <w:p w14:paraId="4FFA30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3D3DA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现场检查或抽查设备状况。</w:t>
            </w:r>
          </w:p>
        </w:tc>
        <w:tc>
          <w:tcPr>
            <w:tcW w:w="574" w:type="pct"/>
          </w:tcPr>
          <w:p w14:paraId="6A33E9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DC4F6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1.未明确检维修时机、频次和审批程序，一项不扣1分；</w:t>
            </w:r>
          </w:p>
          <w:p w14:paraId="0C4788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2.未实行日常检维修和定期检维修管理，扣2分。</w:t>
            </w:r>
          </w:p>
        </w:tc>
        <w:tc>
          <w:tcPr>
            <w:tcW w:w="132" w:type="pct"/>
            <w:vAlign w:val="center"/>
          </w:tcPr>
          <w:p w14:paraId="66015CF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B090C3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6A65A5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1.制定有设备检维修管理制度 ， 明确检维修时机、频次，见《公司安全生产规章制度》</w:t>
            </w:r>
          </w:p>
          <w:p w14:paraId="2216284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 xml:space="preserve"> 2.实行日常检维修和定期检维修管理，见检维修记录。</w:t>
            </w:r>
          </w:p>
        </w:tc>
      </w:tr>
      <w:tr w14:paraId="41BB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BB7F5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DB9C84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298387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2.企业应制订年度综合检维修计划，落实“五定”，即定检修方案、定检修人员、定安全措施、定检修质量、定检修进度原则。</w:t>
            </w:r>
          </w:p>
        </w:tc>
        <w:tc>
          <w:tcPr>
            <w:tcW w:w="710" w:type="pct"/>
          </w:tcPr>
          <w:p w14:paraId="1B133D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1.制订年度综合检维修计划；</w:t>
            </w:r>
          </w:p>
          <w:p w14:paraId="4585BB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2.落实“五定”，即定检修方案、定检修人员、定安全措施、定检修质量、定检修进度原则。</w:t>
            </w:r>
          </w:p>
        </w:tc>
        <w:tc>
          <w:tcPr>
            <w:tcW w:w="642" w:type="pct"/>
            <w:vAlign w:val="top"/>
          </w:tcPr>
          <w:p w14:paraId="7A03BF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3DDE4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年度综合检维修计划。</w:t>
            </w:r>
          </w:p>
        </w:tc>
        <w:tc>
          <w:tcPr>
            <w:tcW w:w="574" w:type="pct"/>
          </w:tcPr>
          <w:p w14:paraId="2641A5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F918D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1.未制定年度综合检维修计划，扣4分；</w:t>
            </w:r>
          </w:p>
          <w:p w14:paraId="027A00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2.年度综合检维修计划未做到“五定”管理，一项扣1分。</w:t>
            </w:r>
          </w:p>
        </w:tc>
        <w:tc>
          <w:tcPr>
            <w:tcW w:w="132" w:type="pct"/>
            <w:vAlign w:val="center"/>
          </w:tcPr>
          <w:p w14:paraId="7E26864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889625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D9AECD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制定有年度综合检维修计划，做到“五定 ”管理</w:t>
            </w:r>
          </w:p>
        </w:tc>
      </w:tr>
      <w:tr w14:paraId="6D6B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42E4A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5BE791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F543A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3.企业在进行检维修作业时，应执行下列程序：</w:t>
            </w:r>
          </w:p>
          <w:p w14:paraId="30DD12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（1）检维修前：</w:t>
            </w:r>
          </w:p>
          <w:p w14:paraId="66CA69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1）进行危险、有害因素识别；</w:t>
            </w:r>
          </w:p>
          <w:p w14:paraId="71BA3D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2）编制检维修方案；</w:t>
            </w:r>
          </w:p>
          <w:p w14:paraId="3CF112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3）办理工艺、设备设施交付检维修手续；</w:t>
            </w:r>
          </w:p>
          <w:p w14:paraId="63C201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4）对检维修人员进行安全培训教育；</w:t>
            </w:r>
          </w:p>
          <w:p w14:paraId="699C0F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5）检维修前对安全控制措施进行确认；</w:t>
            </w:r>
          </w:p>
          <w:p w14:paraId="7F6245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6）为检维修作业人员配备适当的劳动保护用品；</w:t>
            </w:r>
          </w:p>
          <w:p w14:paraId="2C9123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7）办理各种作业许可证。</w:t>
            </w:r>
          </w:p>
          <w:p w14:paraId="77A2E1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（2）对检维修现场进行安全检查。</w:t>
            </w:r>
          </w:p>
          <w:p w14:paraId="7FB6D1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（3）检维修后办理检维修交付生产手续。</w:t>
            </w:r>
          </w:p>
        </w:tc>
        <w:tc>
          <w:tcPr>
            <w:tcW w:w="710" w:type="pct"/>
          </w:tcPr>
          <w:p w14:paraId="311103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在进行检维修作业时，应执行下列程序：</w:t>
            </w:r>
          </w:p>
          <w:p w14:paraId="267E2D6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（1）检维修前：</w:t>
            </w:r>
          </w:p>
          <w:p w14:paraId="6A5918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1）进行危险、有害因素识别；</w:t>
            </w:r>
          </w:p>
          <w:p w14:paraId="7CFDCC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2）编制检维修方案；</w:t>
            </w:r>
          </w:p>
          <w:p w14:paraId="31781F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3）办理工艺、设备设施交付检维修手续；</w:t>
            </w:r>
          </w:p>
          <w:p w14:paraId="230808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4）对检维修人员进行安全培训教育；</w:t>
            </w:r>
          </w:p>
          <w:p w14:paraId="15BC21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5）检维修前对安全控制措施进行确认；</w:t>
            </w:r>
          </w:p>
          <w:p w14:paraId="5A0F47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6）为检维修作业人员配备适当的劳动保护用品；</w:t>
            </w:r>
          </w:p>
          <w:p w14:paraId="476105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7）办理各种作业许可证。</w:t>
            </w:r>
          </w:p>
          <w:p w14:paraId="23A7CE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（2）对检维修现场进</w:t>
            </w:r>
          </w:p>
          <w:p w14:paraId="61CC1B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行安全检查。</w:t>
            </w:r>
          </w:p>
          <w:p w14:paraId="237E3B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（3）检维修后办理检维修交付生产手续。</w:t>
            </w:r>
          </w:p>
        </w:tc>
        <w:tc>
          <w:tcPr>
            <w:tcW w:w="642" w:type="pct"/>
            <w:vAlign w:val="top"/>
          </w:tcPr>
          <w:p w14:paraId="4E0F12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008ED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1.检维修风险分析记录；</w:t>
            </w:r>
          </w:p>
          <w:p w14:paraId="59215B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2.检维修方案；</w:t>
            </w:r>
          </w:p>
          <w:p w14:paraId="0AE3F8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3.工艺、设备设施交付检维修手续；</w:t>
            </w:r>
          </w:p>
          <w:p w14:paraId="2FC27C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4.检维修人员安全培训教育记录；</w:t>
            </w:r>
          </w:p>
          <w:p w14:paraId="227C06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5.相应作业许可证及安全控制措施；</w:t>
            </w:r>
          </w:p>
          <w:p w14:paraId="282648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6.对检维修作业现场进行安全检查的记录；</w:t>
            </w:r>
          </w:p>
          <w:p w14:paraId="1C6698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7.检维修交付生产手续等。</w:t>
            </w:r>
          </w:p>
          <w:p w14:paraId="5B0B0A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1CC65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1.检维修作业人员配备劳动保护用品情况；</w:t>
            </w:r>
          </w:p>
          <w:p w14:paraId="2E2DA1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2.检维修作业现场的安全管理。</w:t>
            </w:r>
          </w:p>
        </w:tc>
        <w:tc>
          <w:tcPr>
            <w:tcW w:w="574" w:type="pct"/>
          </w:tcPr>
          <w:p w14:paraId="3809B4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1.未制定检维修方案，扣10分（B级要素否决项）；</w:t>
            </w:r>
          </w:p>
          <w:p w14:paraId="060FDE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2.未办理检维修前工艺、设备设施交付检维修或检维修后检维修交付生产手续，扣10分（B级要素否决项）。</w:t>
            </w:r>
          </w:p>
        </w:tc>
        <w:tc>
          <w:tcPr>
            <w:tcW w:w="716" w:type="pct"/>
          </w:tcPr>
          <w:p w14:paraId="096AE6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1.未对检维修进行风险分析，一项不符合扣1分；</w:t>
            </w:r>
          </w:p>
          <w:p w14:paraId="59C65B9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2.未对检修人员进行安全培训教育，1人次扣1分；</w:t>
            </w:r>
          </w:p>
          <w:p w14:paraId="1E56C6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3.检维修相应作业票证未办理或办理不符合要求，或检修前未对安全控制措施进行确认，一项不符合扣5分；</w:t>
            </w:r>
          </w:p>
          <w:p w14:paraId="7F29D3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4.检维修作业人员未按规定配备或使用劳动保护用品，1人次扣1分；</w:t>
            </w:r>
          </w:p>
          <w:p w14:paraId="6743C22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5.安全生产管理人员未对检维修现场进行安全检查，扣2分；</w:t>
            </w:r>
          </w:p>
          <w:p w14:paraId="6EDE3D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6.检维修现场一项不符合扣1分。</w:t>
            </w:r>
          </w:p>
        </w:tc>
        <w:tc>
          <w:tcPr>
            <w:tcW w:w="132" w:type="pct"/>
            <w:vAlign w:val="center"/>
          </w:tcPr>
          <w:p w14:paraId="23823C6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B92248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BF3834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检维修前，进行危险、有害因素识别，编制检维修方案，办理工艺、设备设施交付检维修手续，对检维修人员进行安全培训教育，检维修前对安全控制措施进行确认，为检维修作业人员配备适当的劳动保护用品，办理各 种作业许可证。</w:t>
            </w:r>
          </w:p>
          <w:p w14:paraId="5CF6143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2.对检维修现场进行安全检查。</w:t>
            </w:r>
          </w:p>
          <w:p w14:paraId="311EA36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3.检维修后办理检维修交付生产手续。</w:t>
            </w:r>
          </w:p>
        </w:tc>
      </w:tr>
      <w:tr w14:paraId="2F65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E3152B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F435875">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6.7拆除和报废</w:t>
            </w:r>
          </w:p>
          <w:p w14:paraId="7AB9C4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（10分）</w:t>
            </w:r>
          </w:p>
        </w:tc>
        <w:tc>
          <w:tcPr>
            <w:tcW w:w="719" w:type="pct"/>
          </w:tcPr>
          <w:p w14:paraId="585FB9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生产设施拆除和报废管理制度。拆除作业前，拆除作业负责人应与需拆除设施的主管部门和使用单位共同到现场进行对接，作业人员进行危险、有害因素识别，制定拆除计划或方案，办理拆除设施交接手续。</w:t>
            </w:r>
          </w:p>
        </w:tc>
        <w:tc>
          <w:tcPr>
            <w:tcW w:w="710" w:type="pct"/>
          </w:tcPr>
          <w:p w14:paraId="2726A0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1.拆除作业前，拆除作业负责人应与需拆除设施的主管部门和使用单位共同到现场进行作业前交底；</w:t>
            </w:r>
          </w:p>
          <w:p w14:paraId="3AABE2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2.作业人员进行危险、有害因素识别；</w:t>
            </w:r>
          </w:p>
          <w:p w14:paraId="6115E7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3.制定拆除计划或方案；</w:t>
            </w:r>
          </w:p>
          <w:p w14:paraId="2090A7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4.办理拆除设施交接手续。</w:t>
            </w:r>
          </w:p>
        </w:tc>
        <w:tc>
          <w:tcPr>
            <w:tcW w:w="642" w:type="pct"/>
          </w:tcPr>
          <w:p w14:paraId="718FCB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400E5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1.生产设施拆除和报废管理制度；</w:t>
            </w:r>
          </w:p>
          <w:p w14:paraId="704B95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2.设施拆除和报废审批手续；</w:t>
            </w:r>
          </w:p>
          <w:p w14:paraId="590CEE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3.拆除作业风险分析记录；</w:t>
            </w:r>
          </w:p>
          <w:p w14:paraId="33B9D6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4.拆除计划或拆除方案；</w:t>
            </w:r>
          </w:p>
          <w:p w14:paraId="742CE8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5.设施拆除交接手续。</w:t>
            </w:r>
          </w:p>
          <w:p w14:paraId="1DBA61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现场查看：</w:t>
            </w:r>
          </w:p>
          <w:p w14:paraId="3CE919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查看拆除作业现场安全管理。</w:t>
            </w:r>
          </w:p>
        </w:tc>
        <w:tc>
          <w:tcPr>
            <w:tcW w:w="574" w:type="pct"/>
          </w:tcPr>
          <w:p w14:paraId="3303456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470D5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1.拆除作业前，相关单位未共同到现场进行作业前交底，1次扣5分；</w:t>
            </w:r>
          </w:p>
          <w:p w14:paraId="3CA29A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2.设施拆除和报废无审批手续，1次扣1分；</w:t>
            </w:r>
          </w:p>
          <w:p w14:paraId="3F5EA1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3.未对拆除作业进行风险分析并制定风险控制措施，1次扣1分；</w:t>
            </w:r>
          </w:p>
          <w:p w14:paraId="2C0020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4.未制定拆除计划或方案，1次扣2分；</w:t>
            </w:r>
          </w:p>
          <w:p w14:paraId="10F7AD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5.未办理设施拆除交接手续，1次扣1分；</w:t>
            </w:r>
          </w:p>
          <w:p w14:paraId="70FD0A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6.拆除作业现场，一项不符合扣1分。</w:t>
            </w:r>
          </w:p>
        </w:tc>
        <w:tc>
          <w:tcPr>
            <w:tcW w:w="132" w:type="pct"/>
            <w:vAlign w:val="center"/>
          </w:tcPr>
          <w:p w14:paraId="135284D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7DD492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2E6EA4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1.制定有生产设施拆除和报废管理制度，严格履行设备拆除手续，见《公司安全生产规章制度》</w:t>
            </w:r>
          </w:p>
          <w:p w14:paraId="5429D1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未对拆除和报废作业进行风险分析并制定风险控制措施。扣1分</w:t>
            </w:r>
          </w:p>
        </w:tc>
      </w:tr>
      <w:tr w14:paraId="118B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28E48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E40387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28A98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2.企业凡需拆除的容器、设备和管道，应先清洗干净，分析、验收合格后方可进行拆除作业。</w:t>
            </w:r>
          </w:p>
        </w:tc>
        <w:tc>
          <w:tcPr>
            <w:tcW w:w="710" w:type="pct"/>
          </w:tcPr>
          <w:p w14:paraId="3909FA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1.凡需拆除的容器、设备和管道，应先清洗干净，分析、验收合格后方可进行拆除作业；</w:t>
            </w:r>
          </w:p>
          <w:p w14:paraId="18A817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2.拆除、清洗等现场作业应严格遵守作业许可等有关规定。</w:t>
            </w:r>
          </w:p>
        </w:tc>
        <w:tc>
          <w:tcPr>
            <w:tcW w:w="642" w:type="pct"/>
          </w:tcPr>
          <w:p w14:paraId="421E0B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37135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分析、验收合格证明。</w:t>
            </w:r>
          </w:p>
          <w:p w14:paraId="7120D1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5D8DC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拆除、清洗作业现场安全管理。</w:t>
            </w:r>
          </w:p>
        </w:tc>
        <w:tc>
          <w:tcPr>
            <w:tcW w:w="574" w:type="pct"/>
          </w:tcPr>
          <w:p w14:paraId="15A4222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73A96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1.未进行分析、验收或分析不合格进行拆除作业，一项扣1分；</w:t>
            </w:r>
          </w:p>
          <w:p w14:paraId="1CA55C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2.拆除作业现场，一项不符合扣1分。</w:t>
            </w:r>
          </w:p>
        </w:tc>
        <w:tc>
          <w:tcPr>
            <w:tcW w:w="132" w:type="pct"/>
            <w:vAlign w:val="center"/>
          </w:tcPr>
          <w:p w14:paraId="03496F8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52" w:type="pct"/>
            <w:vAlign w:val="center"/>
          </w:tcPr>
          <w:p w14:paraId="12C79A3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851" w:type="pct"/>
          </w:tcPr>
          <w:p w14:paraId="3ACBABC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47B9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3E77C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2A671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22243C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3.企业欲报废的容器、设备和管道内仍存有危险化学品的，应清洗干净，分析、验收合格后，方可报废处置。</w:t>
            </w:r>
          </w:p>
        </w:tc>
        <w:tc>
          <w:tcPr>
            <w:tcW w:w="710" w:type="pct"/>
          </w:tcPr>
          <w:p w14:paraId="0170A0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1.欲报废的容器、设备和管道，应清洗干净，分析、验收合格后，方可报废处置；</w:t>
            </w:r>
          </w:p>
          <w:p w14:paraId="0BF680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2.报废、清洗等现场作业应严格遵守作业许可等有关规定。</w:t>
            </w:r>
          </w:p>
        </w:tc>
        <w:tc>
          <w:tcPr>
            <w:tcW w:w="642" w:type="pct"/>
          </w:tcPr>
          <w:p w14:paraId="5D31C3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E21EA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分析、验收合格证明。</w:t>
            </w:r>
          </w:p>
          <w:p w14:paraId="6C4282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E18A8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拆除、报废、清洗作业现场安全管理。</w:t>
            </w:r>
          </w:p>
        </w:tc>
        <w:tc>
          <w:tcPr>
            <w:tcW w:w="574" w:type="pct"/>
          </w:tcPr>
          <w:p w14:paraId="5A5F4C4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C7092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未经分析、验收合格或验收不合格进行报废处置，1台扣5分。</w:t>
            </w:r>
          </w:p>
        </w:tc>
        <w:tc>
          <w:tcPr>
            <w:tcW w:w="132" w:type="pct"/>
            <w:vAlign w:val="center"/>
          </w:tcPr>
          <w:p w14:paraId="7464EAB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52" w:type="pct"/>
            <w:vAlign w:val="center"/>
          </w:tcPr>
          <w:p w14:paraId="6DE880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851" w:type="pct"/>
          </w:tcPr>
          <w:p w14:paraId="7779F45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14D3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7A40F6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 作业安全</w:t>
            </w:r>
          </w:p>
          <w:p w14:paraId="7311C7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1792F8C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D9B882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02EE6B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5BC7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78C33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757F7B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1DF9D2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93A862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ADBA1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EFD80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04E5C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E0EA6F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6635B0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F55DB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068552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C2BB544">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p>
        </w:tc>
        <w:tc>
          <w:tcPr>
            <w:tcW w:w="244" w:type="pct"/>
          </w:tcPr>
          <w:p w14:paraId="6C24D9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7.1</w:t>
            </w:r>
          </w:p>
          <w:p w14:paraId="6E8A19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作业许可</w:t>
            </w:r>
          </w:p>
          <w:p w14:paraId="6084449E">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rPr>
              <w:t>（20分）</w:t>
            </w:r>
          </w:p>
        </w:tc>
        <w:tc>
          <w:tcPr>
            <w:tcW w:w="719" w:type="pct"/>
          </w:tcPr>
          <w:p w14:paraId="78F5E3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企业应对下列危险性作业活动实施作业许可管理，严格履行审批手续，各种作业许可证中应有危险、有害因素识别和安全措施内容：</w:t>
            </w:r>
          </w:p>
          <w:p w14:paraId="406171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（1）动火作业；</w:t>
            </w:r>
          </w:p>
          <w:p w14:paraId="39D98D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（2）进入受限空间作业；</w:t>
            </w:r>
          </w:p>
          <w:p w14:paraId="5236D7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（3）破土作业；</w:t>
            </w:r>
          </w:p>
          <w:p w14:paraId="68EEACF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（4）临时用电作业；</w:t>
            </w:r>
          </w:p>
          <w:p w14:paraId="31F69A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（5）高处作业；</w:t>
            </w:r>
          </w:p>
          <w:p w14:paraId="12AEF87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（6）断路作业；</w:t>
            </w:r>
          </w:p>
          <w:p w14:paraId="6D085F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（7）吊装作业；</w:t>
            </w:r>
          </w:p>
          <w:p w14:paraId="669169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（8）设备检修作业；</w:t>
            </w:r>
          </w:p>
          <w:p w14:paraId="526CA7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（9）抽堵盲板作业；</w:t>
            </w:r>
          </w:p>
          <w:p w14:paraId="056783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（10）其他危险性作业。</w:t>
            </w:r>
          </w:p>
        </w:tc>
        <w:tc>
          <w:tcPr>
            <w:tcW w:w="710" w:type="pct"/>
          </w:tcPr>
          <w:p w14:paraId="47EFF4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1.对动火作业、进入受限空间作业、破土作业、临时用电作业、高处作业、断路作业、吊装作业、设备检修作业和抽堵盲板作业等危险性作业实施作业许可管理,严格履行审批手续；</w:t>
            </w:r>
          </w:p>
          <w:p w14:paraId="014057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2.作业许可证中有危险、有害因素识别和安全措施内容。</w:t>
            </w:r>
          </w:p>
          <w:p w14:paraId="7500058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tcPr>
          <w:p w14:paraId="3915AF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E1D3F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1.危险性作业安全管理制度或操作规程；</w:t>
            </w:r>
          </w:p>
          <w:p w14:paraId="3EF584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2.作业许可证。</w:t>
            </w:r>
          </w:p>
        </w:tc>
        <w:tc>
          <w:tcPr>
            <w:tcW w:w="574" w:type="pct"/>
          </w:tcPr>
          <w:p w14:paraId="462221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未实施危险性作业许可管理，扣100分（A级要素否决项）。</w:t>
            </w:r>
          </w:p>
          <w:p w14:paraId="0DFE25F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7A5EB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1.作业许可审批手续不符合要求，1次扣2分；</w:t>
            </w:r>
          </w:p>
          <w:p w14:paraId="78E597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2.作业许可证中危险有害因素与安全措施等内容不符合要求，1次扣2分。</w:t>
            </w:r>
          </w:p>
        </w:tc>
        <w:tc>
          <w:tcPr>
            <w:tcW w:w="132" w:type="pct"/>
            <w:vAlign w:val="center"/>
          </w:tcPr>
          <w:p w14:paraId="76C245D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9F2562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20206C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制定有危险性作业安全管理制度，严格履行作业许可审批手续，作业许可 证中危险有害因素与安 全措施等内容符合要求， 见《公司安全生产规章制度 》</w:t>
            </w:r>
            <w:r>
              <w:rPr>
                <w:rFonts w:hint="eastAsia" w:ascii="仿宋" w:hAnsi="仿宋" w:eastAsia="仿宋" w:cs="仿宋"/>
                <w:sz w:val="18"/>
                <w:lang w:val="en-US" w:eastAsia="zh-CN"/>
              </w:rPr>
              <w:t>及特殊作业票</w:t>
            </w:r>
          </w:p>
        </w:tc>
      </w:tr>
      <w:tr w14:paraId="2CC6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FC991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328790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7.2</w:t>
            </w:r>
          </w:p>
          <w:p w14:paraId="074F2B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警示标志</w:t>
            </w:r>
          </w:p>
          <w:p w14:paraId="16BEBD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p w14:paraId="24780E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E489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0E9FD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5934F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AC389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1.企业应按照GB16179规定，在易燃、易爆、有毒有害等危险场所的醒目位置设置符合GB2894规定的安全标志。</w:t>
            </w:r>
          </w:p>
        </w:tc>
        <w:tc>
          <w:tcPr>
            <w:tcW w:w="710" w:type="pct"/>
          </w:tcPr>
          <w:p w14:paraId="2D3664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装置、仓库、罐区、装卸区、危险化学品输送管道等危险场所的醒目位置设置符合GB2894规定的安全标志。</w:t>
            </w:r>
          </w:p>
        </w:tc>
        <w:tc>
          <w:tcPr>
            <w:tcW w:w="642" w:type="pct"/>
          </w:tcPr>
          <w:p w14:paraId="04C00D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B1FB2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安全标志一览表，载明每个安全标志使用的场所。</w:t>
            </w:r>
          </w:p>
          <w:p w14:paraId="185D00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2B475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装置现场、仓库、罐区、装卸区等危险场所安全标志设置情况。</w:t>
            </w:r>
          </w:p>
        </w:tc>
        <w:tc>
          <w:tcPr>
            <w:tcW w:w="574" w:type="pct"/>
          </w:tcPr>
          <w:p w14:paraId="484E855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77317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1.未建立安全标志一览表，或者没有载明安全标志使用场所，一项扣1分；</w:t>
            </w:r>
          </w:p>
          <w:p w14:paraId="118ED6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2.未设置安全标志或安全标志使用不符合要求，一处扣1分。</w:t>
            </w:r>
          </w:p>
        </w:tc>
        <w:tc>
          <w:tcPr>
            <w:tcW w:w="132" w:type="pct"/>
            <w:vAlign w:val="center"/>
          </w:tcPr>
          <w:p w14:paraId="06585A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39B55C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41240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1.在危险场所的醒目位置设置有符合 GB2894 规定的安全标志。</w:t>
            </w:r>
          </w:p>
          <w:p w14:paraId="443AC2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2.建立有安全标志一览表，且载明安全标志使用场所。</w:t>
            </w:r>
          </w:p>
        </w:tc>
      </w:tr>
      <w:tr w14:paraId="3303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0094B5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B30ACB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CD567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2.企业应在重大危险源现场设置明显的安全警示标志。</w:t>
            </w:r>
          </w:p>
        </w:tc>
        <w:tc>
          <w:tcPr>
            <w:tcW w:w="710" w:type="pct"/>
          </w:tcPr>
          <w:p w14:paraId="0DCF2A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重大危险源现场，设置明显的安全警示标志和告知牌。</w:t>
            </w:r>
          </w:p>
        </w:tc>
        <w:tc>
          <w:tcPr>
            <w:tcW w:w="642" w:type="pct"/>
            <w:vAlign w:val="top"/>
          </w:tcPr>
          <w:p w14:paraId="4D342E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494D0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重大危险源现场安全警示标志和告知牌。</w:t>
            </w:r>
          </w:p>
        </w:tc>
        <w:tc>
          <w:tcPr>
            <w:tcW w:w="574" w:type="pct"/>
          </w:tcPr>
          <w:p w14:paraId="26B10D3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F5048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警示标志和告知牌，一处不符合扣1分。</w:t>
            </w:r>
          </w:p>
        </w:tc>
        <w:tc>
          <w:tcPr>
            <w:tcW w:w="132" w:type="pct"/>
            <w:vAlign w:val="center"/>
          </w:tcPr>
          <w:p w14:paraId="3823B23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B9E0F6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B1C01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在重大危险源现场设置有明显的安全警示标志。</w:t>
            </w:r>
          </w:p>
        </w:tc>
      </w:tr>
      <w:tr w14:paraId="060F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93006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8581A5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63B31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3.企业应按有关规定，在厂内道路设置限速、限高、禁行等标志。</w:t>
            </w:r>
          </w:p>
        </w:tc>
        <w:tc>
          <w:tcPr>
            <w:tcW w:w="710" w:type="pct"/>
          </w:tcPr>
          <w:p w14:paraId="6C454A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按有关规定在厂内道路设置限速、限高、禁行标志。</w:t>
            </w:r>
          </w:p>
        </w:tc>
        <w:tc>
          <w:tcPr>
            <w:tcW w:w="642" w:type="pct"/>
            <w:vAlign w:val="top"/>
          </w:tcPr>
          <w:p w14:paraId="023002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28A6C6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厂区道路限速、限高、禁行等标志。</w:t>
            </w:r>
          </w:p>
        </w:tc>
        <w:tc>
          <w:tcPr>
            <w:tcW w:w="574" w:type="pct"/>
          </w:tcPr>
          <w:p w14:paraId="3071AF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1660F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道路限高、限速、禁行等标志不符合要求，一处扣1分。</w:t>
            </w:r>
          </w:p>
        </w:tc>
        <w:tc>
          <w:tcPr>
            <w:tcW w:w="132" w:type="pct"/>
            <w:vAlign w:val="center"/>
          </w:tcPr>
          <w:p w14:paraId="54F228F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517E04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446FA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厂内道路设置有限速、限高、禁行等标志。</w:t>
            </w:r>
          </w:p>
        </w:tc>
      </w:tr>
      <w:tr w14:paraId="290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A5DC67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0CD9B4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691D3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4.企业应在检维修、施工、吊装等作业现场设置警戒区域和安全标志，在检修现场的坑、井、洼、沟、陡坡等场所设置围栏和警示灯。</w:t>
            </w:r>
          </w:p>
        </w:tc>
        <w:tc>
          <w:tcPr>
            <w:tcW w:w="710" w:type="pct"/>
          </w:tcPr>
          <w:p w14:paraId="0B8EAB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1.检维修、施工、吊装等作业现场设置相应的警戒区域和警示标志；</w:t>
            </w:r>
          </w:p>
          <w:p w14:paraId="310D8F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2.检修现场的坑、井、洼、沟、陡坡等场所设置围栏和警示灯。</w:t>
            </w:r>
          </w:p>
        </w:tc>
        <w:tc>
          <w:tcPr>
            <w:tcW w:w="642" w:type="pct"/>
            <w:vAlign w:val="top"/>
          </w:tcPr>
          <w:p w14:paraId="0A2811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3BF06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检维修、施工、吊装等作业现场管理情况。</w:t>
            </w:r>
          </w:p>
        </w:tc>
        <w:tc>
          <w:tcPr>
            <w:tcW w:w="574" w:type="pct"/>
          </w:tcPr>
          <w:p w14:paraId="2CAF4DC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11BBB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一项不符合扣1分。</w:t>
            </w:r>
          </w:p>
        </w:tc>
        <w:tc>
          <w:tcPr>
            <w:tcW w:w="132" w:type="pct"/>
            <w:vAlign w:val="center"/>
          </w:tcPr>
          <w:p w14:paraId="7929CF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CA6405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F9397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1.检维修、施工、吊装等作业现场设置有相应的警戒区域和警示标志。</w:t>
            </w:r>
          </w:p>
          <w:p w14:paraId="6B45CD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2.检修现场的坑、洼、沟等场所设置围栏和警示灯。</w:t>
            </w:r>
          </w:p>
        </w:tc>
      </w:tr>
      <w:tr w14:paraId="69A3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6DF05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B81052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D00B9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5.企业应在可能产生严重职业危害作业岗位的醒目位置，按照GBZ158设置职业危害警示标识，同时设置告知牌，告知产生职业危害的种类、后果、预防及应急救治措施、作业场所职业危害因素检测结果等。</w:t>
            </w:r>
          </w:p>
        </w:tc>
        <w:tc>
          <w:tcPr>
            <w:tcW w:w="710" w:type="pct"/>
          </w:tcPr>
          <w:p w14:paraId="50E08DF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1.在装置现场、仓库、罐区、装卸区等区域可能产生严重职业危害的岗位醒目位置设置警示标志；</w:t>
            </w:r>
          </w:p>
          <w:p w14:paraId="1D0B55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2.在产生职业危害的岗位醒目位置设置告知牌，告知职业危害因素检测结果、时间和周期及标准规定值。</w:t>
            </w:r>
          </w:p>
        </w:tc>
        <w:tc>
          <w:tcPr>
            <w:tcW w:w="642" w:type="pct"/>
            <w:vAlign w:val="top"/>
          </w:tcPr>
          <w:p w14:paraId="6E5EFE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3D176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1.警示标志和告知牌管理台账；</w:t>
            </w:r>
          </w:p>
          <w:p w14:paraId="094CD2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2.职业危害因素检测记录。</w:t>
            </w:r>
          </w:p>
          <w:p w14:paraId="0D5A7C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155D4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职业危害岗位警示标志和告知牌。</w:t>
            </w:r>
          </w:p>
        </w:tc>
        <w:tc>
          <w:tcPr>
            <w:tcW w:w="574" w:type="pct"/>
          </w:tcPr>
          <w:p w14:paraId="203C4B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21238B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1.未设置警示标志和告知牌，或设置不符合要求，一处扣2分；</w:t>
            </w:r>
          </w:p>
          <w:p w14:paraId="720FB6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2.未在现场告知职业危害因素检测结果、时间和周期或标准规定值，一处扣1分。</w:t>
            </w:r>
          </w:p>
        </w:tc>
        <w:tc>
          <w:tcPr>
            <w:tcW w:w="132" w:type="pct"/>
            <w:vAlign w:val="center"/>
          </w:tcPr>
          <w:p w14:paraId="271BC02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76F916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081751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1.在可能产生严重职业危害作业岗位的醒目位置，按照GBZ158 设置有职业危害警示标识和告知牌。</w:t>
            </w:r>
          </w:p>
          <w:p w14:paraId="3BD629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2.建立有警示标志和告知牌管理台账。</w:t>
            </w:r>
          </w:p>
          <w:p w14:paraId="512B27E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r>
              <w:rPr>
                <w:rFonts w:hint="eastAsia" w:ascii="仿宋" w:hAnsi="仿宋" w:eastAsia="仿宋" w:cs="仿宋"/>
                <w:sz w:val="18"/>
              </w:rPr>
              <w:t>现场无告知职业病危害因素检测结果</w:t>
            </w:r>
            <w:r>
              <w:rPr>
                <w:rFonts w:hint="eastAsia" w:ascii="仿宋" w:hAnsi="仿宋" w:eastAsia="仿宋" w:cs="仿宋"/>
                <w:sz w:val="18"/>
                <w:lang w:eastAsia="zh-CN"/>
              </w:rPr>
              <w:t>，</w:t>
            </w:r>
            <w:r>
              <w:rPr>
                <w:rFonts w:hint="eastAsia" w:ascii="仿宋" w:hAnsi="仿宋" w:eastAsia="仿宋" w:cs="仿宋"/>
                <w:sz w:val="18"/>
                <w:lang w:val="en-US" w:eastAsia="zh-CN"/>
              </w:rPr>
              <w:t>扣1分</w:t>
            </w:r>
          </w:p>
        </w:tc>
      </w:tr>
      <w:tr w14:paraId="69B6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4E0C6F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861FD9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1A9C1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6.企业应按有关规定，在生产区域设置风向标。</w:t>
            </w:r>
          </w:p>
        </w:tc>
        <w:tc>
          <w:tcPr>
            <w:tcW w:w="710" w:type="pct"/>
          </w:tcPr>
          <w:p w14:paraId="798F03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按有关规定，在生产区域设置风向标。</w:t>
            </w:r>
          </w:p>
        </w:tc>
        <w:tc>
          <w:tcPr>
            <w:tcW w:w="642" w:type="pct"/>
            <w:vAlign w:val="top"/>
          </w:tcPr>
          <w:p w14:paraId="2473F6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4A98E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风向标设置的位置是否合理。</w:t>
            </w:r>
          </w:p>
        </w:tc>
        <w:tc>
          <w:tcPr>
            <w:tcW w:w="574" w:type="pct"/>
          </w:tcPr>
          <w:p w14:paraId="354892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B7A90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未设置风向标，扣3分；设置不符合要求，一处扣1分。</w:t>
            </w:r>
          </w:p>
        </w:tc>
        <w:tc>
          <w:tcPr>
            <w:tcW w:w="132" w:type="pct"/>
            <w:vAlign w:val="center"/>
          </w:tcPr>
          <w:p w14:paraId="447F005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B64570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44503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在生产区域设置有风向标。</w:t>
            </w:r>
          </w:p>
        </w:tc>
      </w:tr>
      <w:tr w14:paraId="1924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B1BD8C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0E06E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7.3</w:t>
            </w:r>
          </w:p>
          <w:p w14:paraId="5B395B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作业环节</w:t>
            </w:r>
          </w:p>
          <w:p w14:paraId="5E895C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（40分）</w:t>
            </w:r>
          </w:p>
          <w:p w14:paraId="6382214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D8D49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D991C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96DC7D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10ADD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CA29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49DF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70E9C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3591B2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B5AD4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DF0AB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AC32D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57076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2A600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A7767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E8E66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38E0D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775B7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1.企业应在危险性作业活动作业前进行危险、有害因素识别，制定控制措施。在作业现场配备相应的安全防护用品（具）及消防设施与器材，规范现场人员作业行为。</w:t>
            </w:r>
          </w:p>
        </w:tc>
        <w:tc>
          <w:tcPr>
            <w:tcW w:w="710" w:type="pct"/>
          </w:tcPr>
          <w:p w14:paraId="6CFC15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危险作业现场配备相应安全防护用品（具）及消防设施与器材。</w:t>
            </w:r>
          </w:p>
        </w:tc>
        <w:tc>
          <w:tcPr>
            <w:tcW w:w="642" w:type="pct"/>
            <w:vAlign w:val="top"/>
          </w:tcPr>
          <w:p w14:paraId="336905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D8DE5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相应安全防护用品（具）及消防设施与器材配备情况。</w:t>
            </w:r>
          </w:p>
        </w:tc>
        <w:tc>
          <w:tcPr>
            <w:tcW w:w="574" w:type="pct"/>
          </w:tcPr>
          <w:p w14:paraId="4E9FB26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DA9CC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作业现场安全防护用品（具）及消防设施与器材配备不符合要求，一处扣1分。</w:t>
            </w:r>
          </w:p>
        </w:tc>
        <w:tc>
          <w:tcPr>
            <w:tcW w:w="132" w:type="pct"/>
            <w:vAlign w:val="center"/>
          </w:tcPr>
          <w:p w14:paraId="5A6B02D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E94A31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4EE84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危险作业现场配备有相应安全防护用品（具）及消防设施与器材。</w:t>
            </w:r>
          </w:p>
        </w:tc>
      </w:tr>
      <w:tr w14:paraId="0EA4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B5884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B119B0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DB08F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2.企业作业活动的负责人应严格按照规定要求科学指挥；作业人员应严格执行操作规程，不违章作业，不违反劳动纪律。</w:t>
            </w:r>
          </w:p>
        </w:tc>
        <w:tc>
          <w:tcPr>
            <w:tcW w:w="710" w:type="pct"/>
          </w:tcPr>
          <w:p w14:paraId="233DAA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1.作业活动负责人应严格按照规定要求科学组织作业活动，不得违章指挥；</w:t>
            </w:r>
          </w:p>
          <w:p w14:paraId="577B8C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2.作业人员应严格执行操作规程和作业许可要求，不违章作业，不违反劳动纪律。</w:t>
            </w:r>
          </w:p>
        </w:tc>
        <w:tc>
          <w:tcPr>
            <w:tcW w:w="642" w:type="pct"/>
            <w:vAlign w:val="top"/>
          </w:tcPr>
          <w:p w14:paraId="65ECC6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68F1D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违章指挥、违章作业和违反劳动纪律（“三违”）现象。</w:t>
            </w:r>
          </w:p>
        </w:tc>
        <w:tc>
          <w:tcPr>
            <w:tcW w:w="574" w:type="pct"/>
          </w:tcPr>
          <w:p w14:paraId="698D2A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77E7F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存在“三违”现象，1人次扣5分。</w:t>
            </w:r>
          </w:p>
        </w:tc>
        <w:tc>
          <w:tcPr>
            <w:tcW w:w="132" w:type="pct"/>
            <w:vAlign w:val="center"/>
          </w:tcPr>
          <w:p w14:paraId="0FF29B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6DA8A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6C56C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现场未发现违章指挥、违章作业和违反劳动纪律的现象</w:t>
            </w:r>
          </w:p>
        </w:tc>
      </w:tr>
      <w:tr w14:paraId="7AC0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437B70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E3CB8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39ECC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3.企业作业人员在进行6.1中规定的作业活动时，应持相应的作业许可证作业。</w:t>
            </w:r>
          </w:p>
        </w:tc>
        <w:tc>
          <w:tcPr>
            <w:tcW w:w="710" w:type="pct"/>
          </w:tcPr>
          <w:p w14:paraId="40DA82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进行危险性作业时，作业人员应持经过审批许可的相应作业许可证。</w:t>
            </w:r>
          </w:p>
        </w:tc>
        <w:tc>
          <w:tcPr>
            <w:tcW w:w="642" w:type="pct"/>
            <w:vAlign w:val="top"/>
          </w:tcPr>
          <w:p w14:paraId="4B8893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F1212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作业人员持作业许可证作业情况。</w:t>
            </w:r>
          </w:p>
        </w:tc>
        <w:tc>
          <w:tcPr>
            <w:tcW w:w="574" w:type="pct"/>
          </w:tcPr>
          <w:p w14:paraId="4E8C76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未持相应作业许可证进行危险性作业，扣40分（B级要素否决项）。</w:t>
            </w:r>
          </w:p>
        </w:tc>
        <w:tc>
          <w:tcPr>
            <w:tcW w:w="716" w:type="pct"/>
          </w:tcPr>
          <w:p w14:paraId="2EEA0D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32843A4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D7C6C7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F8E29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进行危险性作业时，作业人员均持经过审批许可的相应作业许可证。</w:t>
            </w:r>
          </w:p>
        </w:tc>
      </w:tr>
      <w:tr w14:paraId="000A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3958D5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0B9ACE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F4A9B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4.企业作业活动监护人员应具备基本救护技能和作业现场的应急处理能力，持相应作业许可证进行监护作业，作业过程中不得离开监护岗位。</w:t>
            </w:r>
          </w:p>
        </w:tc>
        <w:tc>
          <w:tcPr>
            <w:tcW w:w="710" w:type="pct"/>
          </w:tcPr>
          <w:p w14:paraId="616645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1.作业活动监护人员应具备基本救护技能和作业现场的应急处理能力；</w:t>
            </w:r>
          </w:p>
          <w:p w14:paraId="151E4F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2.作业活动监护人员持相应作业许可证进行现场监护，不得离开监护岗位。</w:t>
            </w:r>
          </w:p>
        </w:tc>
        <w:tc>
          <w:tcPr>
            <w:tcW w:w="642" w:type="pct"/>
            <w:vAlign w:val="top"/>
          </w:tcPr>
          <w:p w14:paraId="5F4443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DA355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作业许可证。</w:t>
            </w:r>
          </w:p>
          <w:p w14:paraId="4E5E6A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9A894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监护人员救护技能和应急处理能力。</w:t>
            </w:r>
          </w:p>
          <w:p w14:paraId="1B5F1B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6D9209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监护人员是否持相应许可证监护。</w:t>
            </w:r>
          </w:p>
        </w:tc>
        <w:tc>
          <w:tcPr>
            <w:tcW w:w="574" w:type="pct"/>
          </w:tcPr>
          <w:p w14:paraId="457BF4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9D8B6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1.作业许可证未明确监护人员，扣2分；</w:t>
            </w:r>
          </w:p>
          <w:p w14:paraId="1E5FD5D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2.监护人员不具备相应的救护技能及应急处理能力，1人扣1分；</w:t>
            </w:r>
          </w:p>
          <w:p w14:paraId="39BF0A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3.监护人员未持有相应作业许可证监护，1人次扣1分；</w:t>
            </w:r>
          </w:p>
          <w:p w14:paraId="197009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4.监护人员擅离监护岗位，1人次扣2分。</w:t>
            </w:r>
          </w:p>
        </w:tc>
        <w:tc>
          <w:tcPr>
            <w:tcW w:w="132" w:type="pct"/>
            <w:vAlign w:val="center"/>
          </w:tcPr>
          <w:p w14:paraId="2D2A688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0CC3D4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33FE5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1.作业活动监护人员具备基本救护技能和作业现场的应急处理能力；</w:t>
            </w:r>
          </w:p>
          <w:p w14:paraId="615D74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2.作业活动监护人员持相应作业许可证进行现</w:t>
            </w:r>
          </w:p>
          <w:p w14:paraId="564FE3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场监护，无离开监护岗位现象。</w:t>
            </w:r>
          </w:p>
        </w:tc>
      </w:tr>
      <w:tr w14:paraId="1569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EDC731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19EC16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D1FFA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5.企业应保持作业环境整洁。</w:t>
            </w:r>
          </w:p>
        </w:tc>
        <w:tc>
          <w:tcPr>
            <w:tcW w:w="710" w:type="pct"/>
          </w:tcPr>
          <w:p w14:paraId="055379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保持作业环境整洁，消除安全隐患。</w:t>
            </w:r>
          </w:p>
        </w:tc>
        <w:tc>
          <w:tcPr>
            <w:tcW w:w="642" w:type="pct"/>
            <w:vAlign w:val="top"/>
          </w:tcPr>
          <w:p w14:paraId="713C2F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01A9F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作业环境。</w:t>
            </w:r>
          </w:p>
        </w:tc>
        <w:tc>
          <w:tcPr>
            <w:tcW w:w="574" w:type="pct"/>
          </w:tcPr>
          <w:p w14:paraId="16C1F7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4BDC4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作业环境或工器具、材料等摆放不符合要求，一处扣1分。</w:t>
            </w:r>
          </w:p>
        </w:tc>
        <w:tc>
          <w:tcPr>
            <w:tcW w:w="132" w:type="pct"/>
            <w:vAlign w:val="center"/>
          </w:tcPr>
          <w:p w14:paraId="42B3D00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8E2B98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0E8301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作业环境或工器具、材料等摆放不符合要求。扣1分。</w:t>
            </w:r>
          </w:p>
        </w:tc>
      </w:tr>
      <w:tr w14:paraId="2A9F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735871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7BB35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DC615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同一作业区域内有两个以上承包商进行生产经营活动，可能危及对方生产安全时，应组织并监督承包商之间签订安全生产协议，明确各自的安全生产管理职责和应当采取的安全措施，并指定专职安全生产管理人员进行安全检查与协调。</w:t>
            </w:r>
          </w:p>
        </w:tc>
        <w:tc>
          <w:tcPr>
            <w:tcW w:w="710" w:type="pct"/>
          </w:tcPr>
          <w:p w14:paraId="655F12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1.同一作业区域内有两个以上承包商进行生产经营活动，可能危及对方生产安全时，应组织承包商之间签订安全生产协议，明确各自的安全生产管理职责和应当采取的安全措施；</w:t>
            </w:r>
          </w:p>
          <w:p w14:paraId="113CC7E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2.指定专职安全生产管理人员进行安全检查和协调并记录。</w:t>
            </w:r>
          </w:p>
        </w:tc>
        <w:tc>
          <w:tcPr>
            <w:tcW w:w="642" w:type="pct"/>
            <w:vAlign w:val="top"/>
          </w:tcPr>
          <w:p w14:paraId="24FA4F6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134B1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1.承包商之间的安全生产协议；</w:t>
            </w:r>
          </w:p>
          <w:p w14:paraId="51A869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2.检查记录。</w:t>
            </w:r>
          </w:p>
          <w:p w14:paraId="79BB75B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CAA963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承包商作业现场管理。</w:t>
            </w:r>
          </w:p>
        </w:tc>
        <w:tc>
          <w:tcPr>
            <w:tcW w:w="574" w:type="pct"/>
          </w:tcPr>
          <w:p w14:paraId="4A24AC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7C6C1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1.未签订安全生产协议书的，一项扣2分；安全生产协议书内容不符合要求，一项扣1分；</w:t>
            </w:r>
          </w:p>
          <w:p w14:paraId="3BCB18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2.未进行现场安全检查和协调的，1次扣1分。</w:t>
            </w:r>
          </w:p>
        </w:tc>
        <w:tc>
          <w:tcPr>
            <w:tcW w:w="132" w:type="pct"/>
            <w:vAlign w:val="center"/>
          </w:tcPr>
          <w:p w14:paraId="5D3C66C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3D3850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CC3E0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暂无两个以上的承包商 进行交叉作业，空项。</w:t>
            </w:r>
          </w:p>
        </w:tc>
      </w:tr>
      <w:tr w14:paraId="2873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56" w:type="pct"/>
            <w:vMerge w:val="continue"/>
          </w:tcPr>
          <w:p w14:paraId="2F503F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DAEAD6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A659C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7.企业应办理机动车辆进入生产装置区、罐区现场相关手续，机动车辆应佩戴标准阻火器、按指定线路行驶。</w:t>
            </w:r>
          </w:p>
        </w:tc>
        <w:tc>
          <w:tcPr>
            <w:tcW w:w="710" w:type="pct"/>
          </w:tcPr>
          <w:p w14:paraId="1B1DDE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机动车辆进入生产装置区、罐区现场应按规定办理相关手续，佩戴符合标准要求的阻火器，按指定路线、规定速度行驶。</w:t>
            </w:r>
          </w:p>
        </w:tc>
        <w:tc>
          <w:tcPr>
            <w:tcW w:w="642" w:type="pct"/>
            <w:vAlign w:val="top"/>
          </w:tcPr>
          <w:p w14:paraId="027B35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049FF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1.有关机动车辆进入生产装置区、罐区现场的管理规定；</w:t>
            </w:r>
          </w:p>
          <w:p w14:paraId="6C583F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2.机动车辆进入生产装置区、罐区手续。</w:t>
            </w:r>
          </w:p>
          <w:p w14:paraId="1F2FB8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7F1DA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机动车辆进入生产装置区、罐区的安全管理。</w:t>
            </w:r>
          </w:p>
        </w:tc>
        <w:tc>
          <w:tcPr>
            <w:tcW w:w="574" w:type="pct"/>
          </w:tcPr>
          <w:p w14:paraId="0967E5E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30649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1.机动车辆未办理手续进入生产装置区、罐区，1台扣2分；</w:t>
            </w:r>
          </w:p>
          <w:p w14:paraId="253433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2.未佩戴阻火器，或未按指定路线、规定速度行驶的，一项扣1分。</w:t>
            </w:r>
          </w:p>
        </w:tc>
        <w:tc>
          <w:tcPr>
            <w:tcW w:w="132" w:type="pct"/>
            <w:vAlign w:val="center"/>
          </w:tcPr>
          <w:p w14:paraId="299A989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58B9AE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276EB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1.制定有有关机动车辆进入生产装置区、罐区现场的管理规定，见《公司安全生产规章制度》</w:t>
            </w:r>
          </w:p>
          <w:p w14:paraId="30BEE6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2.严格审批办理机动车辆进入生产装置区、罐区手续，使用门禁卡管理，由门卫对车辆进行检查，见《危险化学品装卸（罐 车）安全检查表》。</w:t>
            </w:r>
          </w:p>
        </w:tc>
      </w:tr>
      <w:tr w14:paraId="2F5F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 w:type="pct"/>
            <w:vMerge w:val="continue"/>
          </w:tcPr>
          <w:p w14:paraId="51E7E56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4BA666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EB73E6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5115EA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二级企业动火作业、进入受限空间作业及吊装作业管理制度、作业票证及作业现场评审不失分。</w:t>
            </w:r>
          </w:p>
        </w:tc>
        <w:tc>
          <w:tcPr>
            <w:tcW w:w="642" w:type="pct"/>
            <w:vAlign w:val="top"/>
          </w:tcPr>
          <w:p w14:paraId="7E37E36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216B7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动火作业、进入受限空间作业及吊装作业管理制度、作业许可证。</w:t>
            </w:r>
          </w:p>
          <w:p w14:paraId="711C05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EF810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检查动火作业、进入受限空间作业及吊装作业现场。</w:t>
            </w:r>
          </w:p>
        </w:tc>
        <w:tc>
          <w:tcPr>
            <w:tcW w:w="574" w:type="pct"/>
          </w:tcPr>
          <w:p w14:paraId="4A6278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若失分，扣100分（A级要素否决项）。</w:t>
            </w:r>
          </w:p>
        </w:tc>
        <w:tc>
          <w:tcPr>
            <w:tcW w:w="716" w:type="pct"/>
          </w:tcPr>
          <w:p w14:paraId="2BA7422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2224FD9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86FC35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015CC5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17A4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8AA136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2479B6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7.4</w:t>
            </w:r>
          </w:p>
          <w:p w14:paraId="59ADE0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承包商</w:t>
            </w:r>
          </w:p>
          <w:p w14:paraId="7CCB62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0E6B6D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E559E1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8A86C9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ECB50C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5F3CA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D050FB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A2D09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企业应严格执行承包商管理制度，对承包商资格预审、选择、开工前准备、作业过程监督、表现评价、续用等过程进行管理，建立合格承包商名录和档案。企业应与选用的承包商签订安全协议书。</w:t>
            </w:r>
          </w:p>
        </w:tc>
        <w:tc>
          <w:tcPr>
            <w:tcW w:w="710" w:type="pct"/>
          </w:tcPr>
          <w:p w14:paraId="3564CE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1.建立合格承包商名录、档案（包括承包商资质资料、表现评价、合同等资料）；</w:t>
            </w:r>
          </w:p>
          <w:p w14:paraId="787625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2.对承包商进行资格预审；</w:t>
            </w:r>
          </w:p>
          <w:p w14:paraId="6BBEED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3.选择、使用合格的承包商；</w:t>
            </w:r>
          </w:p>
          <w:p w14:paraId="527D8A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4.与选用的承包商签订安全协议；</w:t>
            </w:r>
          </w:p>
          <w:p w14:paraId="566267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5.对作业过程进行监督检查。</w:t>
            </w:r>
          </w:p>
        </w:tc>
        <w:tc>
          <w:tcPr>
            <w:tcW w:w="642" w:type="pct"/>
          </w:tcPr>
          <w:p w14:paraId="058C7E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87F5D0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1.承包商管理制度；</w:t>
            </w:r>
          </w:p>
          <w:p w14:paraId="060E27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2.承包商管理档案、监督检查记录；</w:t>
            </w:r>
          </w:p>
          <w:p w14:paraId="68BB496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3.安全协议书。</w:t>
            </w:r>
          </w:p>
          <w:p w14:paraId="6CCEC1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BB342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作业现场管理。</w:t>
            </w:r>
          </w:p>
        </w:tc>
        <w:tc>
          <w:tcPr>
            <w:tcW w:w="574" w:type="pct"/>
          </w:tcPr>
          <w:p w14:paraId="5926C5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54935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1.未建立合格承包商档案，一项扣2分；</w:t>
            </w:r>
          </w:p>
          <w:p w14:paraId="0B4129D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2.未与承包商签订安全协议，扣3分；</w:t>
            </w:r>
          </w:p>
          <w:p w14:paraId="0540E8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3.未对承包商进行规范管理，一项不符合扣1分；</w:t>
            </w:r>
          </w:p>
          <w:p w14:paraId="16A4EC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4.未进行现场安全检查，一次扣1分。</w:t>
            </w:r>
          </w:p>
        </w:tc>
        <w:tc>
          <w:tcPr>
            <w:tcW w:w="132" w:type="pct"/>
            <w:vAlign w:val="center"/>
          </w:tcPr>
          <w:p w14:paraId="0A4DA4F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47854B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2EFBB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w:t>
            </w:r>
            <w:r>
              <w:rPr>
                <w:rFonts w:hint="eastAsia" w:ascii="仿宋" w:hAnsi="仿宋" w:eastAsia="仿宋" w:cs="仿宋"/>
                <w:sz w:val="18"/>
              </w:rPr>
              <w:t>建立有承包商管理制 度，见《公司安全生产规章制度 》</w:t>
            </w:r>
            <w:r>
              <w:rPr>
                <w:rFonts w:hint="eastAsia" w:ascii="仿宋" w:hAnsi="仿宋" w:eastAsia="仿宋" w:cs="仿宋"/>
                <w:sz w:val="18"/>
                <w:lang w:eastAsia="zh-CN"/>
              </w:rPr>
              <w:t>。</w:t>
            </w:r>
          </w:p>
          <w:p w14:paraId="56BE21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对承包商进行资格预审。</w:t>
            </w:r>
          </w:p>
          <w:p w14:paraId="1E84CA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3.与选用的承包商签订安全协议。</w:t>
            </w:r>
          </w:p>
          <w:p w14:paraId="4F3BD2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4.对作业过程进行监督检查，见监督检查记录。</w:t>
            </w:r>
          </w:p>
        </w:tc>
      </w:tr>
      <w:tr w14:paraId="0260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046943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47108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CD12EB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5909BF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要向承包商进行作业现场安全交底，对承包商的安全作业规程、施工方案和应急预案进行审查。</w:t>
            </w:r>
          </w:p>
        </w:tc>
        <w:tc>
          <w:tcPr>
            <w:tcW w:w="642" w:type="pct"/>
          </w:tcPr>
          <w:p w14:paraId="02922CF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2DA09B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8E366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作业现场未进行安全交底，施工方案和应急预案未进行审查，一项不符合扣2分。</w:t>
            </w:r>
          </w:p>
        </w:tc>
        <w:tc>
          <w:tcPr>
            <w:tcW w:w="132" w:type="pct"/>
            <w:vAlign w:val="center"/>
          </w:tcPr>
          <w:p w14:paraId="5EDCCF2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DC9D50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167C41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承包商进行作业现场安全交底，对承包商的安全作业规程、施工方案和应急预案的审查存在缺失， 扣 </w:t>
            </w:r>
            <w:r>
              <w:rPr>
                <w:rFonts w:hint="eastAsia" w:ascii="仿宋" w:hAnsi="仿宋" w:eastAsia="仿宋" w:cs="仿宋"/>
                <w:sz w:val="18"/>
                <w:lang w:val="en-US" w:eastAsia="zh-CN"/>
              </w:rPr>
              <w:t>5</w:t>
            </w:r>
            <w:r>
              <w:rPr>
                <w:rFonts w:hint="eastAsia" w:ascii="仿宋" w:hAnsi="仿宋" w:eastAsia="仿宋" w:cs="仿宋"/>
                <w:sz w:val="18"/>
              </w:rPr>
              <w:t xml:space="preserve"> 分。</w:t>
            </w:r>
          </w:p>
        </w:tc>
      </w:tr>
      <w:tr w14:paraId="3C10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256" w:type="pct"/>
            <w:vMerge w:val="restart"/>
          </w:tcPr>
          <w:p w14:paraId="0C64DF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8职业健康</w:t>
            </w:r>
          </w:p>
          <w:p w14:paraId="471D24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71BE70A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4CB3FF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8.1</w:t>
            </w:r>
          </w:p>
          <w:p w14:paraId="233C88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职业危害项目申报</w:t>
            </w:r>
          </w:p>
          <w:p w14:paraId="6E4362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tc>
        <w:tc>
          <w:tcPr>
            <w:tcW w:w="719" w:type="pct"/>
          </w:tcPr>
          <w:p w14:paraId="1400C2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企业如存在法定职业病目录所列的职业危害因素，应按照国家有关规定，及时、如实向当地安全生产监督管理部门申报，接受其监督。</w:t>
            </w:r>
          </w:p>
        </w:tc>
        <w:tc>
          <w:tcPr>
            <w:tcW w:w="710" w:type="pct"/>
          </w:tcPr>
          <w:p w14:paraId="20E5D5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1.识别职业危害因素；</w:t>
            </w:r>
          </w:p>
          <w:p w14:paraId="15EB59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2.及时、如实向当地安全监督管理部门申报法定职业病目录所列的职业危害因素，接受其监督。</w:t>
            </w:r>
          </w:p>
        </w:tc>
        <w:tc>
          <w:tcPr>
            <w:tcW w:w="642" w:type="pct"/>
          </w:tcPr>
          <w:p w14:paraId="7A768F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B70A3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1.职业病危害因素识别记录；</w:t>
            </w:r>
          </w:p>
          <w:p w14:paraId="3536FA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2.职业病危害因素申报表及批复资料。</w:t>
            </w:r>
          </w:p>
          <w:p w14:paraId="7C735F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11412F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现场存在的职业危害因素与申报内容符合情况。</w:t>
            </w:r>
          </w:p>
        </w:tc>
        <w:tc>
          <w:tcPr>
            <w:tcW w:w="574" w:type="pct"/>
          </w:tcPr>
          <w:p w14:paraId="7ACC32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1.未识别职业危害因素，扣25分（B级要素否决项）；</w:t>
            </w:r>
          </w:p>
          <w:p w14:paraId="300BC4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2.未申报职业病危害因素，扣25分（B级要素否决项）。</w:t>
            </w:r>
          </w:p>
        </w:tc>
        <w:tc>
          <w:tcPr>
            <w:tcW w:w="716" w:type="pct"/>
          </w:tcPr>
          <w:p w14:paraId="4AEAA2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1.申报职业病危害因素，每漏一种，扣2分；</w:t>
            </w:r>
          </w:p>
          <w:p w14:paraId="4D56C3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2.申报内容，一项不符合扣1分。</w:t>
            </w:r>
          </w:p>
        </w:tc>
        <w:tc>
          <w:tcPr>
            <w:tcW w:w="132" w:type="pct"/>
            <w:vAlign w:val="center"/>
          </w:tcPr>
          <w:p w14:paraId="29D8685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B64286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D100C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识别了职业危害因素，并进行了网上申报，申报职业病危害因素齐全，申报内容符合要求，见《用人单位职业病危害项目申报回执》。</w:t>
            </w:r>
          </w:p>
        </w:tc>
      </w:tr>
      <w:tr w14:paraId="51C9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B9D7D2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99FCC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8.2</w:t>
            </w:r>
          </w:p>
          <w:p w14:paraId="456CD9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作业场所职业危害管理</w:t>
            </w:r>
          </w:p>
          <w:p w14:paraId="3AE8BB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（50分）</w:t>
            </w:r>
          </w:p>
          <w:p w14:paraId="4C391F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087F6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0580E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F6E1A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0FC1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63717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923F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26DC69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B6D71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8AAB8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AB512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1.企业应制定职业危害防治计划和实施方案，建立健全职业卫生档案和从业人员健康监护档案。</w:t>
            </w:r>
          </w:p>
        </w:tc>
        <w:tc>
          <w:tcPr>
            <w:tcW w:w="710" w:type="pct"/>
          </w:tcPr>
          <w:p w14:paraId="692F67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1.制定职业危害防治计划和实施方案；</w:t>
            </w:r>
          </w:p>
          <w:p w14:paraId="107E7F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2.建立健全职业卫生档案，包括职业危害防护设施台账、职业危害监测结果、健康监护报告等；</w:t>
            </w:r>
          </w:p>
          <w:p w14:paraId="2F9B67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3.建立从业人员健康监护档案。</w:t>
            </w:r>
          </w:p>
        </w:tc>
        <w:tc>
          <w:tcPr>
            <w:tcW w:w="642" w:type="pct"/>
          </w:tcPr>
          <w:p w14:paraId="487DB7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EF7AA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1.职业危害防治计划和实施方案；</w:t>
            </w:r>
          </w:p>
          <w:p w14:paraId="1AFF359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2.职业卫生档案；</w:t>
            </w:r>
          </w:p>
          <w:p w14:paraId="4E85C5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3.从业人员健康监护档案。</w:t>
            </w:r>
          </w:p>
        </w:tc>
        <w:tc>
          <w:tcPr>
            <w:tcW w:w="574" w:type="pct"/>
          </w:tcPr>
          <w:p w14:paraId="1698750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95E15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1.未制定职业危害防治计划和实施方案，一项扣5分；内容一项不符合，扣2分；</w:t>
            </w:r>
          </w:p>
          <w:p w14:paraId="1FC2F1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2.未建立职业卫生档案，扣5分；档案内容不符合要求，一项扣1分；</w:t>
            </w:r>
          </w:p>
          <w:p w14:paraId="699F43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3.未建立从业人员健康监护档案扣10分；每缺一人扣1分。</w:t>
            </w:r>
          </w:p>
        </w:tc>
        <w:tc>
          <w:tcPr>
            <w:tcW w:w="132" w:type="pct"/>
            <w:vAlign w:val="center"/>
          </w:tcPr>
          <w:p w14:paraId="0BD8D5F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62DC52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6A067AC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1.制定有职业危害防治方案。</w:t>
            </w:r>
          </w:p>
          <w:p w14:paraId="2B93D21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2.建立有职业卫生档案，包括职业危害防护设施台账、职业危害监测结果、健康监护报告等。</w:t>
            </w:r>
          </w:p>
          <w:p w14:paraId="6FB78A1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3.建立了档案，但档案内容未完善扣2分。</w:t>
            </w:r>
          </w:p>
        </w:tc>
      </w:tr>
      <w:tr w14:paraId="33AF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88976F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92C5C3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ACE8C3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2.企业作业场所应符合GBZ1、GBZ2。</w:t>
            </w:r>
          </w:p>
        </w:tc>
        <w:tc>
          <w:tcPr>
            <w:tcW w:w="710" w:type="pct"/>
          </w:tcPr>
          <w:p w14:paraId="7F8CA6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企业作业场所职业危害因素应符合GBZ1、GBZ2.1、GBZ2.2规定。</w:t>
            </w:r>
          </w:p>
        </w:tc>
        <w:tc>
          <w:tcPr>
            <w:tcW w:w="642" w:type="pct"/>
          </w:tcPr>
          <w:p w14:paraId="52AE98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62A50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职业卫生档案。</w:t>
            </w:r>
          </w:p>
          <w:p w14:paraId="6F418C9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E0650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作业现场职业危害管理情况。</w:t>
            </w:r>
          </w:p>
        </w:tc>
        <w:tc>
          <w:tcPr>
            <w:tcW w:w="574" w:type="pct"/>
          </w:tcPr>
          <w:p w14:paraId="1004C6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76DEC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作业场所职业危害因素不符合规定，一处扣5分。</w:t>
            </w:r>
          </w:p>
        </w:tc>
        <w:tc>
          <w:tcPr>
            <w:tcW w:w="132" w:type="pct"/>
            <w:vAlign w:val="center"/>
          </w:tcPr>
          <w:p w14:paraId="2508DD1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6F3574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C2299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定期对作业场所进行职业病危害因素检测，检测结果符合 GBZ1、GBZ2.1、GBZ2.2 规定。</w:t>
            </w:r>
          </w:p>
        </w:tc>
      </w:tr>
      <w:tr w14:paraId="4475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98F826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338F34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C6C9A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3.企业应确保使用有毒物品作业场所与生活区分开，作业场所不得住人；应将有害作业与无害作业分开，高毒作业场所与其他作业场所隔离。</w:t>
            </w:r>
          </w:p>
        </w:tc>
        <w:tc>
          <w:tcPr>
            <w:tcW w:w="710" w:type="pct"/>
          </w:tcPr>
          <w:p w14:paraId="081880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1.使用有毒物品作业场所与生活区分开，作业场所不得住人；</w:t>
            </w:r>
          </w:p>
          <w:p w14:paraId="2B8D3A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2.将有害作业与无害作业分开；</w:t>
            </w:r>
          </w:p>
          <w:p w14:paraId="14A33A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3.将高毒作业场所与其他作业场所隔离。</w:t>
            </w:r>
          </w:p>
        </w:tc>
        <w:tc>
          <w:tcPr>
            <w:tcW w:w="642" w:type="pct"/>
          </w:tcPr>
          <w:p w14:paraId="44E1D73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86DFD0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1.作业场所区域划分情况；</w:t>
            </w:r>
          </w:p>
          <w:p w14:paraId="0A786D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2.作业场所有无住人；</w:t>
            </w:r>
          </w:p>
          <w:p w14:paraId="0CFE3C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3.高毒作业场所与其他作业场所的隔离是否符合要求。</w:t>
            </w:r>
          </w:p>
        </w:tc>
        <w:tc>
          <w:tcPr>
            <w:tcW w:w="574" w:type="pct"/>
          </w:tcPr>
          <w:p w14:paraId="66FDD3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作业场所设生活设施并住人，扣50分（B级要素否决项）。</w:t>
            </w:r>
          </w:p>
        </w:tc>
        <w:tc>
          <w:tcPr>
            <w:tcW w:w="716" w:type="pct"/>
          </w:tcPr>
          <w:p w14:paraId="4048F8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1.使用和产生有毒物品的作业场所与生活区的距离不符合卫生防护距离标准规定的，一处扣5分；</w:t>
            </w:r>
          </w:p>
          <w:p w14:paraId="27D3FA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2.有害作业未与无害作业分开，一处扣5分；</w:t>
            </w:r>
          </w:p>
          <w:p w14:paraId="757ACC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3.未将高毒作业场所与其他作业场所隔离，一处扣10分。</w:t>
            </w:r>
          </w:p>
        </w:tc>
        <w:tc>
          <w:tcPr>
            <w:tcW w:w="132" w:type="pct"/>
            <w:vAlign w:val="center"/>
          </w:tcPr>
          <w:p w14:paraId="0B568F9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746DFD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AAEB3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1.使用有毒物品作业场所与生活区分开，作业场所未住人；</w:t>
            </w:r>
          </w:p>
          <w:p w14:paraId="4CAA49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2.有害作业与无害作业分开。</w:t>
            </w:r>
          </w:p>
        </w:tc>
      </w:tr>
      <w:tr w14:paraId="2161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C9859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248A5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57CE86A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4.企业应在可能发生急性职业损伤的有毒有害作业场所按规定设置报警设施、冲洗设施、防护急救器具专柜，设置应急撤离通道和必要的泄险区，定期检查，并记录。</w:t>
            </w:r>
          </w:p>
        </w:tc>
        <w:tc>
          <w:tcPr>
            <w:tcW w:w="710" w:type="pct"/>
          </w:tcPr>
          <w:p w14:paraId="2E52E5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在可能发生急性职业损伤的有毒有害作业场所按规定设置报警设施、冲洗设施、防护急救器具专柜，设置应急撤离通道和必要的泄险区，定期检查并记录。</w:t>
            </w:r>
          </w:p>
        </w:tc>
        <w:tc>
          <w:tcPr>
            <w:tcW w:w="642" w:type="pct"/>
          </w:tcPr>
          <w:p w14:paraId="1482DF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89578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检查记录。</w:t>
            </w:r>
          </w:p>
          <w:p w14:paraId="558EB1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73A39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报警设施、冲洗设施、防护急救器具专柜、应急撤离通道、泄险区的设置及完整性。</w:t>
            </w:r>
          </w:p>
        </w:tc>
        <w:tc>
          <w:tcPr>
            <w:tcW w:w="574" w:type="pct"/>
          </w:tcPr>
          <w:p w14:paraId="2F4275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A04FE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1.现场未按规定设置有关设施，一项扣2分；</w:t>
            </w:r>
          </w:p>
          <w:p w14:paraId="404642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2.应急撤离通道和泄险区，一处不符合扣2分；</w:t>
            </w:r>
          </w:p>
          <w:p w14:paraId="35075A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3.现场有关设施完整性，一项不符合扣2分；</w:t>
            </w:r>
          </w:p>
          <w:p w14:paraId="2207FE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4.未定期进行检查、记录，一项扣1分。</w:t>
            </w:r>
          </w:p>
        </w:tc>
        <w:tc>
          <w:tcPr>
            <w:tcW w:w="132" w:type="pct"/>
            <w:vAlign w:val="center"/>
          </w:tcPr>
          <w:p w14:paraId="6F314BD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486BFD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2AFD8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有毒有害作业场所按规定设置了气体检测报警设施</w:t>
            </w:r>
            <w:r>
              <w:rPr>
                <w:rFonts w:hint="eastAsia" w:ascii="仿宋" w:hAnsi="仿宋" w:eastAsia="仿宋" w:cs="仿宋"/>
                <w:sz w:val="18"/>
                <w:lang w:eastAsia="zh-CN"/>
              </w:rPr>
              <w:t>、</w:t>
            </w:r>
            <w:r>
              <w:rPr>
                <w:rFonts w:hint="eastAsia" w:ascii="仿宋" w:hAnsi="仿宋" w:eastAsia="仿宋" w:cs="仿宋"/>
                <w:sz w:val="18"/>
              </w:rPr>
              <w:t>冲洗设施、防护急救器具专柜，设置应急撤 离通道和必要的泄险区，定期检查，并记录。</w:t>
            </w:r>
          </w:p>
        </w:tc>
      </w:tr>
      <w:tr w14:paraId="4225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E998D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3CB562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5EAF1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5.企业应严格执行生产作业场所职业危害因素检测管理制度，定期对作业场所进行检测，在检测点设置告知牌，告知检测结果，并将结果存入职业卫生档案。</w:t>
            </w:r>
          </w:p>
        </w:tc>
        <w:tc>
          <w:tcPr>
            <w:tcW w:w="710" w:type="pct"/>
          </w:tcPr>
          <w:p w14:paraId="72ACD8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1.定期对作业场所职业危害因素进行检测；</w:t>
            </w:r>
          </w:p>
          <w:p w14:paraId="6F1F41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2.在检测点设置告知牌，告知检测结果；</w:t>
            </w:r>
          </w:p>
          <w:p w14:paraId="6A85CB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3.将检测结果存入职业卫生档案；</w:t>
            </w:r>
          </w:p>
          <w:p w14:paraId="790D08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4.工作场所职业危害因素的检测结果不符合标准规定，要进行整改。</w:t>
            </w:r>
          </w:p>
        </w:tc>
        <w:tc>
          <w:tcPr>
            <w:tcW w:w="642" w:type="pct"/>
          </w:tcPr>
          <w:p w14:paraId="2EB0EC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406EA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1.职业危害监测制度；</w:t>
            </w:r>
          </w:p>
          <w:p w14:paraId="59F96A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2.职业危害监测报告及职业卫生档案、整改计划。</w:t>
            </w:r>
          </w:p>
          <w:p w14:paraId="4E21E84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049F48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抽查从业人员对检测结果了解情况。</w:t>
            </w:r>
          </w:p>
          <w:p w14:paraId="7DB26C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A1172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检测点设置及告知牌。</w:t>
            </w:r>
          </w:p>
        </w:tc>
        <w:tc>
          <w:tcPr>
            <w:tcW w:w="574" w:type="pct"/>
          </w:tcPr>
          <w:p w14:paraId="10FFC74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FA595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1.检测点设置不符合要求，一处扣2分；</w:t>
            </w:r>
          </w:p>
          <w:p w14:paraId="3D2A7F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2.检测点未设置职业危害因素告知牌，一处扣1分；告知内容不符合要求，一项扣1分；</w:t>
            </w:r>
          </w:p>
          <w:p w14:paraId="44AED8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3.未定期检测，缺一次扣2分，缺一点扣2分；</w:t>
            </w:r>
          </w:p>
          <w:p w14:paraId="24AD2F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4.从业人员不清楚岗位职业危害情况，1人次扣1分；</w:t>
            </w:r>
          </w:p>
          <w:p w14:paraId="36E216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5.未将检测结果存入职业卫生档案扣2分；</w:t>
            </w:r>
          </w:p>
          <w:p w14:paraId="1ECA9D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6.作业场所职业危害因素检测结果不符合符合标准规定，未进行整改，一处扣2分。</w:t>
            </w:r>
          </w:p>
        </w:tc>
        <w:tc>
          <w:tcPr>
            <w:tcW w:w="132" w:type="pct"/>
            <w:vAlign w:val="center"/>
          </w:tcPr>
          <w:p w14:paraId="46CE42E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BF7C40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83F68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1.建立有职业危害监测制度，定期对作业场所职业危害因素进行检测，有毒有害作业场所按规定 设置报警设施、冲洗设施</w:t>
            </w:r>
            <w:r>
              <w:rPr>
                <w:rFonts w:hint="eastAsia" w:ascii="仿宋" w:hAnsi="仿宋" w:eastAsia="仿宋" w:cs="仿宋"/>
                <w:sz w:val="18"/>
                <w:lang w:eastAsia="zh-CN"/>
              </w:rPr>
              <w:t>、</w:t>
            </w:r>
            <w:r>
              <w:rPr>
                <w:rFonts w:hint="eastAsia" w:ascii="仿宋" w:hAnsi="仿宋" w:eastAsia="仿宋" w:cs="仿宋"/>
                <w:sz w:val="18"/>
              </w:rPr>
              <w:t>防护急救器具专柜，设置应急撤离通道和必要的泄险区，定期检查， 并记录、检测报告。</w:t>
            </w:r>
          </w:p>
          <w:p w14:paraId="272514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2.在检测点设置告知牌，告知检测结果。</w:t>
            </w:r>
          </w:p>
          <w:p w14:paraId="35D0DC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已将检测结果存入职业卫生档案。</w:t>
            </w:r>
          </w:p>
          <w:p w14:paraId="6C74D58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4.工作场所职业危害因素的检测结果符合标准 规定。</w:t>
            </w:r>
          </w:p>
          <w:p w14:paraId="051203C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13DF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256" w:type="pct"/>
            <w:vMerge w:val="continue"/>
          </w:tcPr>
          <w:p w14:paraId="215FEA1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84E995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1A1A7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6.企业不得安排上岗前未经职业健康检查的从业人员从事接触职业病危害的作业；不得安排有职业禁忌的从业人员从事禁忌作业。</w:t>
            </w:r>
          </w:p>
        </w:tc>
        <w:tc>
          <w:tcPr>
            <w:tcW w:w="710" w:type="pct"/>
          </w:tcPr>
          <w:p w14:paraId="6D2D872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1.不得安排上岗前未经职业健康检查的从业人员从事接触职业病危害的作业；</w:t>
            </w:r>
          </w:p>
          <w:p w14:paraId="6C80BE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2.按规定对从事接触职业病危害作业的人员进行在岗期间、离岗时职业健康检查；</w:t>
            </w:r>
          </w:p>
          <w:p w14:paraId="23842B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3.不得安排有职业禁忌的人员从事禁忌作业。</w:t>
            </w:r>
          </w:p>
        </w:tc>
        <w:tc>
          <w:tcPr>
            <w:tcW w:w="642" w:type="pct"/>
          </w:tcPr>
          <w:p w14:paraId="6AF9EA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457723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健康查体报告。</w:t>
            </w:r>
          </w:p>
          <w:p w14:paraId="5C4ABA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54154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抽查从事接触职业危害及禁忌作业的有关人员健康检查情况及是否有职业禁忌人员。</w:t>
            </w:r>
          </w:p>
        </w:tc>
        <w:tc>
          <w:tcPr>
            <w:tcW w:w="574" w:type="pct"/>
          </w:tcPr>
          <w:p w14:paraId="70496D5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0671C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1.未对从事接触职业病危害作业的人员进行上岗前、在岗期间及离岗时职业健康检查，1人次扣2分；</w:t>
            </w:r>
          </w:p>
          <w:p w14:paraId="00E706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2.安排有职业禁忌人员从事禁忌作业，1人次扣5分。</w:t>
            </w:r>
          </w:p>
        </w:tc>
        <w:tc>
          <w:tcPr>
            <w:tcW w:w="132" w:type="pct"/>
            <w:vAlign w:val="center"/>
          </w:tcPr>
          <w:p w14:paraId="76066A7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00F3CA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C186B9E">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1.对从事接触职业病危害作业的人员已进行上岗前、在岗期间及离岗时职业健康检查，见职业健 康检查报告；</w:t>
            </w:r>
            <w:r>
              <w:rPr>
                <w:rFonts w:hint="eastAsia" w:ascii="仿宋" w:hAnsi="仿宋" w:eastAsia="仿宋" w:cs="仿宋"/>
                <w:sz w:val="18"/>
                <w:lang w:val="en-US" w:eastAsia="zh-CN"/>
              </w:rPr>
              <w:t>未有</w:t>
            </w:r>
            <w:r>
              <w:rPr>
                <w:rFonts w:hint="eastAsia" w:ascii="仿宋" w:hAnsi="仿宋" w:eastAsia="仿宋" w:cs="仿宋"/>
                <w:sz w:val="18"/>
              </w:rPr>
              <w:t>检查出患有职业禁忌的人员</w:t>
            </w:r>
            <w:r>
              <w:rPr>
                <w:rFonts w:hint="eastAsia" w:ascii="仿宋" w:hAnsi="仿宋" w:eastAsia="仿宋" w:cs="仿宋"/>
                <w:sz w:val="18"/>
                <w:lang w:eastAsia="zh-CN"/>
              </w:rPr>
              <w:t>。</w:t>
            </w:r>
          </w:p>
          <w:p w14:paraId="06209E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2.未安排有职业禁忌人员从事禁忌作业。</w:t>
            </w:r>
          </w:p>
        </w:tc>
      </w:tr>
      <w:tr w14:paraId="71A9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56" w:type="pct"/>
            <w:vMerge w:val="continue"/>
          </w:tcPr>
          <w:p w14:paraId="29B21F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0FEA15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4ED582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5A0BB4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二级企业已建立完善的作业场所职业危害控制管理制度与检测制度并有效实施，作业场所职业危害得到有效控制。</w:t>
            </w:r>
          </w:p>
        </w:tc>
        <w:tc>
          <w:tcPr>
            <w:tcW w:w="642" w:type="pct"/>
          </w:tcPr>
          <w:p w14:paraId="2FDABC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FF183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作业场所职业危害控制管理制度与检测制度、台账。</w:t>
            </w:r>
          </w:p>
          <w:p w14:paraId="4DD5D9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5F847E5">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作业场所职业危害管理情况</w:t>
            </w:r>
            <w:r>
              <w:rPr>
                <w:rFonts w:hint="eastAsia" w:ascii="仿宋" w:hAnsi="仿宋" w:eastAsia="仿宋" w:cs="仿宋"/>
                <w:sz w:val="18"/>
                <w:lang w:eastAsia="zh-CN"/>
              </w:rPr>
              <w:t>。</w:t>
            </w:r>
          </w:p>
        </w:tc>
        <w:tc>
          <w:tcPr>
            <w:tcW w:w="574" w:type="pct"/>
          </w:tcPr>
          <w:p w14:paraId="333791E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6DB03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未建立完善的作业场所职业危害控制管理制度与检测制度，或未有效实施，或作业场所职业危害未得到有效控制，扣100分（A级要素否决项）。</w:t>
            </w:r>
          </w:p>
        </w:tc>
        <w:tc>
          <w:tcPr>
            <w:tcW w:w="132" w:type="pct"/>
            <w:vAlign w:val="center"/>
          </w:tcPr>
          <w:p w14:paraId="0974F27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9983B1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7E6906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建立有完善的作业场所 职业危害控制管理制度与检测制度，且有效实施，作业场所职业危害得到有效控制。</w:t>
            </w:r>
          </w:p>
        </w:tc>
      </w:tr>
      <w:tr w14:paraId="7C2A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3659A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2C5BB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8.3</w:t>
            </w:r>
          </w:p>
          <w:p w14:paraId="4EBD91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劳动防护用品</w:t>
            </w:r>
          </w:p>
          <w:p w14:paraId="510461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5CCDD3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26913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1.企业应根据接触危害的种类、强度，为从业人员提供符合国家标准或行业标准的个体防护用品和器具，并监督、教育从业人员正确佩戴、使用。</w:t>
            </w:r>
          </w:p>
        </w:tc>
        <w:tc>
          <w:tcPr>
            <w:tcW w:w="710" w:type="pct"/>
          </w:tcPr>
          <w:p w14:paraId="38C622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1.为从业人员提供符合国家标准或行业标准的个体防护用品和器具；</w:t>
            </w:r>
          </w:p>
          <w:p w14:paraId="006EDF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2.监督、教育从业人员正确佩戴、使用个体防护用品和器具。</w:t>
            </w:r>
          </w:p>
        </w:tc>
        <w:tc>
          <w:tcPr>
            <w:tcW w:w="642" w:type="pct"/>
            <w:vAlign w:val="top"/>
          </w:tcPr>
          <w:p w14:paraId="2FC9C8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33678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个体防护用品台账。</w:t>
            </w:r>
          </w:p>
          <w:p w14:paraId="1E87E4C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A8125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1.从业人员配备和使用的个体防护用品是否符合规定；</w:t>
            </w:r>
          </w:p>
          <w:p w14:paraId="11FEC8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2.从业人员是否能够正确佩戴、使用个体防护用品和器具。</w:t>
            </w:r>
          </w:p>
        </w:tc>
        <w:tc>
          <w:tcPr>
            <w:tcW w:w="574" w:type="pct"/>
          </w:tcPr>
          <w:p w14:paraId="729078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C9BB3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1.未按规定为从业人员配备个体防护用品和器具，一项不符合扣2分；</w:t>
            </w:r>
          </w:p>
          <w:p w14:paraId="3D8563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2.从业人员在生产现场未佩戴、使用个体防护用品，1人次扣2分；佩戴、使用个体防护用品或器具不符合规定要求，1人次扣1分。</w:t>
            </w:r>
          </w:p>
        </w:tc>
        <w:tc>
          <w:tcPr>
            <w:tcW w:w="132" w:type="pct"/>
            <w:vAlign w:val="center"/>
          </w:tcPr>
          <w:p w14:paraId="1D7C85C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A7DA65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CB9E0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1.按规定为从业人员配备了个体防护用品和器具。</w:t>
            </w:r>
          </w:p>
          <w:p w14:paraId="75373E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2.从业人员在生产现场正确佩戴、使用个体防护用品。</w:t>
            </w:r>
          </w:p>
        </w:tc>
      </w:tr>
      <w:tr w14:paraId="214A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9F2E54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521B23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DAA9C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2.企业各种防护器具都应定点存放在安全、方便的地方，并有专人负责保管，定期校验和维护，每次校验后应记录、铅封。</w:t>
            </w:r>
          </w:p>
        </w:tc>
        <w:tc>
          <w:tcPr>
            <w:tcW w:w="710" w:type="pct"/>
          </w:tcPr>
          <w:p w14:paraId="0A8789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1.各种防护器具都应设置专柜，并定点存放在安全、方便的地方；</w:t>
            </w:r>
          </w:p>
          <w:p w14:paraId="679E51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2.专人负责保管防护器具专柜；</w:t>
            </w:r>
          </w:p>
          <w:p w14:paraId="62F7DA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3.定期校验和维护防护器具；</w:t>
            </w:r>
          </w:p>
          <w:p w14:paraId="6A6EF08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4.防护器具校验后的记录、铅封。</w:t>
            </w:r>
          </w:p>
        </w:tc>
        <w:tc>
          <w:tcPr>
            <w:tcW w:w="642" w:type="pct"/>
            <w:vAlign w:val="top"/>
          </w:tcPr>
          <w:p w14:paraId="634429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5F6739E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1.防护器具配备是否正确、齐全；</w:t>
            </w:r>
          </w:p>
          <w:p w14:paraId="434797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2.防护器具专柜存放地点是否安全、方便；</w:t>
            </w:r>
          </w:p>
          <w:p w14:paraId="11144F9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3.防护器具定期校验、维护，并记录和铅封。</w:t>
            </w:r>
          </w:p>
        </w:tc>
        <w:tc>
          <w:tcPr>
            <w:tcW w:w="574" w:type="pct"/>
          </w:tcPr>
          <w:p w14:paraId="6161695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214F9B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1.未设置防护器具专柜或不符合要求，一处扣2分；</w:t>
            </w:r>
          </w:p>
          <w:p w14:paraId="1E117F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2.防护器具专柜存放地点不符合要求，一处扣2分；</w:t>
            </w:r>
          </w:p>
          <w:p w14:paraId="33F261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3.无专人管理防护器具专柜，一处扣1分；</w:t>
            </w:r>
          </w:p>
          <w:p w14:paraId="34EF85F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4.防护器具未定期校验和维护，一项扣1分；校验和维护记录、铅封不符合要求，一项扣1分。</w:t>
            </w:r>
          </w:p>
        </w:tc>
        <w:tc>
          <w:tcPr>
            <w:tcW w:w="132" w:type="pct"/>
            <w:vAlign w:val="center"/>
          </w:tcPr>
          <w:p w14:paraId="6028358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40D2E7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74E765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1.各种防护器具设置有专柜，并定点存放在安全、方便的地方。</w:t>
            </w:r>
          </w:p>
          <w:p w14:paraId="0D0AAAC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2.专人负责保管防护器具专柜。</w:t>
            </w:r>
          </w:p>
          <w:p w14:paraId="3CAAA29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3.定期校验和维护防护器具。</w:t>
            </w:r>
          </w:p>
        </w:tc>
      </w:tr>
      <w:tr w14:paraId="330C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7" w:hRule="atLeast"/>
          <w:jc w:val="center"/>
        </w:trPr>
        <w:tc>
          <w:tcPr>
            <w:tcW w:w="256" w:type="pct"/>
            <w:vMerge w:val="continue"/>
          </w:tcPr>
          <w:p w14:paraId="5603706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55AA72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3B1424C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3.企业应建立职业卫生防护设施及个体防护用品管理台账，加强对劳动防护用品使用情况的检查监督，凡不按规定使用劳动防护用品者不得上岗作业。</w:t>
            </w:r>
          </w:p>
        </w:tc>
        <w:tc>
          <w:tcPr>
            <w:tcW w:w="710" w:type="pct"/>
          </w:tcPr>
          <w:p w14:paraId="337952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1.建立职业卫生防护设施及个体防护用品管理台账；</w:t>
            </w:r>
          </w:p>
          <w:p w14:paraId="3CBE01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2.加强对劳动防护用品使用情况的检查监督，凡不按规定使用劳动防护用品者不得上岗作业。</w:t>
            </w:r>
          </w:p>
        </w:tc>
        <w:tc>
          <w:tcPr>
            <w:tcW w:w="642" w:type="pct"/>
            <w:vAlign w:val="top"/>
          </w:tcPr>
          <w:p w14:paraId="36C56E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CAFC8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1.职业卫生防护设施台账；</w:t>
            </w:r>
          </w:p>
          <w:p w14:paraId="64CBB0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2.个体防护用品台账。</w:t>
            </w:r>
          </w:p>
          <w:p w14:paraId="7A7F8E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F7C21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作业人员是否按规定使用个体防护用品。</w:t>
            </w:r>
          </w:p>
        </w:tc>
        <w:tc>
          <w:tcPr>
            <w:tcW w:w="574" w:type="pct"/>
          </w:tcPr>
          <w:p w14:paraId="5A982DA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243F3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1.未建立职业卫生防护设施管理台账，扣5分；</w:t>
            </w:r>
          </w:p>
          <w:p w14:paraId="613EC4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2.未建立个体防护用品管理台账，扣5分；</w:t>
            </w:r>
          </w:p>
          <w:p w14:paraId="58F709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3.台账内容不符合要求，一项扣1；</w:t>
            </w:r>
          </w:p>
          <w:p w14:paraId="2347CA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4.未按规定使用个体防护用品上岗作业，1人次扣2分。</w:t>
            </w:r>
          </w:p>
        </w:tc>
        <w:tc>
          <w:tcPr>
            <w:tcW w:w="132" w:type="pct"/>
            <w:vAlign w:val="center"/>
          </w:tcPr>
          <w:p w14:paraId="14266F1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2128B8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572019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1.建立有职业卫生防护设施台账。</w:t>
            </w:r>
          </w:p>
          <w:p w14:paraId="52A2B5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2.作业人员均按规定使用劳动防护用品。</w:t>
            </w:r>
          </w:p>
          <w:p w14:paraId="2E7EBC9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r>
              <w:rPr>
                <w:rFonts w:hint="eastAsia" w:ascii="仿宋" w:hAnsi="仿宋" w:eastAsia="仿宋" w:cs="仿宋"/>
                <w:sz w:val="18"/>
              </w:rPr>
              <w:t>台帐</w:t>
            </w:r>
            <w:r>
              <w:rPr>
                <w:rFonts w:hint="eastAsia" w:ascii="仿宋" w:hAnsi="仿宋" w:eastAsia="仿宋" w:cs="仿宋"/>
                <w:sz w:val="18"/>
                <w:lang w:val="en-US" w:eastAsia="zh-CN"/>
              </w:rPr>
              <w:t>不完善扣3分</w:t>
            </w:r>
            <w:r>
              <w:rPr>
                <w:rFonts w:hint="eastAsia" w:ascii="仿宋" w:hAnsi="仿宋" w:eastAsia="仿宋" w:cs="仿宋"/>
                <w:sz w:val="18"/>
                <w:lang w:eastAsia="zh-CN"/>
              </w:rPr>
              <w:t>；</w:t>
            </w:r>
            <w:r>
              <w:rPr>
                <w:rFonts w:hint="eastAsia" w:ascii="仿宋" w:hAnsi="仿宋" w:eastAsia="仿宋" w:cs="仿宋"/>
                <w:sz w:val="18"/>
                <w:lang w:val="en-US" w:eastAsia="zh-CN"/>
              </w:rPr>
              <w:t>台账内容不符合要求扣2分</w:t>
            </w:r>
          </w:p>
        </w:tc>
      </w:tr>
      <w:tr w14:paraId="57FB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56BA51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 危险化学品管理</w:t>
            </w:r>
          </w:p>
          <w:p w14:paraId="078247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099A81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973147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67CB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165CD5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3339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28B00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F9CEE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5CE3C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048230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9.1</w:t>
            </w:r>
          </w:p>
          <w:p w14:paraId="1D9CCE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危险化学品档案</w:t>
            </w:r>
          </w:p>
          <w:p w14:paraId="3F7DA6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tcPr>
          <w:p w14:paraId="71E576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企业应对所有危险化学品，包括产品、原料和中间产品进行普查，建立危险化学品档案。</w:t>
            </w:r>
          </w:p>
        </w:tc>
        <w:tc>
          <w:tcPr>
            <w:tcW w:w="710" w:type="pct"/>
          </w:tcPr>
          <w:p w14:paraId="0706F5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1.对所有危险化学品进行普查；</w:t>
            </w:r>
          </w:p>
          <w:p w14:paraId="1DBD11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2.建立危险化学品档案，内容包括：名称及存放、生产、使用地点；数量、危险性分类、危规号、包装类别、登记号、危险化学品安全技术说明书和安全标签（以下简称“一书一签”）等。</w:t>
            </w:r>
          </w:p>
        </w:tc>
        <w:tc>
          <w:tcPr>
            <w:tcW w:w="642" w:type="pct"/>
          </w:tcPr>
          <w:p w14:paraId="33E128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734AC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1.化学品普查表；</w:t>
            </w:r>
          </w:p>
          <w:p w14:paraId="696C4CB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2.危险化学品档案。</w:t>
            </w:r>
          </w:p>
          <w:p w14:paraId="622B05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08F308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危险化学品储存情况。</w:t>
            </w:r>
          </w:p>
        </w:tc>
        <w:tc>
          <w:tcPr>
            <w:tcW w:w="574" w:type="pct"/>
          </w:tcPr>
          <w:p w14:paraId="3C7FDB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未进行危险化学品普查，扣10分（B级要素否决项）。</w:t>
            </w:r>
          </w:p>
        </w:tc>
        <w:tc>
          <w:tcPr>
            <w:tcW w:w="716" w:type="pct"/>
          </w:tcPr>
          <w:p w14:paraId="599E7C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1.每漏查1种扣1分；</w:t>
            </w:r>
          </w:p>
          <w:p w14:paraId="4C5ACC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2.未建立危险化学品档案扣5分；档案内容，一项不符合扣1分。</w:t>
            </w:r>
          </w:p>
        </w:tc>
        <w:tc>
          <w:tcPr>
            <w:tcW w:w="132" w:type="pct"/>
            <w:vAlign w:val="center"/>
          </w:tcPr>
          <w:p w14:paraId="1FDD9E1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4D5EAF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1305C5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1.对所有危险化学品进行普查，见化学品普查表。</w:t>
            </w:r>
          </w:p>
          <w:p w14:paraId="321B68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2.建立有危险化学品档案，档案内容包括危险化学品危险性分类和包装类别。</w:t>
            </w:r>
          </w:p>
          <w:p w14:paraId="053BECB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r>
              <w:rPr>
                <w:rFonts w:hint="eastAsia" w:ascii="仿宋" w:hAnsi="仿宋" w:eastAsia="仿宋" w:cs="仿宋"/>
                <w:sz w:val="18"/>
              </w:rPr>
              <w:t>缺出入库台</w:t>
            </w:r>
            <w:r>
              <w:rPr>
                <w:rFonts w:hint="eastAsia" w:ascii="仿宋" w:hAnsi="仿宋" w:eastAsia="仿宋" w:cs="仿宋"/>
                <w:sz w:val="18"/>
                <w:lang w:eastAsia="zh-CN"/>
              </w:rPr>
              <w:t>，</w:t>
            </w:r>
            <w:r>
              <w:rPr>
                <w:rFonts w:hint="eastAsia" w:ascii="仿宋" w:hAnsi="仿宋" w:eastAsia="仿宋" w:cs="仿宋"/>
                <w:sz w:val="18"/>
                <w:lang w:val="en-US" w:eastAsia="zh-CN"/>
              </w:rPr>
              <w:t>档案内容不全，扣2分。</w:t>
            </w:r>
          </w:p>
        </w:tc>
      </w:tr>
      <w:tr w14:paraId="5D3D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FC1E49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35467B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9.2</w:t>
            </w:r>
          </w:p>
          <w:p w14:paraId="2BC260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化学品分类</w:t>
            </w:r>
          </w:p>
          <w:p w14:paraId="2562A2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vAlign w:val="top"/>
          </w:tcPr>
          <w:p w14:paraId="6F97AD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企业应按照国家有关规定对其产品、所有中间产品进行分类，并将分类结果汇入危险化学品档案。</w:t>
            </w:r>
          </w:p>
        </w:tc>
        <w:tc>
          <w:tcPr>
            <w:tcW w:w="710" w:type="pct"/>
          </w:tcPr>
          <w:p w14:paraId="52DC26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1.对产品、所有中间产品进行危险性鉴别与分类，并将分类结果汇入危险化学品档案；</w:t>
            </w:r>
          </w:p>
          <w:p w14:paraId="5DCFD1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2.化验室使用化学试剂应分类并建立清单。</w:t>
            </w:r>
          </w:p>
        </w:tc>
        <w:tc>
          <w:tcPr>
            <w:tcW w:w="642" w:type="pct"/>
            <w:vAlign w:val="top"/>
          </w:tcPr>
          <w:p w14:paraId="40BEAF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7A576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1.化学品普查表；</w:t>
            </w:r>
          </w:p>
          <w:p w14:paraId="1D56DD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2.化学品鉴别分类报告；</w:t>
            </w:r>
          </w:p>
          <w:p w14:paraId="70AC05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3.化验室化学试剂分类清单。</w:t>
            </w:r>
          </w:p>
        </w:tc>
        <w:tc>
          <w:tcPr>
            <w:tcW w:w="574" w:type="pct"/>
          </w:tcPr>
          <w:p w14:paraId="669D44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3B448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1.未按照国家规定进行分类，扣5分；每漏1种扣2分；</w:t>
            </w:r>
          </w:p>
          <w:p w14:paraId="35758C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2．化验室无化学试剂分类清单，扣2分。</w:t>
            </w:r>
          </w:p>
        </w:tc>
        <w:tc>
          <w:tcPr>
            <w:tcW w:w="132" w:type="pct"/>
            <w:vAlign w:val="center"/>
          </w:tcPr>
          <w:p w14:paraId="5585841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106901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E0339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1.对产品、所有中间产品进行危险性鉴别与分类，并将分类结果汇入危险化学品档案。</w:t>
            </w:r>
          </w:p>
          <w:p w14:paraId="05B82D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2.针对化学试剂建立了化学品鉴别分类报告。</w:t>
            </w:r>
          </w:p>
        </w:tc>
      </w:tr>
      <w:tr w14:paraId="52E6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F0DD3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705D43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9.3</w:t>
            </w:r>
          </w:p>
          <w:p w14:paraId="366919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化学品安全技术说明书和安全标签</w:t>
            </w:r>
          </w:p>
          <w:p w14:paraId="26BF48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p w14:paraId="4D32006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4C6C1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5616B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E137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C28BEC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1.生产企业的产品属危险化学品时，应按GB 16483和GB 15258编制产品安全技术说明书和安全标签，并提供给用户。</w:t>
            </w:r>
          </w:p>
        </w:tc>
        <w:tc>
          <w:tcPr>
            <w:tcW w:w="710" w:type="pct"/>
          </w:tcPr>
          <w:p w14:paraId="7FE453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1.生产企业要给本企业生产的危险化学品编制符合国家标准要求的“一书一签”； </w:t>
            </w:r>
          </w:p>
          <w:p w14:paraId="02AFAF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2.生产企业生产的危险化学品发现新的危险特性时，要及时更新“一书一签”，并公告；</w:t>
            </w:r>
          </w:p>
          <w:p w14:paraId="234D6F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3.主动向本企业生产的危险化学品购买者或用户提供“一书一签”。</w:t>
            </w:r>
          </w:p>
        </w:tc>
        <w:tc>
          <w:tcPr>
            <w:tcW w:w="642" w:type="pct"/>
            <w:vAlign w:val="top"/>
          </w:tcPr>
          <w:p w14:paraId="1D212D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BA08A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“一书一签”。</w:t>
            </w:r>
          </w:p>
          <w:p w14:paraId="19F63F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E6D87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化学品包装上是否有中文化学品安全标签。</w:t>
            </w:r>
          </w:p>
        </w:tc>
        <w:tc>
          <w:tcPr>
            <w:tcW w:w="574" w:type="pct"/>
          </w:tcPr>
          <w:p w14:paraId="5269A6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生产的危险化学品未编制“一书一签”，扣10分（B级要素否决项）。 </w:t>
            </w:r>
          </w:p>
        </w:tc>
        <w:tc>
          <w:tcPr>
            <w:tcW w:w="716" w:type="pct"/>
          </w:tcPr>
          <w:p w14:paraId="445487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1.缺少一种产品“一书一签”，扣2分；</w:t>
            </w:r>
          </w:p>
          <w:p w14:paraId="19E05A9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2.编写的“一书一签”不符合标准要求，一项扣1分；未按规定及时更新扣2分；</w:t>
            </w:r>
          </w:p>
          <w:p w14:paraId="40679C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3.未向购买者或用户提供“一书一签”，扣2分。</w:t>
            </w:r>
          </w:p>
        </w:tc>
        <w:tc>
          <w:tcPr>
            <w:tcW w:w="132" w:type="pct"/>
            <w:vAlign w:val="center"/>
          </w:tcPr>
          <w:p w14:paraId="150D1EF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0FA13E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-4</w:t>
            </w:r>
          </w:p>
        </w:tc>
        <w:tc>
          <w:tcPr>
            <w:tcW w:w="851" w:type="pct"/>
          </w:tcPr>
          <w:p w14:paraId="194E852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采购的盐酸、液氨、双氧水等向销售单位索取了“一书一签 ”。</w:t>
            </w:r>
          </w:p>
        </w:tc>
      </w:tr>
      <w:tr w14:paraId="7479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5580B3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579FF7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6A2F16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2.采购危险化学品时，应索取安全技术说明书和安全标签，不得采购无安全技术说明书和安全标签的危险化学品。</w:t>
            </w:r>
          </w:p>
        </w:tc>
        <w:tc>
          <w:tcPr>
            <w:tcW w:w="710" w:type="pct"/>
          </w:tcPr>
          <w:p w14:paraId="75722D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采购危险化学品时，应主动向销售单位索取“一书一签”。</w:t>
            </w:r>
          </w:p>
        </w:tc>
        <w:tc>
          <w:tcPr>
            <w:tcW w:w="642" w:type="pct"/>
          </w:tcPr>
          <w:p w14:paraId="618943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64C39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1.采购的危险化学品名录；</w:t>
            </w:r>
          </w:p>
          <w:p w14:paraId="699D8C0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2.采购的危险化学品中文“一书一签”。</w:t>
            </w:r>
          </w:p>
        </w:tc>
        <w:tc>
          <w:tcPr>
            <w:tcW w:w="574" w:type="pct"/>
          </w:tcPr>
          <w:p w14:paraId="51E66C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BD6CC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采购的危险化学品无“一书一签”，1种物质扣2分。</w:t>
            </w:r>
          </w:p>
        </w:tc>
        <w:tc>
          <w:tcPr>
            <w:tcW w:w="132" w:type="pct"/>
            <w:vAlign w:val="center"/>
          </w:tcPr>
          <w:p w14:paraId="74F0D0E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9ED386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7FAF1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6C6A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C67CE1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0C95D1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9.4</w:t>
            </w:r>
          </w:p>
          <w:p w14:paraId="77CF01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化学事故应急咨询服务电话</w:t>
            </w:r>
          </w:p>
          <w:p w14:paraId="771E917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tc>
        <w:tc>
          <w:tcPr>
            <w:tcW w:w="719" w:type="pct"/>
          </w:tcPr>
          <w:p w14:paraId="799D0F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生产企业应设立24小时应急咨询服务固定电话，有专业人员值班并负责相关应急咨询。没有条件设立应急咨询服务电话的，应委托危险化学品专业应急机构作为应急咨询服务代理。</w:t>
            </w:r>
          </w:p>
        </w:tc>
        <w:tc>
          <w:tcPr>
            <w:tcW w:w="710" w:type="pct"/>
          </w:tcPr>
          <w:p w14:paraId="70FCC2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生产企业设立应急咨询服务固定电话或委托危险化学品专业应急机构，为用户提供24小时应急咨询服务。</w:t>
            </w:r>
          </w:p>
        </w:tc>
        <w:tc>
          <w:tcPr>
            <w:tcW w:w="642" w:type="pct"/>
          </w:tcPr>
          <w:p w14:paraId="51865C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6C909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“一书一签”上是否有应急咨询服务电话。</w:t>
            </w:r>
          </w:p>
          <w:p w14:paraId="12E4F8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E3CF1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应急咨询服务电话设立情况及应急咨询服务情况。 </w:t>
            </w:r>
          </w:p>
          <w:p w14:paraId="4A789F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87350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现场测试应急咨询服务电话及咨询服务情况。</w:t>
            </w:r>
          </w:p>
        </w:tc>
        <w:tc>
          <w:tcPr>
            <w:tcW w:w="574" w:type="pct"/>
          </w:tcPr>
          <w:p w14:paraId="43AF46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未设立应急电话，也未委托应急机构代理，扣10分（B级要素否决项）。</w:t>
            </w:r>
          </w:p>
        </w:tc>
        <w:tc>
          <w:tcPr>
            <w:tcW w:w="716" w:type="pct"/>
          </w:tcPr>
          <w:p w14:paraId="285AB9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1.设立的应急电话不能满足要求，一项扣1分；</w:t>
            </w:r>
          </w:p>
          <w:p w14:paraId="1992983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2.安全标签上的应急咨询电话与设立的化学事故应急咨询电话不一致的，扣1分；</w:t>
            </w:r>
          </w:p>
          <w:p w14:paraId="5427AE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3.已委托应急代理，但职责不清或代理机构未尽职责的，一项不符合扣2分。</w:t>
            </w:r>
          </w:p>
        </w:tc>
        <w:tc>
          <w:tcPr>
            <w:tcW w:w="132" w:type="pct"/>
            <w:vAlign w:val="center"/>
          </w:tcPr>
          <w:p w14:paraId="6EF643F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2F4F0A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B4CD2B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已委托危险化学品专业应急机构，未用户提供24小时应急咨询服务。</w:t>
            </w:r>
          </w:p>
        </w:tc>
      </w:tr>
      <w:tr w14:paraId="7D1F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9382E3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3CD221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9.5</w:t>
            </w:r>
          </w:p>
          <w:p w14:paraId="0C30EC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危险化学品登记</w:t>
            </w:r>
          </w:p>
          <w:p w14:paraId="308D3B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tc>
        <w:tc>
          <w:tcPr>
            <w:tcW w:w="719" w:type="pct"/>
          </w:tcPr>
          <w:p w14:paraId="313CA96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企业应按照有关规定对危险化学品进行登记。</w:t>
            </w:r>
          </w:p>
        </w:tc>
        <w:tc>
          <w:tcPr>
            <w:tcW w:w="710" w:type="pct"/>
          </w:tcPr>
          <w:p w14:paraId="13E2D6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按照有关规定对危险化学品进行登记。</w:t>
            </w:r>
          </w:p>
        </w:tc>
        <w:tc>
          <w:tcPr>
            <w:tcW w:w="642" w:type="pct"/>
          </w:tcPr>
          <w:p w14:paraId="25CDDB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B1C3A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危险化学品登记证及资料。</w:t>
            </w:r>
          </w:p>
        </w:tc>
        <w:tc>
          <w:tcPr>
            <w:tcW w:w="574" w:type="pct"/>
          </w:tcPr>
          <w:p w14:paraId="1C74F69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没有进行危险化学品登记或登记证载明的日期超过有效期扣20分（B级要素否决项）。</w:t>
            </w:r>
          </w:p>
        </w:tc>
        <w:tc>
          <w:tcPr>
            <w:tcW w:w="716" w:type="pct"/>
          </w:tcPr>
          <w:p w14:paraId="2AFB4E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未按照规定范围登记，每漏1种扣2分；发现新的危险特性未及时变更登记内容扣1分。</w:t>
            </w:r>
          </w:p>
        </w:tc>
        <w:tc>
          <w:tcPr>
            <w:tcW w:w="132" w:type="pct"/>
            <w:vAlign w:val="center"/>
          </w:tcPr>
          <w:p w14:paraId="1B48EAA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D84BD2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F3F2A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进行了危险化学品登记，登记证有效期202</w:t>
            </w:r>
            <w:r>
              <w:rPr>
                <w:rFonts w:hint="eastAsia" w:ascii="仿宋" w:hAnsi="仿宋" w:eastAsia="仿宋" w:cs="仿宋"/>
                <w:sz w:val="18"/>
                <w:lang w:val="en-US" w:eastAsia="zh-CN"/>
              </w:rPr>
              <w:t>3</w:t>
            </w:r>
            <w:r>
              <w:rPr>
                <w:rFonts w:hint="eastAsia" w:ascii="仿宋" w:hAnsi="仿宋" w:eastAsia="仿宋" w:cs="仿宋"/>
                <w:sz w:val="18"/>
              </w:rPr>
              <w:t>年4 月</w:t>
            </w:r>
            <w:r>
              <w:rPr>
                <w:rFonts w:hint="eastAsia" w:ascii="仿宋" w:hAnsi="仿宋" w:eastAsia="仿宋" w:cs="仿宋"/>
                <w:sz w:val="18"/>
                <w:lang w:val="en-US" w:eastAsia="zh-CN"/>
              </w:rPr>
              <w:t>24</w:t>
            </w:r>
            <w:r>
              <w:rPr>
                <w:rFonts w:hint="eastAsia" w:ascii="仿宋" w:hAnsi="仿宋" w:eastAsia="仿宋" w:cs="仿宋"/>
                <w:sz w:val="18"/>
              </w:rPr>
              <w:t xml:space="preserve"> 日～202</w:t>
            </w:r>
            <w:r>
              <w:rPr>
                <w:rFonts w:hint="eastAsia" w:ascii="仿宋" w:hAnsi="仿宋" w:eastAsia="仿宋" w:cs="仿宋"/>
                <w:sz w:val="18"/>
                <w:lang w:val="en-US" w:eastAsia="zh-CN"/>
              </w:rPr>
              <w:t>3</w:t>
            </w:r>
            <w:r>
              <w:rPr>
                <w:rFonts w:hint="eastAsia" w:ascii="仿宋" w:hAnsi="仿宋" w:eastAsia="仿宋" w:cs="仿宋"/>
                <w:sz w:val="18"/>
              </w:rPr>
              <w:t xml:space="preserve"> 年4月</w:t>
            </w:r>
            <w:r>
              <w:rPr>
                <w:rFonts w:hint="eastAsia" w:ascii="仿宋" w:hAnsi="仿宋" w:eastAsia="仿宋" w:cs="仿宋"/>
                <w:sz w:val="18"/>
                <w:lang w:val="en-US" w:eastAsia="zh-CN"/>
              </w:rPr>
              <w:t>23</w:t>
            </w:r>
            <w:r>
              <w:rPr>
                <w:rFonts w:hint="eastAsia" w:ascii="仿宋" w:hAnsi="仿宋" w:eastAsia="仿宋" w:cs="仿宋"/>
                <w:sz w:val="18"/>
              </w:rPr>
              <w:t xml:space="preserve">日，证书编号 </w:t>
            </w:r>
            <w:r>
              <w:rPr>
                <w:rFonts w:hint="eastAsia" w:ascii="仿宋" w:hAnsi="仿宋" w:eastAsia="仿宋" w:cs="仿宋"/>
                <w:sz w:val="18"/>
                <w:lang w:val="en-US" w:eastAsia="zh-CN"/>
              </w:rPr>
              <w:t>42902300028</w:t>
            </w:r>
            <w:r>
              <w:rPr>
                <w:rFonts w:hint="eastAsia" w:ascii="仿宋" w:hAnsi="仿宋" w:eastAsia="仿宋" w:cs="仿宋"/>
                <w:sz w:val="18"/>
              </w:rPr>
              <w:t>。</w:t>
            </w:r>
          </w:p>
        </w:tc>
      </w:tr>
      <w:tr w14:paraId="72E6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Borders>
              <w:top w:val="nil"/>
            </w:tcBorders>
          </w:tcPr>
          <w:p w14:paraId="44C9F0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798ECD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BD9E04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13908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640433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60C520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7AAD2B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10934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9FB2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2752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B8F4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A486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0BBE87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BF1F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C7FF6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F19CA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B5A0E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897E42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E954A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8BC61C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99A5F5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763BB9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32697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80309C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70991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4F77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53186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416E68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320C56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499BA5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658C97E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9.6</w:t>
            </w:r>
          </w:p>
          <w:p w14:paraId="0F7E58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危害告知</w:t>
            </w:r>
          </w:p>
          <w:p w14:paraId="11C947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tc>
        <w:tc>
          <w:tcPr>
            <w:tcW w:w="719" w:type="pct"/>
            <w:vAlign w:val="top"/>
          </w:tcPr>
          <w:p w14:paraId="4B9654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企业应以适当、有效的方式对从业人员及相关方进行宣传，使其了解生产过程中危险化学品的危险特性、活性危害、禁配物等，以及采取的预防及应急处理措施。</w:t>
            </w:r>
          </w:p>
        </w:tc>
        <w:tc>
          <w:tcPr>
            <w:tcW w:w="710" w:type="pct"/>
          </w:tcPr>
          <w:p w14:paraId="3985083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对从业人员及相关方进行宣传、培训，使其了解本企业、本岗位涉及危险化学品的危险特性、活性危害、禁配物等，以及采取的预防及应急处理措施。</w:t>
            </w:r>
          </w:p>
        </w:tc>
        <w:tc>
          <w:tcPr>
            <w:tcW w:w="642" w:type="pct"/>
          </w:tcPr>
          <w:p w14:paraId="37DEF2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8CC24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劳动合同及宣传、培训教育记录。</w:t>
            </w:r>
          </w:p>
          <w:p w14:paraId="5FA62F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744C2C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公告栏、告知牌等。</w:t>
            </w:r>
          </w:p>
        </w:tc>
        <w:tc>
          <w:tcPr>
            <w:tcW w:w="574" w:type="pct"/>
          </w:tcPr>
          <w:p w14:paraId="7EE196B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3D2D8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劳动合同、宣传、培训、公告栏、现场告知牌等，一项不符合扣1分。</w:t>
            </w:r>
          </w:p>
        </w:tc>
        <w:tc>
          <w:tcPr>
            <w:tcW w:w="132" w:type="pct"/>
            <w:vAlign w:val="center"/>
          </w:tcPr>
          <w:p w14:paraId="68A2470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E6CD5D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2E2D2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1.对危险化学品的危险特性、活性危害、禁配物等，以及采取的预防及应 急处理措施等已培训、公告、告知等方式进行了宣传，见安全培训记录、现场公告栏、告知牌。</w:t>
            </w:r>
          </w:p>
          <w:p w14:paraId="4DA37B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2.劳动合同中有针对危害的告知内容。</w:t>
            </w:r>
          </w:p>
        </w:tc>
      </w:tr>
      <w:tr w14:paraId="4998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1373F6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0D4E3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9.7储存和运输</w:t>
            </w:r>
          </w:p>
          <w:p w14:paraId="15E203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2D0BDA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2154C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37B9EF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CAA29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78C32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1209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B1042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25BC0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CEA21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CE32C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3AC256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176C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E2DB6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4CBFC7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B2F90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0E88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5AE2F6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5B9DB0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E6878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7C5C84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7BCD6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78CBB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C6101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526335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FDFEBE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C4F6D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FA166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危险化学品储存、出入库安全管理制度。危险化学品应储存在专用仓库、专用场地或者专用储存室（以下统称专用仓库）内，并按照相关技术标准规定的储存方法、储存数量和安全距离，实行隔离、隔开、分离储存，禁止将危险化学品与禁忌物品混合储存；危险化学品专用仓库应当符合相关技术标准对安全、消防的要求，设置明显标志，并由专人管理；危险化学品出入库应当进行核查登记，并定期检查。</w:t>
            </w:r>
          </w:p>
        </w:tc>
        <w:tc>
          <w:tcPr>
            <w:tcW w:w="710" w:type="pct"/>
          </w:tcPr>
          <w:p w14:paraId="0234F5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1.危险化学品应储存在专用仓库内，并按照相关技术标准规定的储存方法、储存数量和安全距离，实行隔离、隔开、分离储存，禁止将危险化学品与禁忌物品混合储存；</w:t>
            </w:r>
          </w:p>
          <w:p w14:paraId="44F78C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2.危险化学品专用仓库符合安全、消防要求，设置明显安全标志、通讯和报警装置，并由专人管理；</w:t>
            </w:r>
          </w:p>
          <w:p w14:paraId="2DCB3A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3.危险化学品出入库应当进行核查登记，并定期检查；</w:t>
            </w:r>
          </w:p>
          <w:p w14:paraId="78BD2E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4.选用合适的液位测量仪表，实现储罐物料液位动态监控；</w:t>
            </w:r>
          </w:p>
          <w:p w14:paraId="29DF76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5.危险化学品输送管道应定期巡线。</w:t>
            </w:r>
          </w:p>
        </w:tc>
        <w:tc>
          <w:tcPr>
            <w:tcW w:w="642" w:type="pct"/>
            <w:vAlign w:val="top"/>
          </w:tcPr>
          <w:p w14:paraId="7500C69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06F0A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1.危险化学品安全管理制度；</w:t>
            </w:r>
          </w:p>
          <w:p w14:paraId="727046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2.危险化学品出入库记录；</w:t>
            </w:r>
          </w:p>
          <w:p w14:paraId="25CBC7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3.检查记录；</w:t>
            </w:r>
          </w:p>
          <w:p w14:paraId="6AA734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4．巡线记录。</w:t>
            </w:r>
          </w:p>
          <w:p w14:paraId="6BFD00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429322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1.危险化学品专用仓库安全设施和安全管理情况；</w:t>
            </w:r>
          </w:p>
          <w:p w14:paraId="23594F4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2.液位动态监控系统；</w:t>
            </w:r>
          </w:p>
          <w:p w14:paraId="338B016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3.危险化学品输送管道安全设施。</w:t>
            </w:r>
          </w:p>
        </w:tc>
        <w:tc>
          <w:tcPr>
            <w:tcW w:w="574" w:type="pct"/>
          </w:tcPr>
          <w:p w14:paraId="773B8C8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C265E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1.危险化学品储存不符合规定要求，一处扣2分；</w:t>
            </w:r>
          </w:p>
          <w:p w14:paraId="707F5A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2.未建立危险化学品出入库记录，扣2分；</w:t>
            </w:r>
          </w:p>
          <w:p w14:paraId="78F32B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3.无动态液位监控系统扣2分；</w:t>
            </w:r>
          </w:p>
          <w:p w14:paraId="72FD6D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4.未建立危险化学品输送管道巡线记录，扣2分；</w:t>
            </w:r>
          </w:p>
          <w:p w14:paraId="73E81F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5.危险化学品专用仓库安全、消防设施配置不符合要求，一处扣2分；</w:t>
            </w:r>
          </w:p>
          <w:p w14:paraId="3291DC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6.未定期进行安全检查，扣2分；</w:t>
            </w:r>
          </w:p>
          <w:p w14:paraId="46E245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7.未设置通讯和报警装置，或不符合要求，一处扣2分。</w:t>
            </w:r>
          </w:p>
        </w:tc>
        <w:tc>
          <w:tcPr>
            <w:tcW w:w="132" w:type="pct"/>
            <w:vAlign w:val="center"/>
          </w:tcPr>
          <w:p w14:paraId="1EC6E2D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7E717A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FCA72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1.危险化学品储存在专用仓库及罐区内，并按照相关技术标准规定的储存方法、储存数量和安全 距离，实行隔离、隔开、分离储存，禁止将危险化学品与禁忌物品混合储 存。</w:t>
            </w:r>
          </w:p>
          <w:p w14:paraId="113DFF8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2.危险化学品储存符合 要求，储存场所安全、消防设施配置、通讯和报警装置设置符合要求。</w:t>
            </w:r>
          </w:p>
          <w:p w14:paraId="608630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3.建立了出入库记录、动态液位监控系统、危险化学品输送管道巡线记录，定期进行安全检查。</w:t>
            </w:r>
          </w:p>
        </w:tc>
      </w:tr>
      <w:tr w14:paraId="0C4C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83C00D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DC6389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87584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2.企业的剧毒化学品必须在专用仓库单独存放，实行双人收发、双人保管制度。企业应将储存剧毒化学品的数量、地点以及管理人员的情况，报当地公安部门和安全生产监督管理部门备案。</w:t>
            </w:r>
          </w:p>
        </w:tc>
        <w:tc>
          <w:tcPr>
            <w:tcW w:w="710" w:type="pct"/>
          </w:tcPr>
          <w:p w14:paraId="578F4C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1.剧毒化学品及储存数量构成重大危险源的其他危险化学品必须在专用仓库单独存放，实行双人收发、双人保管制度；</w:t>
            </w:r>
          </w:p>
          <w:p w14:paraId="768960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2.将储存剧毒化学品的数量、地点以及管理人员的情况，报当地公安部门和安全生产监督管理部门备案。</w:t>
            </w:r>
          </w:p>
        </w:tc>
        <w:tc>
          <w:tcPr>
            <w:tcW w:w="642" w:type="pct"/>
            <w:vAlign w:val="top"/>
          </w:tcPr>
          <w:p w14:paraId="3F1E4E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B86EF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1.剧毒化学品安全管理制度；</w:t>
            </w:r>
          </w:p>
          <w:p w14:paraId="21C994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2.剧毒化学品收发台账；</w:t>
            </w:r>
          </w:p>
          <w:p w14:paraId="098852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3.剧毒化学品备案资料。</w:t>
            </w:r>
          </w:p>
          <w:p w14:paraId="323AF8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D33B9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有关人员对剧毒化学品管理的要求。</w:t>
            </w:r>
          </w:p>
          <w:p w14:paraId="696D78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0AAB86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剧毒化学品仓库安全管理情况。</w:t>
            </w:r>
          </w:p>
        </w:tc>
        <w:tc>
          <w:tcPr>
            <w:tcW w:w="574" w:type="pct"/>
          </w:tcPr>
          <w:p w14:paraId="01C29A8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剧毒化学品未实行双人收发、双人保管，扣25分（B级要素否决项）。</w:t>
            </w:r>
          </w:p>
        </w:tc>
        <w:tc>
          <w:tcPr>
            <w:tcW w:w="716" w:type="pct"/>
          </w:tcPr>
          <w:p w14:paraId="21D7A8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1.剧毒化学品存放不符合要求，一处扣2分； </w:t>
            </w:r>
          </w:p>
          <w:p w14:paraId="72FE15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2.未按要求备案，扣2分；</w:t>
            </w:r>
          </w:p>
          <w:p w14:paraId="064B0A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3.有关人员不清楚剧毒化学品管理的要求，1人次扣1分；</w:t>
            </w:r>
          </w:p>
          <w:p w14:paraId="341EDE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4.剧毒化学品仓库安全管理，一项不符合扣2分。</w:t>
            </w:r>
          </w:p>
        </w:tc>
        <w:tc>
          <w:tcPr>
            <w:tcW w:w="132" w:type="pct"/>
            <w:vAlign w:val="center"/>
          </w:tcPr>
          <w:p w14:paraId="02FE43F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6</w:t>
            </w:r>
          </w:p>
        </w:tc>
        <w:tc>
          <w:tcPr>
            <w:tcW w:w="152" w:type="pct"/>
            <w:vAlign w:val="center"/>
          </w:tcPr>
          <w:p w14:paraId="42E6994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E65581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不涉及剧毒化学品</w:t>
            </w:r>
          </w:p>
        </w:tc>
      </w:tr>
      <w:tr w14:paraId="4D50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C24DD2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EF7364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Merge w:val="restart"/>
            <w:vAlign w:val="top"/>
          </w:tcPr>
          <w:p w14:paraId="5E20CE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3.企业应严格执行危险化学品运输、装卸安全管理制度，规范运输、装卸人员行为。</w:t>
            </w:r>
          </w:p>
          <w:p w14:paraId="5AF361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vMerge w:val="restart"/>
          </w:tcPr>
          <w:p w14:paraId="122566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1.严格执行危险化学品运输、装卸安全管理制度，进行安全检查，对运输、装卸人员行为进行规范管理；</w:t>
            </w:r>
          </w:p>
          <w:p w14:paraId="38FB5E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2.危险化学品运输专用车辆安装具有行驶记录功能的卫星定位装置；</w:t>
            </w:r>
          </w:p>
          <w:p w14:paraId="13C341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3.企业要对危险化学品运输车辆GPS的安装、使用情况进行检查并记录；</w:t>
            </w:r>
          </w:p>
          <w:p w14:paraId="02F8AE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4.采用金属万向管道充装系统充装液氯、液氨、液化石油气、液化天然气等液化危险化学品；</w:t>
            </w:r>
          </w:p>
          <w:p w14:paraId="6EF7FB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5.生产储存危险化学品企业转产、停产、停业或解散时，应当采取有效措施，及时妥善处置危险化学品装置、储存设施以及库存的危险化学品，不得丢弃；处置方案报县级政府有关部门备案。</w:t>
            </w:r>
          </w:p>
        </w:tc>
        <w:tc>
          <w:tcPr>
            <w:tcW w:w="642" w:type="pct"/>
            <w:vAlign w:val="top"/>
          </w:tcPr>
          <w:p w14:paraId="4E9D99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3ABD00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1.危险化学品运输、装卸安全管理制度；</w:t>
            </w:r>
          </w:p>
          <w:p w14:paraId="3091F2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2.装车前后安全检查记录。</w:t>
            </w:r>
          </w:p>
          <w:p w14:paraId="082BC6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52B69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有关人员对危险化学品运输、装卸的安全管理要求。</w:t>
            </w:r>
          </w:p>
          <w:p w14:paraId="45F7E12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29EBA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1.危险化学品运输专用车辆是否配备卫星定位装置；</w:t>
            </w:r>
          </w:p>
          <w:p w14:paraId="21C13A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2.充装设施。</w:t>
            </w:r>
          </w:p>
        </w:tc>
        <w:tc>
          <w:tcPr>
            <w:tcW w:w="574" w:type="pct"/>
          </w:tcPr>
          <w:p w14:paraId="042F14C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65F08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1.装车前后未进行安全检查，无记录，扣2分；检查内容不符合要求，一项扣1分；</w:t>
            </w:r>
          </w:p>
          <w:p w14:paraId="461C20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2.有关人员不清楚危险化学品运输、装卸安全管理要求，1人扣1分。</w:t>
            </w:r>
          </w:p>
          <w:p w14:paraId="45B770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3.使用无卫星定位装置危险化学品运输车辆，扣2分。</w:t>
            </w:r>
          </w:p>
          <w:p w14:paraId="1D158B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4.充装设施不符合要求，一项不符合扣1分。</w:t>
            </w:r>
          </w:p>
        </w:tc>
        <w:tc>
          <w:tcPr>
            <w:tcW w:w="132" w:type="pct"/>
            <w:vAlign w:val="center"/>
          </w:tcPr>
          <w:p w14:paraId="2BAABB7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A8E6AA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2C72A2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w:t>
            </w:r>
            <w:r>
              <w:rPr>
                <w:rFonts w:hint="eastAsia" w:ascii="仿宋" w:hAnsi="仿宋" w:eastAsia="仿宋" w:cs="仿宋"/>
                <w:sz w:val="18"/>
              </w:rPr>
              <w:t xml:space="preserve">不涉及危险化学品运输，由有资质的第三方公司承运，装卸由本单位负责，严格执行制度要求。 </w:t>
            </w:r>
          </w:p>
          <w:p w14:paraId="487CD3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对运输车辆、人员资质 ，运输车辆 GPS 的安装、使用情况进行检查。</w:t>
            </w:r>
          </w:p>
          <w:p w14:paraId="2D20AC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3.经检查，1 人不清楚危险化学品运输、装卸安全管理要求，扣 1 分。</w:t>
            </w:r>
          </w:p>
        </w:tc>
      </w:tr>
      <w:tr w14:paraId="546B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256" w:type="pct"/>
            <w:vMerge w:val="continue"/>
          </w:tcPr>
          <w:p w14:paraId="31B5C6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BBD289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Merge w:val="continue"/>
            <w:vAlign w:val="top"/>
          </w:tcPr>
          <w:p w14:paraId="3DBFDFD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vMerge w:val="continue"/>
          </w:tcPr>
          <w:p w14:paraId="030AC1C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vAlign w:val="top"/>
          </w:tcPr>
          <w:p w14:paraId="475CF4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487F5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危险化学品装置、储存设施以及库存的危险化学品处置文件；备案文件；</w:t>
            </w:r>
          </w:p>
          <w:p w14:paraId="099ED74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3D68C9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废弃设施。</w:t>
            </w:r>
          </w:p>
        </w:tc>
        <w:tc>
          <w:tcPr>
            <w:tcW w:w="574" w:type="pct"/>
          </w:tcPr>
          <w:p w14:paraId="307A927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360D5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1.危险化学品装置、储存设施以及库存的危险化学品未按规定处置扣3分；</w:t>
            </w:r>
          </w:p>
          <w:p w14:paraId="124FF9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2.未备案扣1分。</w:t>
            </w:r>
          </w:p>
        </w:tc>
        <w:tc>
          <w:tcPr>
            <w:tcW w:w="132" w:type="pct"/>
            <w:vAlign w:val="center"/>
          </w:tcPr>
          <w:p w14:paraId="4248ECC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6</w:t>
            </w:r>
          </w:p>
        </w:tc>
        <w:tc>
          <w:tcPr>
            <w:tcW w:w="152" w:type="pct"/>
            <w:vAlign w:val="center"/>
          </w:tcPr>
          <w:p w14:paraId="7C5C54E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17F7E2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暂不涉及转产、停产、停业或解散情况，空项。</w:t>
            </w:r>
          </w:p>
        </w:tc>
      </w:tr>
      <w:tr w14:paraId="662A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15FF12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10事故与应急</w:t>
            </w:r>
          </w:p>
          <w:p w14:paraId="2FEC0C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5AC66D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D36DCD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468F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9E8AE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B2008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3ED78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4B770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24197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388D49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527A8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BC54E0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5A4B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CF893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8F8B2E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1C3CC9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680848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752445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D4620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28BD3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C1B6F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43B59A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3948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8FAC4F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B2B77E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D8FAD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D99DC7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38469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C59A6C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9F30A2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AFE870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E7A8DC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31F5E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5D140B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47B4E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230C6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42337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F018AE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A07A2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B573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DF05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FC856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D8924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43CC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72188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C80D2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313183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F8A3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C94CC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8C2F7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C90EB0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943AC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D7FC4B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A28BEC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DED27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E5594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15BF4A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C2B4BF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8CCACB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88ED3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AEE0C9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CA3350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67187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4C7B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8A523C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C876C0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618810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5DFC43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40EB3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65419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B195F1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52289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0894BE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70164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80A19B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449335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70C83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DBBD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B865A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9802AF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501D3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ED37C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58671F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077EE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C1E125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411AA0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BEDE9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4804E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7345B2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1429AB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C11C0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0E6D6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2FE881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64A853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042E20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6E7B3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67FC06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B725DD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6CD9E8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307B4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5A4F5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AF19B5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DC3DE2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72242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A37E77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80D7F3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10.1</w:t>
            </w:r>
          </w:p>
          <w:p w14:paraId="36FE9B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应急指挥与救援系统</w:t>
            </w:r>
          </w:p>
          <w:p w14:paraId="28E7FF8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（10分）</w:t>
            </w:r>
          </w:p>
          <w:p w14:paraId="735CA9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932E9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C172B4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8FF80D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2467930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1.企业应建立应急指挥系统，实行分级管理，即厂级、车间级管理。</w:t>
            </w:r>
          </w:p>
        </w:tc>
        <w:tc>
          <w:tcPr>
            <w:tcW w:w="710" w:type="pct"/>
          </w:tcPr>
          <w:p w14:paraId="5E97C5D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建立厂级和车间级应急指挥系统。</w:t>
            </w:r>
          </w:p>
        </w:tc>
        <w:tc>
          <w:tcPr>
            <w:tcW w:w="642" w:type="pct"/>
            <w:vAlign w:val="top"/>
          </w:tcPr>
          <w:p w14:paraId="4BDD68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186C0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w:t>
            </w:r>
          </w:p>
          <w:p w14:paraId="44DA78F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3B5A8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有关人员是否了解应急指挥系统。</w:t>
            </w:r>
          </w:p>
        </w:tc>
        <w:tc>
          <w:tcPr>
            <w:tcW w:w="574" w:type="pct"/>
          </w:tcPr>
          <w:p w14:paraId="36BFADB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09518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1.未建立应急指挥系统，扣5分；</w:t>
            </w:r>
          </w:p>
          <w:p w14:paraId="679395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2.未实行厂级、车间级分级管理，扣2分；</w:t>
            </w:r>
          </w:p>
          <w:p w14:paraId="688FCF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3.有关人员不清楚应急指挥系统，1人次扣1分。</w:t>
            </w:r>
          </w:p>
        </w:tc>
        <w:tc>
          <w:tcPr>
            <w:tcW w:w="132" w:type="pct"/>
            <w:vAlign w:val="center"/>
          </w:tcPr>
          <w:p w14:paraId="37822AB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75257D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30DE9D4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1.建立有公司级、车间级、班组级应急响应系统，见《</w:t>
            </w:r>
            <w:r>
              <w:rPr>
                <w:rFonts w:hint="eastAsia" w:ascii="仿宋" w:hAnsi="仿宋" w:eastAsia="仿宋" w:cs="仿宋"/>
                <w:sz w:val="18"/>
                <w:lang w:val="en-US" w:eastAsia="zh-CN"/>
              </w:rPr>
              <w:t>达诺尔（湖北）微电子材料有限</w:t>
            </w:r>
            <w:r>
              <w:rPr>
                <w:rFonts w:hint="eastAsia" w:ascii="仿宋" w:hAnsi="仿宋" w:eastAsia="仿宋" w:cs="仿宋"/>
                <w:sz w:val="18"/>
              </w:rPr>
              <w:t>公司生产安全事故应急预案》。</w:t>
            </w:r>
          </w:p>
          <w:p w14:paraId="338721D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2.经现场检查，1 人不清 楚应急指挥系统 ，扣 1 分。</w:t>
            </w:r>
          </w:p>
        </w:tc>
      </w:tr>
      <w:tr w14:paraId="3A13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D6F79C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9B796F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D02F1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2.企业应建立应急救援队伍。</w:t>
            </w:r>
          </w:p>
        </w:tc>
        <w:tc>
          <w:tcPr>
            <w:tcW w:w="710" w:type="pct"/>
          </w:tcPr>
          <w:p w14:paraId="63FF8B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建立应急救援队伍。</w:t>
            </w:r>
          </w:p>
        </w:tc>
        <w:tc>
          <w:tcPr>
            <w:tcW w:w="642" w:type="pct"/>
            <w:vAlign w:val="top"/>
          </w:tcPr>
          <w:p w14:paraId="554CC2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AE7E8B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w:t>
            </w:r>
          </w:p>
          <w:p w14:paraId="59D958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0C01CB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有关人员是否了解应急救援队伍组成。</w:t>
            </w:r>
          </w:p>
        </w:tc>
        <w:tc>
          <w:tcPr>
            <w:tcW w:w="574" w:type="pct"/>
          </w:tcPr>
          <w:p w14:paraId="481FF3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49723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1.未建立应急救援队伍，扣2分；</w:t>
            </w:r>
          </w:p>
          <w:p w14:paraId="4C74CE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2.有关人员不清楚应急救援队伍组成，1人次扣2分。</w:t>
            </w:r>
          </w:p>
        </w:tc>
        <w:tc>
          <w:tcPr>
            <w:tcW w:w="132" w:type="pct"/>
            <w:vAlign w:val="center"/>
          </w:tcPr>
          <w:p w14:paraId="3FF0C0D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16FC1F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0E2365F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1.建立了兼职应急救援队伍，见《关于成立兼职应急救援队伍的通知》</w:t>
            </w:r>
          </w:p>
          <w:p w14:paraId="78132D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2.经现场检查，1 人不清楚应急救援队伍组成，扣 2 分。</w:t>
            </w:r>
          </w:p>
        </w:tc>
      </w:tr>
      <w:tr w14:paraId="2042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7FA05E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7BF350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AFECF2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3.企业应明确各级应急指挥系统和救援队的职责。</w:t>
            </w:r>
          </w:p>
        </w:tc>
        <w:tc>
          <w:tcPr>
            <w:tcW w:w="710" w:type="pct"/>
          </w:tcPr>
          <w:p w14:paraId="2D0DD5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明确各级指挥系统和救援队伍职责。</w:t>
            </w:r>
          </w:p>
        </w:tc>
        <w:tc>
          <w:tcPr>
            <w:tcW w:w="642" w:type="pct"/>
            <w:vAlign w:val="top"/>
          </w:tcPr>
          <w:p w14:paraId="7986DF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C3F78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w:t>
            </w:r>
          </w:p>
          <w:p w14:paraId="63A076B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13E05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应急救援指挥人员和救援人员是否了解各自的职责。</w:t>
            </w:r>
          </w:p>
        </w:tc>
        <w:tc>
          <w:tcPr>
            <w:tcW w:w="574" w:type="pct"/>
          </w:tcPr>
          <w:p w14:paraId="6EDEFC5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00A63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1.未明确各级应急指挥系统和救援队伍职责，一项不符合扣2分；</w:t>
            </w:r>
          </w:p>
          <w:p w14:paraId="0921C1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2.有关人员不了解其应急职责，1人次扣1分。</w:t>
            </w:r>
          </w:p>
        </w:tc>
        <w:tc>
          <w:tcPr>
            <w:tcW w:w="132" w:type="pct"/>
            <w:vAlign w:val="center"/>
          </w:tcPr>
          <w:p w14:paraId="2073533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43CBBA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70992A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明确了各级指挥系统 和救援队伍职责，见《关于成立兼职应急救援队伍的通 知 》《</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生产安全事故应急预案》。</w:t>
            </w:r>
          </w:p>
          <w:p w14:paraId="43A57D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w:t>
            </w:r>
            <w:r>
              <w:rPr>
                <w:rFonts w:hint="eastAsia" w:ascii="仿宋" w:hAnsi="仿宋" w:eastAsia="仿宋" w:cs="仿宋"/>
                <w:sz w:val="18"/>
                <w:lang w:val="en-US" w:eastAsia="zh-CN"/>
              </w:rPr>
              <w:t>2</w:t>
            </w:r>
            <w:r>
              <w:rPr>
                <w:rFonts w:hint="eastAsia" w:ascii="仿宋" w:hAnsi="仿宋" w:eastAsia="仿宋" w:cs="仿宋"/>
                <w:sz w:val="18"/>
              </w:rPr>
              <w:t xml:space="preserve"> 人不了解其应急职责，扣 </w:t>
            </w:r>
            <w:r>
              <w:rPr>
                <w:rFonts w:hint="eastAsia" w:ascii="仿宋" w:hAnsi="仿宋" w:eastAsia="仿宋" w:cs="仿宋"/>
                <w:sz w:val="18"/>
                <w:lang w:val="en-US" w:eastAsia="zh-CN"/>
              </w:rPr>
              <w:t>2</w:t>
            </w:r>
            <w:r>
              <w:rPr>
                <w:rFonts w:hint="eastAsia" w:ascii="仿宋" w:hAnsi="仿宋" w:eastAsia="仿宋" w:cs="仿宋"/>
                <w:sz w:val="18"/>
              </w:rPr>
              <w:t xml:space="preserve"> 分。</w:t>
            </w:r>
          </w:p>
        </w:tc>
      </w:tr>
      <w:tr w14:paraId="23CD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7D37BA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434F61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10.2</w:t>
            </w:r>
          </w:p>
          <w:p w14:paraId="3F5C38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应急救援设施</w:t>
            </w:r>
          </w:p>
          <w:p w14:paraId="25F951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p w14:paraId="6700C9C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2D1A05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D49B89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095D43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9D80C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7C83A3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4E847D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0D9C21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C0D8D1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D1E88D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48F8F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4528D3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1.企业应按国家有关规定，配备足够的应急救援器材，并保持完好。</w:t>
            </w:r>
          </w:p>
        </w:tc>
        <w:tc>
          <w:tcPr>
            <w:tcW w:w="710" w:type="pct"/>
          </w:tcPr>
          <w:p w14:paraId="57796E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1.针对可能发生的事故类型，按照规定配备足够的应急救援器材、消防设施及器材；</w:t>
            </w:r>
          </w:p>
          <w:p w14:paraId="1A325CA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2.建立应急救援器材、消防设施及器材台账； </w:t>
            </w:r>
          </w:p>
          <w:p w14:paraId="2F037E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3.应急救援器材、消防设施及器材保持完好，方便易取；</w:t>
            </w:r>
          </w:p>
          <w:p w14:paraId="539D22E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4.疏散通道、安全出口、消防通道符合规定，保持畅通。</w:t>
            </w:r>
          </w:p>
        </w:tc>
        <w:tc>
          <w:tcPr>
            <w:tcW w:w="642" w:type="pct"/>
          </w:tcPr>
          <w:p w14:paraId="1C40BE7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52D49C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1.应急救援预案；</w:t>
            </w:r>
          </w:p>
          <w:p w14:paraId="11A01F1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2.应急救援器材台账；</w:t>
            </w:r>
          </w:p>
          <w:p w14:paraId="69D9D0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3.消防设施、器材台账；</w:t>
            </w:r>
          </w:p>
          <w:p w14:paraId="394B26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4.应急救援器材、消防设施及器材检查维护记录。</w:t>
            </w:r>
          </w:p>
          <w:p w14:paraId="36EFD0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601DCCB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1.应急救援器材、消防设施及器材数量及完整性；</w:t>
            </w:r>
          </w:p>
          <w:p w14:paraId="6C7CAD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2.疏散通道、安全出口、消防通道符合性。</w:t>
            </w:r>
          </w:p>
          <w:p w14:paraId="3C95484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tcPr>
          <w:p w14:paraId="767DA9F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B8479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1.未配备足够的应急救援器材，消防设施及器材一项不符合扣1分；</w:t>
            </w:r>
          </w:p>
          <w:p w14:paraId="462E641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2.未建立应急救援器材台账，扣1分；</w:t>
            </w:r>
          </w:p>
          <w:p w14:paraId="7705A2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3.未建立消防设施、器材台账，扣1分；</w:t>
            </w:r>
          </w:p>
          <w:p w14:paraId="5F48917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4.救援器材、消防设施及器材未定期检查维护，一项不符合扣1分；</w:t>
            </w:r>
          </w:p>
          <w:p w14:paraId="125AFF2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5.应急救援器材、消防设施及器材完整性不符合要求，一项扣2分；</w:t>
            </w:r>
          </w:p>
          <w:p w14:paraId="5646EF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6.疏散通道、安全出口、消防通道不符合要求，一处扣2分。</w:t>
            </w:r>
          </w:p>
        </w:tc>
        <w:tc>
          <w:tcPr>
            <w:tcW w:w="132" w:type="pct"/>
            <w:vAlign w:val="center"/>
          </w:tcPr>
          <w:p w14:paraId="6DC16F5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4F58CB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72A0A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1.配备有足够的应急救 援器材，且建立有台账， 见《白银中天化工有限责 任公司生产安全事故应急预案》。</w:t>
            </w:r>
          </w:p>
          <w:p w14:paraId="367F05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2.建立有消防设施器材台账。</w:t>
            </w:r>
          </w:p>
          <w:p w14:paraId="60F4D38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3.定期对应急救援器材、消防器材检查。</w:t>
            </w:r>
          </w:p>
          <w:p w14:paraId="6CDBAFF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4.应急救援器材、消防设施及器材保持完好，疏散通道、安全出口、消防通道符合要求。</w:t>
            </w:r>
          </w:p>
          <w:p w14:paraId="3F219A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71A8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F7C130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7FA5F9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29A32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2.企业应建立应急通讯网络，保证应急通讯网络的畅通。</w:t>
            </w:r>
          </w:p>
        </w:tc>
        <w:tc>
          <w:tcPr>
            <w:tcW w:w="710" w:type="pct"/>
          </w:tcPr>
          <w:p w14:paraId="75707A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1.设置固定报警电话；</w:t>
            </w:r>
          </w:p>
          <w:p w14:paraId="312513B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2.明确应急救援指挥和救援人员电话；</w:t>
            </w:r>
          </w:p>
          <w:p w14:paraId="3893C04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3.明确外部救援单位联络电话；</w:t>
            </w:r>
          </w:p>
          <w:p w14:paraId="306F5D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4.报警电话24小时畅通。</w:t>
            </w:r>
          </w:p>
        </w:tc>
        <w:tc>
          <w:tcPr>
            <w:tcW w:w="642" w:type="pct"/>
          </w:tcPr>
          <w:p w14:paraId="26FD0B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EBBC8A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w:t>
            </w:r>
          </w:p>
          <w:p w14:paraId="2A6BC2F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1C7964F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作业人员是否清楚内部、外部报警电话。</w:t>
            </w:r>
          </w:p>
          <w:p w14:paraId="529F5D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现场查验：</w:t>
            </w:r>
          </w:p>
          <w:p w14:paraId="66AC6A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1.企业是否设置了报警电话；</w:t>
            </w:r>
          </w:p>
          <w:p w14:paraId="32790C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2.报警电话是否置于各岗位显著位置；</w:t>
            </w:r>
          </w:p>
          <w:p w14:paraId="5CB825D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3.报警电话是否畅通。</w:t>
            </w:r>
          </w:p>
        </w:tc>
        <w:tc>
          <w:tcPr>
            <w:tcW w:w="574" w:type="pct"/>
          </w:tcPr>
          <w:p w14:paraId="0D421BF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F6CA69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1.未建立应急通讯网络，扣2分；企业未设置固定报警电话，扣2分；</w:t>
            </w:r>
          </w:p>
          <w:p w14:paraId="4EC6801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2.作业人员不了解内外部报警电话，1人次扣2分；</w:t>
            </w:r>
          </w:p>
          <w:p w14:paraId="77C0FA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3.报警电话不能保证畅通，扣1分。</w:t>
            </w:r>
          </w:p>
        </w:tc>
        <w:tc>
          <w:tcPr>
            <w:tcW w:w="132" w:type="pct"/>
            <w:vAlign w:val="center"/>
          </w:tcPr>
          <w:p w14:paraId="62ED4D5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DCDAEB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B92F7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建立有应急通讯网络，设置了固定报警电话，中控室设置了 24h 应急值班电话，07286204203                     07286204210 </w:t>
            </w:r>
            <w:r>
              <w:rPr>
                <w:rFonts w:hint="eastAsia" w:ascii="仿宋" w:hAnsi="仿宋" w:eastAsia="仿宋" w:cs="仿宋"/>
                <w:sz w:val="18"/>
                <w:lang w:eastAsia="zh-CN"/>
              </w:rPr>
              <w:t>；</w:t>
            </w:r>
            <w:r>
              <w:rPr>
                <w:rFonts w:hint="eastAsia" w:ascii="仿宋" w:hAnsi="仿宋" w:eastAsia="仿宋" w:cs="仿宋"/>
                <w:sz w:val="18"/>
              </w:rPr>
              <w:t>18571087380，电话保持畅通。</w:t>
            </w:r>
          </w:p>
          <w:p w14:paraId="6A82E2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2.经现场检查，作业人员了解内外部报警电话。</w:t>
            </w:r>
          </w:p>
        </w:tc>
      </w:tr>
      <w:tr w14:paraId="54F9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99043B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69487C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73A3958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3.企业应为有毒有害岗位配备救援器材柜，放置必要的防护救护器材，进行经常性的维护保养并记录，保证其处于完好状态。</w:t>
            </w:r>
          </w:p>
        </w:tc>
        <w:tc>
          <w:tcPr>
            <w:tcW w:w="710" w:type="pct"/>
          </w:tcPr>
          <w:p w14:paraId="3EB82C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1.有毒有害岗位配备救援器材专柜，放置必要的防护救护器材；</w:t>
            </w:r>
          </w:p>
          <w:p w14:paraId="559929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2.防护救护器材应处于完好状态；</w:t>
            </w:r>
          </w:p>
          <w:p w14:paraId="715BC4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3.建立防护救护器材管理台账和维护保养记录。</w:t>
            </w:r>
          </w:p>
        </w:tc>
        <w:tc>
          <w:tcPr>
            <w:tcW w:w="642" w:type="pct"/>
          </w:tcPr>
          <w:p w14:paraId="0C913A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9A76F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1.防护救护器材管理台账； </w:t>
            </w:r>
          </w:p>
          <w:p w14:paraId="15650D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2.防护救护器材检查维护记录。</w:t>
            </w:r>
          </w:p>
          <w:p w14:paraId="31F655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82D6A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作业人员是否熟悉防护救护器材的使用。</w:t>
            </w:r>
          </w:p>
          <w:p w14:paraId="21798BB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AA6D9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1.有毒有害岗位是否设置了救援器材专柜；</w:t>
            </w:r>
          </w:p>
          <w:p w14:paraId="5EDE42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2.防护救护器材是否完好。</w:t>
            </w:r>
          </w:p>
        </w:tc>
        <w:tc>
          <w:tcPr>
            <w:tcW w:w="574" w:type="pct"/>
          </w:tcPr>
          <w:p w14:paraId="0F811AC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767FF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1.未在有毒有害岗位配备救援器材柜，放置必要的防护救护器材，一项扣1分；</w:t>
            </w:r>
          </w:p>
          <w:p w14:paraId="78D45CD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2.未建立防护救护器材台账，扣1分；</w:t>
            </w:r>
          </w:p>
          <w:p w14:paraId="458ED7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3.未定期检查维护防护救护器材，一次扣1分；</w:t>
            </w:r>
          </w:p>
          <w:p w14:paraId="7034C7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4.作业人员不熟悉防护救护器材使用，1人次扣1分。</w:t>
            </w:r>
          </w:p>
        </w:tc>
        <w:tc>
          <w:tcPr>
            <w:tcW w:w="132" w:type="pct"/>
            <w:vAlign w:val="center"/>
          </w:tcPr>
          <w:p w14:paraId="0EC869C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EECD0D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94804C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1.设有应急物资库，配备了必要的防护救援器材。 </w:t>
            </w:r>
          </w:p>
          <w:p w14:paraId="73463BD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2.建立了应急救援器材台账，且定期检查维护。 </w:t>
            </w:r>
          </w:p>
          <w:p w14:paraId="2831BB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3.经现场检查，作业人员熟悉防护救护器材使用。</w:t>
            </w:r>
          </w:p>
        </w:tc>
      </w:tr>
      <w:tr w14:paraId="4C20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E8BD91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7BA3AF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10.3</w:t>
            </w:r>
          </w:p>
          <w:p w14:paraId="6D08D7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应急救援预案与演练</w:t>
            </w:r>
          </w:p>
          <w:p w14:paraId="7C0E4E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03B542C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39849F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4AFA98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E51C8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AE437B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2C184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6D43D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211F0B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4C3218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79DB1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21079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1.企业宜按照AQ/T 9002，根据风险评价的结果，针对潜在事件和突发事故，制定相应的事故应急救援预案。</w:t>
            </w:r>
          </w:p>
        </w:tc>
        <w:tc>
          <w:tcPr>
            <w:tcW w:w="710" w:type="pct"/>
          </w:tcPr>
          <w:p w14:paraId="4056B0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1.事故应急救援预案编制符合标准要求；</w:t>
            </w:r>
          </w:p>
          <w:p w14:paraId="087EA3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2.根据风险评价结果，编制专项和现场处置预案。</w:t>
            </w:r>
          </w:p>
        </w:tc>
        <w:tc>
          <w:tcPr>
            <w:tcW w:w="642" w:type="pct"/>
            <w:vAlign w:val="top"/>
          </w:tcPr>
          <w:p w14:paraId="11A0E9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21BBCA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应急救援预案。</w:t>
            </w:r>
          </w:p>
        </w:tc>
        <w:tc>
          <w:tcPr>
            <w:tcW w:w="574" w:type="pct"/>
          </w:tcPr>
          <w:p w14:paraId="605926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未编制事故应急救援预案，扣25分（B级要素否决项）。</w:t>
            </w:r>
          </w:p>
        </w:tc>
        <w:tc>
          <w:tcPr>
            <w:tcW w:w="716" w:type="pct"/>
          </w:tcPr>
          <w:p w14:paraId="2BA1930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1.应急救援预案不全，缺少一个扣2分；</w:t>
            </w:r>
          </w:p>
          <w:p w14:paraId="5F46268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2.应急救援预案内容不符合标准要求，一项扣1分。</w:t>
            </w:r>
          </w:p>
        </w:tc>
        <w:tc>
          <w:tcPr>
            <w:tcW w:w="132" w:type="pct"/>
            <w:vAlign w:val="center"/>
          </w:tcPr>
          <w:p w14:paraId="1CB0300B">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BC45D3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4128145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w:t>
            </w:r>
            <w:r>
              <w:rPr>
                <w:rFonts w:hint="eastAsia" w:ascii="仿宋" w:hAnsi="仿宋" w:eastAsia="仿宋" w:cs="仿宋"/>
                <w:sz w:val="18"/>
              </w:rPr>
              <w:t>编制有生产安全事故综合应急预案、专项应急预 案、现场处置方案，见《</w:t>
            </w:r>
            <w:r>
              <w:rPr>
                <w:rFonts w:hint="eastAsia" w:ascii="仿宋" w:hAnsi="仿宋" w:eastAsia="仿宋" w:cs="仿宋"/>
                <w:sz w:val="18"/>
                <w:lang w:val="en-US" w:eastAsia="zh-CN"/>
              </w:rPr>
              <w:t>达诺尔（湖北）微电子材料有限公司</w:t>
            </w:r>
            <w:r>
              <w:rPr>
                <w:rFonts w:hint="eastAsia" w:ascii="仿宋" w:hAnsi="仿宋" w:eastAsia="仿宋" w:cs="仿宋"/>
                <w:sz w:val="18"/>
              </w:rPr>
              <w:t>生产安全事故应急预案》。</w:t>
            </w:r>
          </w:p>
          <w:p w14:paraId="17DA19A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事故救援预案人员未及时变更更新。扣1分</w:t>
            </w:r>
          </w:p>
        </w:tc>
      </w:tr>
      <w:tr w14:paraId="03A3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A7C6BD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16448B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46BB9CD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2.企业应组织从业人员进行应急救援预案的培训，定期演练，评价演练效果，评价应急救援预案的充分性和有效性，并形成记录。</w:t>
            </w:r>
          </w:p>
        </w:tc>
        <w:tc>
          <w:tcPr>
            <w:tcW w:w="710" w:type="pct"/>
          </w:tcPr>
          <w:p w14:paraId="30CDF8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1.组织应急救援预案培训；</w:t>
            </w:r>
          </w:p>
          <w:p w14:paraId="4CE035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2.综合应急救援预案每年至少组织一次演练，现场处置方案每半年至少组织一次演练；</w:t>
            </w:r>
          </w:p>
          <w:p w14:paraId="5E3CF4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3.演练后及时进行演练效果评价，并对应急预案评审。</w:t>
            </w:r>
          </w:p>
        </w:tc>
        <w:tc>
          <w:tcPr>
            <w:tcW w:w="642" w:type="pct"/>
            <w:vAlign w:val="top"/>
          </w:tcPr>
          <w:p w14:paraId="45C5B0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52D92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1.应急救援预案培训记录； </w:t>
            </w:r>
          </w:p>
          <w:p w14:paraId="37E510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2.应急救援预案演练记录；</w:t>
            </w:r>
          </w:p>
          <w:p w14:paraId="6CBEF1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3.应急救援预案演练评价报告。</w:t>
            </w:r>
          </w:p>
          <w:p w14:paraId="6650BD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E6524B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有关人员是否熟悉应急救援预案内容及参加演练情况。</w:t>
            </w:r>
          </w:p>
        </w:tc>
        <w:tc>
          <w:tcPr>
            <w:tcW w:w="574" w:type="pct"/>
          </w:tcPr>
          <w:p w14:paraId="6901BAC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515A54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1.未对从业人员进行应急救援预案培训，1人次扣1分；</w:t>
            </w:r>
          </w:p>
          <w:p w14:paraId="4AB089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2.未定期进行应急救援预案演练，扣2分；</w:t>
            </w:r>
          </w:p>
          <w:p w14:paraId="62494C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3.未对预案演练进行效果评价，扣1分；</w:t>
            </w:r>
          </w:p>
          <w:p w14:paraId="7BEF66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4.演练后未对预案评审，扣2分。</w:t>
            </w:r>
          </w:p>
        </w:tc>
        <w:tc>
          <w:tcPr>
            <w:tcW w:w="132" w:type="pct"/>
            <w:vAlign w:val="center"/>
          </w:tcPr>
          <w:p w14:paraId="49DDDB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200A84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2B941ED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1.对从业人员进行了应急救援预案培训，见安全培训记录。</w:t>
            </w:r>
          </w:p>
          <w:p w14:paraId="1BAE2D9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2.定期进行应急救援预 案演练，对预案演练进行效果评价，见应急预案演练记录。</w:t>
            </w:r>
          </w:p>
          <w:p w14:paraId="531DC29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3.演练后未对预案评审，扣 2 分。</w:t>
            </w:r>
          </w:p>
        </w:tc>
      </w:tr>
      <w:tr w14:paraId="78AB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81EA11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526018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56BBF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3.企业应定期评审应急救援预案，尤其在潜在事件和突发事故发生后。</w:t>
            </w:r>
          </w:p>
        </w:tc>
        <w:tc>
          <w:tcPr>
            <w:tcW w:w="710" w:type="pct"/>
          </w:tcPr>
          <w:p w14:paraId="0D97C3B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1.定期评审应急救援预案，至少每三年评审修订一次；</w:t>
            </w:r>
          </w:p>
          <w:p w14:paraId="311E3AF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2.潜在事件和突发事故发生后，及时评审修订预案。</w:t>
            </w:r>
          </w:p>
        </w:tc>
        <w:tc>
          <w:tcPr>
            <w:tcW w:w="642" w:type="pct"/>
            <w:vAlign w:val="top"/>
          </w:tcPr>
          <w:p w14:paraId="3B8ABF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6C597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1.应急救援预案评审修订规定；</w:t>
            </w:r>
          </w:p>
          <w:p w14:paraId="1FA672C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2.应急救援预案评审记录。</w:t>
            </w:r>
          </w:p>
        </w:tc>
        <w:tc>
          <w:tcPr>
            <w:tcW w:w="574" w:type="pct"/>
          </w:tcPr>
          <w:p w14:paraId="4E7ED49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E1E59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1.未明确预案评审修订的时机和频次，扣2分；</w:t>
            </w:r>
          </w:p>
          <w:p w14:paraId="59D296B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2.未定期或及时评审修订应急救援预案，扣2分。</w:t>
            </w:r>
          </w:p>
        </w:tc>
        <w:tc>
          <w:tcPr>
            <w:tcW w:w="132" w:type="pct"/>
            <w:vAlign w:val="center"/>
          </w:tcPr>
          <w:p w14:paraId="2749D8C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F83F1E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168B59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1.每三年评审修订一次 应急预案。</w:t>
            </w:r>
          </w:p>
          <w:p w14:paraId="58908B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2.定期评审修订应急救援预案，见《达诺尔（湖北）微电子材料有限公司生产安全事故应急预 案》附件。</w:t>
            </w:r>
          </w:p>
        </w:tc>
      </w:tr>
      <w:tr w14:paraId="018C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56" w:type="pct"/>
            <w:vMerge w:val="continue"/>
          </w:tcPr>
          <w:p w14:paraId="6E7F28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06B6E8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2FC15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4.企业应将应急救援预案报当地安全生产监督管理部门和有关部门备案，并通报当地应急协作单位，建立应急联动机制。</w:t>
            </w:r>
          </w:p>
        </w:tc>
        <w:tc>
          <w:tcPr>
            <w:tcW w:w="710" w:type="pct"/>
          </w:tcPr>
          <w:p w14:paraId="17787EC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1.将应急救援预案报所在地设区的市级人民政府安全生产监督管理部门备案；</w:t>
            </w:r>
          </w:p>
          <w:p w14:paraId="64F025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2.通报当地应急协作单位。</w:t>
            </w:r>
          </w:p>
        </w:tc>
        <w:tc>
          <w:tcPr>
            <w:tcW w:w="642" w:type="pct"/>
            <w:shd w:val="clear" w:color="auto" w:fill="auto"/>
            <w:vAlign w:val="top"/>
          </w:tcPr>
          <w:p w14:paraId="37A563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5D000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1.应急救援预案备案回执；</w:t>
            </w:r>
          </w:p>
          <w:p w14:paraId="0E2F715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2.应急协作单位收到预案的回执。</w:t>
            </w:r>
          </w:p>
        </w:tc>
        <w:tc>
          <w:tcPr>
            <w:tcW w:w="574" w:type="pct"/>
          </w:tcPr>
          <w:p w14:paraId="70D72B3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3D757E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1.未及时备案，扣2分；</w:t>
            </w:r>
          </w:p>
          <w:p w14:paraId="320BC2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2.未通报当地应急协作单位，扣2分。</w:t>
            </w:r>
          </w:p>
        </w:tc>
        <w:tc>
          <w:tcPr>
            <w:tcW w:w="132" w:type="pct"/>
            <w:vAlign w:val="center"/>
          </w:tcPr>
          <w:p w14:paraId="7E5E52D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B2B108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9FCA50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已备案</w:t>
            </w:r>
          </w:p>
        </w:tc>
      </w:tr>
      <w:tr w14:paraId="1A07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B18C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55AAEF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10.4</w:t>
            </w:r>
          </w:p>
          <w:p w14:paraId="30BF72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抢险与救护</w:t>
            </w:r>
          </w:p>
          <w:p w14:paraId="362F87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p w14:paraId="7495302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CC8827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F7C0C0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0E71C7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663BA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发生生产安全事故后，应迅速启动应急救援预案，企业负责人直接指挥，积极组织抢救，妥善处理，以防止事故的蔓延扩大，减少人员伤亡和财产损失。安全、技术、设备、动力、生产、消防、保卫等部门应协助做好现场抢救和警戒工作，保护事故现场。</w:t>
            </w:r>
          </w:p>
        </w:tc>
        <w:tc>
          <w:tcPr>
            <w:tcW w:w="710" w:type="pct"/>
          </w:tcPr>
          <w:p w14:paraId="3826BDE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1.发生生产安全事故后，迅速启动应急救援预案；</w:t>
            </w:r>
          </w:p>
          <w:p w14:paraId="0CE234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2.企业负责人直接指挥抢救，妥善处理，减少人员伤亡和财产损失；</w:t>
            </w:r>
          </w:p>
          <w:p w14:paraId="4E34B33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3.相关部门协助现场抢救和警戒工作，保护事故现场。</w:t>
            </w:r>
          </w:p>
        </w:tc>
        <w:tc>
          <w:tcPr>
            <w:tcW w:w="642" w:type="pct"/>
            <w:vAlign w:val="top"/>
          </w:tcPr>
          <w:p w14:paraId="5F3BB6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83C89F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1.应急预案；</w:t>
            </w:r>
          </w:p>
          <w:p w14:paraId="393B34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2.事故台账和调查报告；</w:t>
            </w:r>
          </w:p>
          <w:p w14:paraId="40FBC4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3.事故或事件后，对预案评审的报告。</w:t>
            </w:r>
          </w:p>
          <w:p w14:paraId="07E692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3D412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企业负责人、各职能部门负责人是否了解事故时各自的职责。</w:t>
            </w:r>
          </w:p>
        </w:tc>
        <w:tc>
          <w:tcPr>
            <w:tcW w:w="574" w:type="pct"/>
          </w:tcPr>
          <w:p w14:paraId="1B377AC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925CBB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1.未明确企业有关人员职责，一项扣1分； </w:t>
            </w:r>
          </w:p>
          <w:p w14:paraId="44D28E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2.相关人员不了解应急职责，1人次扣1分。</w:t>
            </w:r>
          </w:p>
        </w:tc>
        <w:tc>
          <w:tcPr>
            <w:tcW w:w="132" w:type="pct"/>
            <w:vAlign w:val="center"/>
          </w:tcPr>
          <w:p w14:paraId="2634016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54F169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7B1180F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1.明确企业有关人员职责，建立有生产安全事故台账，有对应的事故处理报 告，见事故/事件统计台账。</w:t>
            </w:r>
          </w:p>
          <w:p w14:paraId="4F84FFC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2.2#车间1名</w:t>
            </w:r>
            <w:r>
              <w:rPr>
                <w:rFonts w:hint="eastAsia" w:ascii="仿宋" w:hAnsi="仿宋" w:eastAsia="仿宋" w:cs="仿宋"/>
                <w:sz w:val="18"/>
              </w:rPr>
              <w:t>人员不了解应急职责</w:t>
            </w:r>
            <w:r>
              <w:rPr>
                <w:rFonts w:hint="eastAsia" w:ascii="仿宋" w:hAnsi="仿宋" w:eastAsia="仿宋" w:cs="仿宋"/>
                <w:sz w:val="18"/>
                <w:lang w:eastAsia="zh-CN"/>
              </w:rPr>
              <w:t>，</w:t>
            </w:r>
            <w:r>
              <w:rPr>
                <w:rFonts w:hint="eastAsia" w:ascii="仿宋" w:hAnsi="仿宋" w:eastAsia="仿宋" w:cs="仿宋"/>
                <w:sz w:val="18"/>
                <w:lang w:val="en-US" w:eastAsia="zh-CN"/>
              </w:rPr>
              <w:t>扣1分</w:t>
            </w:r>
          </w:p>
        </w:tc>
      </w:tr>
      <w:tr w14:paraId="1359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A26E74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79CC7E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BC5F7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2.企业发生有害物大量外泄事故或火灾爆炸事故应设警戒线。</w:t>
            </w:r>
          </w:p>
        </w:tc>
        <w:tc>
          <w:tcPr>
            <w:tcW w:w="710" w:type="pct"/>
          </w:tcPr>
          <w:p w14:paraId="5CAD99F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发生有害物大量泄漏事故或火灾爆炸事故时，及时设置警戒线。</w:t>
            </w:r>
          </w:p>
        </w:tc>
        <w:tc>
          <w:tcPr>
            <w:tcW w:w="642" w:type="pct"/>
            <w:vAlign w:val="top"/>
          </w:tcPr>
          <w:p w14:paraId="6136AE2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4ECCD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事故调查报告。</w:t>
            </w:r>
          </w:p>
          <w:p w14:paraId="2387B0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0898AC7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相关人员是否了解有发生害物大量外泄事故或火灾爆炸事故时应采取的措施。</w:t>
            </w:r>
          </w:p>
        </w:tc>
        <w:tc>
          <w:tcPr>
            <w:tcW w:w="574" w:type="pct"/>
          </w:tcPr>
          <w:p w14:paraId="12F2CA4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86756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相关人员不了解应设警戒线的措施，1人次扣1分。</w:t>
            </w:r>
          </w:p>
        </w:tc>
        <w:tc>
          <w:tcPr>
            <w:tcW w:w="132" w:type="pct"/>
            <w:vAlign w:val="center"/>
          </w:tcPr>
          <w:p w14:paraId="3AD9850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A53362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C92AE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相关人员了解</w:t>
            </w:r>
            <w:r>
              <w:rPr>
                <w:rFonts w:hint="eastAsia" w:ascii="仿宋" w:hAnsi="仿宋" w:eastAsia="仿宋" w:cs="仿宋"/>
                <w:sz w:val="18"/>
              </w:rPr>
              <w:t>发生有害物大量外泄事故或火灾爆炸事故时设置警戒线</w:t>
            </w:r>
            <w:r>
              <w:rPr>
                <w:rFonts w:hint="eastAsia" w:ascii="仿宋" w:hAnsi="仿宋" w:eastAsia="仿宋" w:cs="仿宋"/>
                <w:sz w:val="18"/>
                <w:lang w:val="en-US" w:eastAsia="zh-CN"/>
              </w:rPr>
              <w:t>措施要求</w:t>
            </w:r>
            <w:r>
              <w:rPr>
                <w:rFonts w:hint="eastAsia" w:ascii="仿宋" w:hAnsi="仿宋" w:eastAsia="仿宋" w:cs="仿宋"/>
                <w:sz w:val="18"/>
              </w:rPr>
              <w:t>。</w:t>
            </w:r>
          </w:p>
        </w:tc>
      </w:tr>
      <w:tr w14:paraId="7213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FC0540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2CE2862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03BAB9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3.企业抢救人员应佩戴好相应的防护器具，对伤亡人员及时进行抢救处理。</w:t>
            </w:r>
          </w:p>
        </w:tc>
        <w:tc>
          <w:tcPr>
            <w:tcW w:w="710" w:type="pct"/>
          </w:tcPr>
          <w:p w14:paraId="64C528D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1.抢救人员应熟练使用相关防护器具；</w:t>
            </w:r>
          </w:p>
          <w:p w14:paraId="1DDE46F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2.抢救人员应掌握必要的急救知识，并经过急救技能培训。</w:t>
            </w:r>
          </w:p>
        </w:tc>
        <w:tc>
          <w:tcPr>
            <w:tcW w:w="642" w:type="pct"/>
            <w:vAlign w:val="top"/>
          </w:tcPr>
          <w:p w14:paraId="1CDF8C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7738B1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事故调查报告。</w:t>
            </w:r>
          </w:p>
          <w:p w14:paraId="1B21C2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64C85E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事故抢救人员是否了解事故现场防护器具的配备、使用规定及抢救知识。</w:t>
            </w:r>
          </w:p>
        </w:tc>
        <w:tc>
          <w:tcPr>
            <w:tcW w:w="574" w:type="pct"/>
          </w:tcPr>
          <w:p w14:paraId="3AA4C90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5C16B9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1.抢救人员不会使用防护器具，1人扣2分；</w:t>
            </w:r>
          </w:p>
          <w:p w14:paraId="416CC2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2.抢救人员不了解抢救知识，1人次扣2分。</w:t>
            </w:r>
          </w:p>
        </w:tc>
        <w:tc>
          <w:tcPr>
            <w:tcW w:w="132" w:type="pct"/>
            <w:vAlign w:val="center"/>
          </w:tcPr>
          <w:p w14:paraId="3CE8994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730A999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4D8491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经过培训和实操演练</w:t>
            </w:r>
            <w:r>
              <w:rPr>
                <w:rFonts w:hint="eastAsia" w:ascii="仿宋" w:hAnsi="仿宋" w:eastAsia="仿宋" w:cs="仿宋"/>
                <w:sz w:val="18"/>
              </w:rPr>
              <w:t>相关人员</w:t>
            </w:r>
            <w:r>
              <w:rPr>
                <w:rFonts w:hint="eastAsia" w:ascii="仿宋" w:hAnsi="仿宋" w:eastAsia="仿宋" w:cs="仿宋"/>
                <w:sz w:val="18"/>
                <w:lang w:val="en-US" w:eastAsia="zh-CN"/>
              </w:rPr>
              <w:t>都</w:t>
            </w:r>
            <w:r>
              <w:rPr>
                <w:rFonts w:hint="eastAsia" w:ascii="仿宋" w:hAnsi="仿宋" w:eastAsia="仿宋" w:cs="仿宋"/>
                <w:sz w:val="18"/>
              </w:rPr>
              <w:t>了解抢救知识。</w:t>
            </w:r>
          </w:p>
        </w:tc>
      </w:tr>
      <w:tr w14:paraId="6346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8B688C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98CF24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10.5</w:t>
            </w:r>
          </w:p>
          <w:p w14:paraId="122F0A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事故报告</w:t>
            </w:r>
          </w:p>
          <w:p w14:paraId="5DDCE33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p w14:paraId="17C559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BA728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7AF6E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DD216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A67FB4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E3A583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64EED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177EB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1AC911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明确事故报告程序。发生生产安全事故后，事故现场有关人员除立即采取应急措施外，应按规定和程序报告本单位负责人及有关部门。情况紧急时，事故现场有关人员可以直接向事故发生地县级以上人民政府安全生产监督管理部门和负有安全生产监督管理职责的有关部门报告。</w:t>
            </w:r>
          </w:p>
        </w:tc>
        <w:tc>
          <w:tcPr>
            <w:tcW w:w="710" w:type="pct"/>
          </w:tcPr>
          <w:p w14:paraId="776AAAF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1.明确事故报告程序和事故报告的责任部门、责任人；</w:t>
            </w:r>
          </w:p>
          <w:p w14:paraId="49CF20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2.发生事故，现场人员立即采取应急措施；</w:t>
            </w:r>
          </w:p>
          <w:p w14:paraId="4864602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3.发生事故后按程序报告；</w:t>
            </w:r>
          </w:p>
          <w:p w14:paraId="1037EE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4.情况紧急时，事故现场人员可以直接向有关部门报告。</w:t>
            </w:r>
          </w:p>
        </w:tc>
        <w:tc>
          <w:tcPr>
            <w:tcW w:w="642" w:type="pct"/>
          </w:tcPr>
          <w:p w14:paraId="5734913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2851C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1.事故管理制度；</w:t>
            </w:r>
          </w:p>
          <w:p w14:paraId="1E98C8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2.事故调查报告。</w:t>
            </w:r>
          </w:p>
          <w:p w14:paraId="2EF820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63E452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1.从业人员是否了解事故报告程序；</w:t>
            </w:r>
          </w:p>
          <w:p w14:paraId="07A689C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2.从业人员是否了解应急措施。</w:t>
            </w:r>
          </w:p>
        </w:tc>
        <w:tc>
          <w:tcPr>
            <w:tcW w:w="574" w:type="pct"/>
          </w:tcPr>
          <w:p w14:paraId="15F4F89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059D9D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1.未明确事故报告程序、责任部门、责任人，一项不符合扣3分；</w:t>
            </w:r>
          </w:p>
          <w:p w14:paraId="25E0554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2.从业人员不了解事故报告程序或事故现场应采取的措施，1人次扣2分。</w:t>
            </w:r>
          </w:p>
        </w:tc>
        <w:tc>
          <w:tcPr>
            <w:tcW w:w="132" w:type="pct"/>
            <w:vAlign w:val="center"/>
          </w:tcPr>
          <w:p w14:paraId="267EEF2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FC9B1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15FCC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人员</w:t>
            </w:r>
            <w:r>
              <w:rPr>
                <w:rFonts w:hint="eastAsia" w:ascii="仿宋" w:hAnsi="仿宋" w:eastAsia="仿宋" w:cs="仿宋"/>
                <w:sz w:val="18"/>
                <w:lang w:val="en-US" w:eastAsia="zh-CN"/>
              </w:rPr>
              <w:t>经过培训和演练都</w:t>
            </w:r>
            <w:r>
              <w:rPr>
                <w:rFonts w:hint="eastAsia" w:ascii="仿宋" w:hAnsi="仿宋" w:eastAsia="仿宋" w:cs="仿宋"/>
                <w:sz w:val="18"/>
              </w:rPr>
              <w:t>了解事故现场应采取的措施。</w:t>
            </w:r>
          </w:p>
        </w:tc>
      </w:tr>
      <w:tr w14:paraId="43A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4F0A59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CD327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33562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2.企业负责人接到事故报告后，应当于1小时内向事故发生地县级以上人民政府安全生产监督管理部门和负有安全生产监督管理职责的有关部门报告。</w:t>
            </w:r>
          </w:p>
        </w:tc>
        <w:tc>
          <w:tcPr>
            <w:tcW w:w="710" w:type="pct"/>
          </w:tcPr>
          <w:p w14:paraId="2C70E44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企业负责人接到事故报告后，应当于1小时内向有关部门报告。</w:t>
            </w:r>
          </w:p>
        </w:tc>
        <w:tc>
          <w:tcPr>
            <w:tcW w:w="642" w:type="pct"/>
            <w:vAlign w:val="top"/>
          </w:tcPr>
          <w:p w14:paraId="5778E4F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53963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事故台账和调查报告。</w:t>
            </w:r>
          </w:p>
          <w:p w14:paraId="31490BA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EBD0B9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企业负责人是否了解事故报告职责和时限。</w:t>
            </w:r>
          </w:p>
        </w:tc>
        <w:tc>
          <w:tcPr>
            <w:tcW w:w="574" w:type="pct"/>
          </w:tcPr>
          <w:p w14:paraId="36410B8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存在事故瞒报、谎报、拖延不报现象的，扣100分(A级要素否决项)。</w:t>
            </w:r>
          </w:p>
        </w:tc>
        <w:tc>
          <w:tcPr>
            <w:tcW w:w="716" w:type="pct"/>
          </w:tcPr>
          <w:p w14:paraId="187DD5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企业负责人不了解事故报告的职责和时限，扣5分。</w:t>
            </w:r>
          </w:p>
        </w:tc>
        <w:tc>
          <w:tcPr>
            <w:tcW w:w="132" w:type="pct"/>
            <w:vAlign w:val="center"/>
          </w:tcPr>
          <w:p w14:paraId="10B2F78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D03FA6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73967DC0">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1.制定有生产安全事故</w:t>
            </w:r>
            <w:r>
              <w:rPr>
                <w:rFonts w:hint="eastAsia" w:ascii="仿宋" w:hAnsi="仿宋" w:eastAsia="仿宋" w:cs="仿宋"/>
                <w:sz w:val="18"/>
                <w:lang w:val="en-US" w:eastAsia="zh-CN"/>
              </w:rPr>
              <w:t>报告调查分析纠正程序制度</w:t>
            </w:r>
            <w:r>
              <w:rPr>
                <w:rFonts w:hint="eastAsia" w:ascii="仿宋" w:hAnsi="仿宋" w:eastAsia="仿宋" w:cs="仿宋"/>
                <w:sz w:val="18"/>
              </w:rPr>
              <w:t>，</w:t>
            </w:r>
            <w:r>
              <w:rPr>
                <w:rFonts w:hint="eastAsia" w:ascii="仿宋" w:hAnsi="仿宋" w:eastAsia="仿宋" w:cs="仿宋"/>
                <w:sz w:val="18"/>
                <w:lang w:val="en-US" w:eastAsia="zh-CN"/>
              </w:rPr>
              <w:t>见《</w:t>
            </w:r>
            <w:r>
              <w:rPr>
                <w:rFonts w:hint="eastAsia" w:ascii="仿宋" w:hAnsi="仿宋" w:eastAsia="仿宋" w:cs="仿宋"/>
                <w:sz w:val="18"/>
              </w:rPr>
              <w:t>公司安全生产规章制度》</w:t>
            </w:r>
            <w:r>
              <w:rPr>
                <w:rFonts w:hint="eastAsia" w:ascii="仿宋" w:hAnsi="仿宋" w:eastAsia="仿宋" w:cs="仿宋"/>
                <w:sz w:val="18"/>
                <w:lang w:eastAsia="zh-CN"/>
              </w:rPr>
              <w:t>；《</w:t>
            </w:r>
            <w:r>
              <w:rPr>
                <w:rFonts w:hint="eastAsia" w:ascii="仿宋" w:hAnsi="仿宋" w:eastAsia="仿宋" w:cs="仿宋"/>
                <w:sz w:val="18"/>
                <w:lang w:val="en-US" w:eastAsia="zh-CN"/>
              </w:rPr>
              <w:t>达诺尔（湖北）微电子材料有限公司</w:t>
            </w:r>
            <w:r>
              <w:rPr>
                <w:rFonts w:hint="eastAsia" w:ascii="仿宋" w:hAnsi="仿宋" w:eastAsia="仿宋" w:cs="仿宋"/>
                <w:sz w:val="18"/>
                <w:lang w:eastAsia="zh-CN"/>
              </w:rPr>
              <w:t>生产安全事故应急救援  预案》。明确了事故报告  程序和事故报告的责任  部门、责任人。</w:t>
            </w:r>
          </w:p>
          <w:p w14:paraId="0139086F">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eastAsia="zh-CN"/>
              </w:rPr>
              <w:t>2.经现场检查，从业人员 了解事故报告程序或事 故现场应采取的措施。</w:t>
            </w:r>
          </w:p>
        </w:tc>
      </w:tr>
      <w:tr w14:paraId="0961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0C64E52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7B2383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2412ED5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3.企业在事故报告后出现新情况时，应按有关规定及时补报。</w:t>
            </w:r>
          </w:p>
        </w:tc>
        <w:tc>
          <w:tcPr>
            <w:tcW w:w="710" w:type="pct"/>
          </w:tcPr>
          <w:p w14:paraId="460FC7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事故报告后出现新情况时及时补报。</w:t>
            </w:r>
          </w:p>
        </w:tc>
        <w:tc>
          <w:tcPr>
            <w:tcW w:w="642" w:type="pct"/>
            <w:vAlign w:val="top"/>
          </w:tcPr>
          <w:p w14:paraId="29C14B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11BD80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事故台账和调查报告。</w:t>
            </w:r>
          </w:p>
          <w:p w14:paraId="2691AF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2E93494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企业负责人是否了解事故报告补报的要求和内容。</w:t>
            </w:r>
          </w:p>
        </w:tc>
        <w:tc>
          <w:tcPr>
            <w:tcW w:w="574" w:type="pct"/>
          </w:tcPr>
          <w:p w14:paraId="61BB096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566147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1.企业负责人不了解有关事故补报要求，扣5分；</w:t>
            </w:r>
          </w:p>
          <w:p w14:paraId="4E55C8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2.事故报告后出现新情况时，未按规定及时补报，扣5分。</w:t>
            </w:r>
          </w:p>
        </w:tc>
        <w:tc>
          <w:tcPr>
            <w:tcW w:w="132" w:type="pct"/>
            <w:vAlign w:val="center"/>
          </w:tcPr>
          <w:p w14:paraId="52F089A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EF372C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10E40BF">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1.制定有生产安全事故</w:t>
            </w:r>
            <w:r>
              <w:rPr>
                <w:rFonts w:hint="eastAsia" w:ascii="仿宋" w:hAnsi="仿宋" w:eastAsia="仿宋" w:cs="仿宋"/>
                <w:sz w:val="18"/>
                <w:lang w:val="en-US" w:eastAsia="zh-CN"/>
              </w:rPr>
              <w:t>报告调查分析纠正程序制度</w:t>
            </w:r>
            <w:r>
              <w:rPr>
                <w:rFonts w:hint="eastAsia" w:ascii="仿宋" w:hAnsi="仿宋" w:eastAsia="仿宋" w:cs="仿宋"/>
                <w:sz w:val="18"/>
              </w:rPr>
              <w:t>，</w:t>
            </w:r>
            <w:r>
              <w:rPr>
                <w:rFonts w:hint="eastAsia" w:ascii="仿宋" w:hAnsi="仿宋" w:eastAsia="仿宋" w:cs="仿宋"/>
                <w:sz w:val="18"/>
                <w:lang w:val="en-US" w:eastAsia="zh-CN"/>
              </w:rPr>
              <w:t>见《</w:t>
            </w:r>
            <w:r>
              <w:rPr>
                <w:rFonts w:hint="eastAsia" w:ascii="仿宋" w:hAnsi="仿宋" w:eastAsia="仿宋" w:cs="仿宋"/>
                <w:sz w:val="18"/>
              </w:rPr>
              <w:t>公司安全生产规章制度》</w:t>
            </w:r>
            <w:r>
              <w:rPr>
                <w:rFonts w:hint="eastAsia" w:ascii="仿宋" w:hAnsi="仿宋" w:eastAsia="仿宋" w:cs="仿宋"/>
                <w:sz w:val="18"/>
                <w:lang w:eastAsia="zh-CN"/>
              </w:rPr>
              <w:t>；《</w:t>
            </w:r>
            <w:r>
              <w:rPr>
                <w:rFonts w:hint="eastAsia" w:ascii="仿宋" w:hAnsi="仿宋" w:eastAsia="仿宋" w:cs="仿宋"/>
                <w:sz w:val="18"/>
                <w:lang w:val="en-US" w:eastAsia="zh-CN"/>
              </w:rPr>
              <w:t>达诺尔（湖北）微电子材料有限公司</w:t>
            </w:r>
            <w:r>
              <w:rPr>
                <w:rFonts w:hint="eastAsia" w:ascii="仿宋" w:hAnsi="仿宋" w:eastAsia="仿宋" w:cs="仿宋"/>
                <w:sz w:val="18"/>
                <w:lang w:eastAsia="zh-CN"/>
              </w:rPr>
              <w:t>生产安全事故应急救援  预案》。明确了事故报告  程序和事故报告的责任  部门、责任人。</w:t>
            </w:r>
          </w:p>
          <w:p w14:paraId="742195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227E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4439E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1EB04C0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10.6</w:t>
            </w:r>
          </w:p>
          <w:p w14:paraId="2B2202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事故调查</w:t>
            </w:r>
          </w:p>
          <w:p w14:paraId="2AB52D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（15分）</w:t>
            </w:r>
          </w:p>
          <w:p w14:paraId="020ED0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B2BAF2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4E7EA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A096AF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DD34AC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E5BF4D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67922F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8D66CD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272022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EF3CAE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EBE321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6B6636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B3364B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D5485E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31DD0E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58C3554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60F53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379AA10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2FDBCC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C415F9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9119D0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1.企业发生生产安全事故后，应积极配合各级人民政府组织的事故调查，负责人和有关人员在事故调查期间不得擅离职守，应当随时接受事故调查组的询问，如实提供有关情况。</w:t>
            </w:r>
          </w:p>
        </w:tc>
        <w:tc>
          <w:tcPr>
            <w:tcW w:w="710" w:type="pct"/>
          </w:tcPr>
          <w:p w14:paraId="00307E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1.发生事故，积极配合政府组织的事故调查；</w:t>
            </w:r>
          </w:p>
          <w:p w14:paraId="427D34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2.负责人和有关人员在事故调查期间不得擅离职守，应当随时接受事故调查组的调查，如实提供有关情况。</w:t>
            </w:r>
          </w:p>
        </w:tc>
        <w:tc>
          <w:tcPr>
            <w:tcW w:w="642" w:type="pct"/>
            <w:vAlign w:val="top"/>
          </w:tcPr>
          <w:p w14:paraId="1A2F30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E5BBC0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事故调查报告。</w:t>
            </w:r>
          </w:p>
          <w:p w14:paraId="2158E55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4E4026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有关人员如何配合事故调查。</w:t>
            </w:r>
          </w:p>
        </w:tc>
        <w:tc>
          <w:tcPr>
            <w:tcW w:w="574" w:type="pct"/>
          </w:tcPr>
          <w:p w14:paraId="183AA5F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362F42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1.发生事故时，未积极配合政府组织的事故调查，扣2分；</w:t>
            </w:r>
          </w:p>
          <w:p w14:paraId="698AE46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2.事故调查期间，负责人和有关人员擅离职守，1人次扣4分；</w:t>
            </w:r>
          </w:p>
          <w:p w14:paraId="44EEEF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 xml:space="preserve">3.有关人员不清楚如何配合，1人次扣2分。 </w:t>
            </w:r>
          </w:p>
        </w:tc>
        <w:tc>
          <w:tcPr>
            <w:tcW w:w="132" w:type="pct"/>
            <w:vAlign w:val="center"/>
          </w:tcPr>
          <w:p w14:paraId="5056B11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068988A">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68A75B9D">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1.制定有生产安全事故</w:t>
            </w:r>
            <w:r>
              <w:rPr>
                <w:rFonts w:hint="eastAsia" w:ascii="仿宋" w:hAnsi="仿宋" w:eastAsia="仿宋" w:cs="仿宋"/>
                <w:sz w:val="18"/>
                <w:lang w:val="en-US" w:eastAsia="zh-CN"/>
              </w:rPr>
              <w:t>报告调查分析纠正程序制度</w:t>
            </w:r>
            <w:r>
              <w:rPr>
                <w:rFonts w:hint="eastAsia" w:ascii="仿宋" w:hAnsi="仿宋" w:eastAsia="仿宋" w:cs="仿宋"/>
                <w:sz w:val="18"/>
              </w:rPr>
              <w:t>，</w:t>
            </w:r>
            <w:r>
              <w:rPr>
                <w:rFonts w:hint="eastAsia" w:ascii="仿宋" w:hAnsi="仿宋" w:eastAsia="仿宋" w:cs="仿宋"/>
                <w:sz w:val="18"/>
                <w:lang w:val="en-US" w:eastAsia="zh-CN"/>
              </w:rPr>
              <w:t>见《</w:t>
            </w:r>
            <w:r>
              <w:rPr>
                <w:rFonts w:hint="eastAsia" w:ascii="仿宋" w:hAnsi="仿宋" w:eastAsia="仿宋" w:cs="仿宋"/>
                <w:sz w:val="18"/>
              </w:rPr>
              <w:t>公司安全生产规章制度》</w:t>
            </w:r>
            <w:r>
              <w:rPr>
                <w:rFonts w:hint="eastAsia" w:ascii="仿宋" w:hAnsi="仿宋" w:eastAsia="仿宋" w:cs="仿宋"/>
                <w:sz w:val="18"/>
                <w:lang w:eastAsia="zh-CN"/>
              </w:rPr>
              <w:t>；《</w:t>
            </w:r>
            <w:r>
              <w:rPr>
                <w:rFonts w:hint="eastAsia" w:ascii="仿宋" w:hAnsi="仿宋" w:eastAsia="仿宋" w:cs="仿宋"/>
                <w:sz w:val="18"/>
                <w:lang w:val="en-US" w:eastAsia="zh-CN"/>
              </w:rPr>
              <w:t>达诺尔（湖北）微电子材料有限公司</w:t>
            </w:r>
            <w:r>
              <w:rPr>
                <w:rFonts w:hint="eastAsia" w:ascii="仿宋" w:hAnsi="仿宋" w:eastAsia="仿宋" w:cs="仿宋"/>
                <w:sz w:val="18"/>
                <w:lang w:eastAsia="zh-CN"/>
              </w:rPr>
              <w:t>生产安全事故应急救援  预案》。明确了事故报告  程序和事故报告的责任  部门、责任人。</w:t>
            </w:r>
          </w:p>
          <w:p w14:paraId="7B22B0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0C15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189689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177F78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81D8B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2.未造成人员伤亡的一般事故，县级人民政府委托企业负责组织调查的，企业应按规定成立事故调查组组织调查，按时提交事故调查报告。</w:t>
            </w:r>
          </w:p>
        </w:tc>
        <w:tc>
          <w:tcPr>
            <w:tcW w:w="710" w:type="pct"/>
          </w:tcPr>
          <w:p w14:paraId="3DBF0D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1.按规定成立事故调查组，必要时请外部专家参加事故调查组；</w:t>
            </w:r>
          </w:p>
          <w:p w14:paraId="3B5FBD6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2.认真组织一般事故调查，按时提交事故调查报告。</w:t>
            </w:r>
          </w:p>
        </w:tc>
        <w:tc>
          <w:tcPr>
            <w:tcW w:w="642" w:type="pct"/>
            <w:vAlign w:val="top"/>
          </w:tcPr>
          <w:p w14:paraId="554E4B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30643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1.事故管理规定；</w:t>
            </w:r>
          </w:p>
          <w:p w14:paraId="0EE93B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2.事故调查报告。</w:t>
            </w:r>
          </w:p>
          <w:p w14:paraId="0668570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5FBA85C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相关人员是否了解事故调查组要求、职责、一般事故调查程序。</w:t>
            </w:r>
          </w:p>
        </w:tc>
        <w:tc>
          <w:tcPr>
            <w:tcW w:w="574" w:type="pct"/>
          </w:tcPr>
          <w:p w14:paraId="59E12D7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20E7B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1.未按规定成立事故调查组，一项扣2分；</w:t>
            </w:r>
          </w:p>
          <w:p w14:paraId="7F3E601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2.未按“四不放过”原则进行事故调查、处理，一项扣2分；</w:t>
            </w:r>
          </w:p>
          <w:p w14:paraId="1C6DB0C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3.未及时提交事故调查报告，扣2分；</w:t>
            </w:r>
          </w:p>
          <w:p w14:paraId="3D9E70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4．相关人员不清楚调查要求，1人次扣1分。</w:t>
            </w:r>
          </w:p>
        </w:tc>
        <w:tc>
          <w:tcPr>
            <w:tcW w:w="132" w:type="pct"/>
            <w:vAlign w:val="center"/>
          </w:tcPr>
          <w:p w14:paraId="00C5EA7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D8B51E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10D40D0">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1.制定有生产安全事故</w:t>
            </w:r>
            <w:r>
              <w:rPr>
                <w:rFonts w:hint="eastAsia" w:ascii="仿宋" w:hAnsi="仿宋" w:eastAsia="仿宋" w:cs="仿宋"/>
                <w:sz w:val="18"/>
                <w:lang w:val="en-US" w:eastAsia="zh-CN"/>
              </w:rPr>
              <w:t>报告调查分析纠正程序制度</w:t>
            </w:r>
            <w:r>
              <w:rPr>
                <w:rFonts w:hint="eastAsia" w:ascii="仿宋" w:hAnsi="仿宋" w:eastAsia="仿宋" w:cs="仿宋"/>
                <w:sz w:val="18"/>
              </w:rPr>
              <w:t>，</w:t>
            </w:r>
            <w:r>
              <w:rPr>
                <w:rFonts w:hint="eastAsia" w:ascii="仿宋" w:hAnsi="仿宋" w:eastAsia="仿宋" w:cs="仿宋"/>
                <w:sz w:val="18"/>
                <w:lang w:val="en-US" w:eastAsia="zh-CN"/>
              </w:rPr>
              <w:t>见《</w:t>
            </w:r>
            <w:r>
              <w:rPr>
                <w:rFonts w:hint="eastAsia" w:ascii="仿宋" w:hAnsi="仿宋" w:eastAsia="仿宋" w:cs="仿宋"/>
                <w:sz w:val="18"/>
              </w:rPr>
              <w:t>公司安全生产规章制度》</w:t>
            </w:r>
            <w:r>
              <w:rPr>
                <w:rFonts w:hint="eastAsia" w:ascii="仿宋" w:hAnsi="仿宋" w:eastAsia="仿宋" w:cs="仿宋"/>
                <w:sz w:val="18"/>
                <w:lang w:eastAsia="zh-CN"/>
              </w:rPr>
              <w:t>；《</w:t>
            </w:r>
            <w:r>
              <w:rPr>
                <w:rFonts w:hint="eastAsia" w:ascii="仿宋" w:hAnsi="仿宋" w:eastAsia="仿宋" w:cs="仿宋"/>
                <w:sz w:val="18"/>
                <w:lang w:val="en-US" w:eastAsia="zh-CN"/>
              </w:rPr>
              <w:t>达诺尔（湖北）微电子材料有限公司</w:t>
            </w:r>
            <w:r>
              <w:rPr>
                <w:rFonts w:hint="eastAsia" w:ascii="仿宋" w:hAnsi="仿宋" w:eastAsia="仿宋" w:cs="仿宋"/>
                <w:sz w:val="18"/>
                <w:lang w:eastAsia="zh-CN"/>
              </w:rPr>
              <w:t>生产安全事故应急救援  预案》。明确了事故报告  程序和事故报告的责任  部门、责任人。</w:t>
            </w:r>
          </w:p>
          <w:p w14:paraId="72028DD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2、见事故报告及事故台账</w:t>
            </w:r>
          </w:p>
        </w:tc>
      </w:tr>
      <w:tr w14:paraId="7C53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89519F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4C0F1CE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727C0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3.企业应落实事故整改和预防措施，防止事故再次发生。整改和预防措施应包括：</w:t>
            </w:r>
          </w:p>
          <w:p w14:paraId="365EB4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（1）工程技术措施；</w:t>
            </w:r>
          </w:p>
          <w:p w14:paraId="439F7F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（2）培训教育措施；</w:t>
            </w:r>
          </w:p>
          <w:p w14:paraId="3E9D022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（3）管理措施。</w:t>
            </w:r>
          </w:p>
        </w:tc>
        <w:tc>
          <w:tcPr>
            <w:tcW w:w="710" w:type="pct"/>
          </w:tcPr>
          <w:p w14:paraId="75FB21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1.制定并落实事故整改和预防措施；</w:t>
            </w:r>
          </w:p>
          <w:p w14:paraId="3BDC32B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2.事故整改和预防措施要具体，有针对性和可操作性；</w:t>
            </w:r>
          </w:p>
          <w:p w14:paraId="2C9B7A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3.检查事故整改情况和预防措施落实情况。</w:t>
            </w:r>
          </w:p>
        </w:tc>
        <w:tc>
          <w:tcPr>
            <w:tcW w:w="642" w:type="pct"/>
            <w:vAlign w:val="top"/>
          </w:tcPr>
          <w:p w14:paraId="51ECD03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F00D8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事故调查报告。</w:t>
            </w:r>
          </w:p>
          <w:p w14:paraId="7580D1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现场检查：</w:t>
            </w:r>
          </w:p>
          <w:p w14:paraId="22B8586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有关事故整改和预防措施的落实情况。</w:t>
            </w:r>
          </w:p>
        </w:tc>
        <w:tc>
          <w:tcPr>
            <w:tcW w:w="574" w:type="pct"/>
          </w:tcPr>
          <w:p w14:paraId="1D67162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0DCE1E9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1.未制定或未落实事故整改和预防措施，一项扣2分；</w:t>
            </w:r>
          </w:p>
          <w:p w14:paraId="67502C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2.事故整改、预防措施不具体，缺乏针对性和可操作性，一项扣1分。</w:t>
            </w:r>
          </w:p>
        </w:tc>
        <w:tc>
          <w:tcPr>
            <w:tcW w:w="132" w:type="pct"/>
            <w:vAlign w:val="center"/>
          </w:tcPr>
          <w:p w14:paraId="7979DEC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84664EF">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851" w:type="pct"/>
          </w:tcPr>
          <w:p w14:paraId="2E18BD8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事故整改、预防措施不具体，缺乏针对性和可操作性</w:t>
            </w:r>
            <w:r>
              <w:rPr>
                <w:rFonts w:hint="eastAsia" w:ascii="仿宋" w:hAnsi="仿宋" w:eastAsia="仿宋" w:cs="仿宋"/>
                <w:sz w:val="18"/>
                <w:lang w:eastAsia="zh-CN"/>
              </w:rPr>
              <w:t>，</w:t>
            </w:r>
            <w:r>
              <w:rPr>
                <w:rFonts w:hint="eastAsia" w:ascii="仿宋" w:hAnsi="仿宋" w:eastAsia="仿宋" w:cs="仿宋"/>
                <w:sz w:val="18"/>
                <w:lang w:val="en-US" w:eastAsia="zh-CN"/>
              </w:rPr>
              <w:t>扣1分。</w:t>
            </w:r>
          </w:p>
        </w:tc>
      </w:tr>
      <w:tr w14:paraId="09E4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46788B5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A2A9FC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3E6602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4.企业应建立事故档案和事故管理台账。</w:t>
            </w:r>
          </w:p>
          <w:p w14:paraId="34653B4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570902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1.建立事故管理台账，包括未遂事故；</w:t>
            </w:r>
          </w:p>
          <w:p w14:paraId="59A432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2.建立事故档案。</w:t>
            </w:r>
          </w:p>
        </w:tc>
        <w:tc>
          <w:tcPr>
            <w:tcW w:w="642" w:type="pct"/>
            <w:vAlign w:val="top"/>
          </w:tcPr>
          <w:p w14:paraId="05DC9C3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6CA2A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1.事故管理台账；</w:t>
            </w:r>
          </w:p>
          <w:p w14:paraId="52F1318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2.事故档案；</w:t>
            </w:r>
          </w:p>
          <w:p w14:paraId="767868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78B5C4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了解企业发生的事故与台账、档案是否相符。</w:t>
            </w:r>
          </w:p>
        </w:tc>
        <w:tc>
          <w:tcPr>
            <w:tcW w:w="574" w:type="pct"/>
          </w:tcPr>
          <w:p w14:paraId="76EBB51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08129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1.未建立事故管理台账，扣5分；内容不符合要求，一项扣1分；</w:t>
            </w:r>
          </w:p>
          <w:p w14:paraId="3FCEF7F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2.未建立事故管理档案，扣5分；内容不符合要求，扣1分；</w:t>
            </w:r>
          </w:p>
          <w:p w14:paraId="1FA7145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3.发生的事故与台账、档案不相符，一项扣2分。</w:t>
            </w:r>
          </w:p>
        </w:tc>
        <w:tc>
          <w:tcPr>
            <w:tcW w:w="132" w:type="pct"/>
            <w:vAlign w:val="center"/>
          </w:tcPr>
          <w:p w14:paraId="6A2284B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17347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918C4F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已建立完善的事故管理程序，已有台账及档案。</w:t>
            </w:r>
          </w:p>
        </w:tc>
      </w:tr>
      <w:tr w14:paraId="4961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256" w:type="pct"/>
            <w:vMerge w:val="continue"/>
          </w:tcPr>
          <w:p w14:paraId="30FBFC2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63434E2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00CCD8A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2A77D02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对涉险事故、未遂事故等安全事件（如事故征兆、非计划停工、异常工况、泄漏等），按照重大、较大、一般等级别，进行分级管理，制定整改措施。</w:t>
            </w:r>
          </w:p>
        </w:tc>
        <w:tc>
          <w:tcPr>
            <w:tcW w:w="642" w:type="pct"/>
            <w:vAlign w:val="top"/>
          </w:tcPr>
          <w:p w14:paraId="56B9FF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0C344B5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1.事故管理制度；</w:t>
            </w:r>
          </w:p>
          <w:p w14:paraId="79B3A7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2.事故管理台账；</w:t>
            </w:r>
          </w:p>
          <w:p w14:paraId="362AEA7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3.已发生事件的调查处理报告。</w:t>
            </w:r>
          </w:p>
        </w:tc>
        <w:tc>
          <w:tcPr>
            <w:tcW w:w="574" w:type="pct"/>
          </w:tcPr>
          <w:p w14:paraId="68254F0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C87516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1.没有建立事件台账（扣分在台账及制度部分）。</w:t>
            </w:r>
          </w:p>
          <w:p w14:paraId="14189D3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2.对事件没有进行调查，一项扣5分。</w:t>
            </w:r>
          </w:p>
        </w:tc>
        <w:tc>
          <w:tcPr>
            <w:tcW w:w="132" w:type="pct"/>
            <w:vAlign w:val="center"/>
          </w:tcPr>
          <w:p w14:paraId="09853D2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F3E9E9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48C60E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已建立台账，所有可记录事故都有相应的调查分析报告</w:t>
            </w:r>
          </w:p>
        </w:tc>
      </w:tr>
      <w:tr w14:paraId="124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56" w:type="pct"/>
            <w:vMerge w:val="continue"/>
          </w:tcPr>
          <w:p w14:paraId="1571E0A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1F6275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tcPr>
          <w:p w14:paraId="483086B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0" w:type="pct"/>
          </w:tcPr>
          <w:p w14:paraId="755E8E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二级企业已把承包商事故纳入本企业事故管理。</w:t>
            </w:r>
          </w:p>
        </w:tc>
        <w:tc>
          <w:tcPr>
            <w:tcW w:w="642" w:type="pct"/>
            <w:vAlign w:val="top"/>
          </w:tcPr>
          <w:p w14:paraId="76E457D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1344BA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1.事故管理台账；</w:t>
            </w:r>
          </w:p>
          <w:p w14:paraId="07EC215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2.已发生事件的调查处理报告。</w:t>
            </w:r>
          </w:p>
        </w:tc>
        <w:tc>
          <w:tcPr>
            <w:tcW w:w="574" w:type="pct"/>
          </w:tcPr>
          <w:p w14:paraId="6B3167F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未将承包商事故纳入本企业事故管理，扣100分（A级要素否决项）。</w:t>
            </w:r>
          </w:p>
        </w:tc>
        <w:tc>
          <w:tcPr>
            <w:tcW w:w="716" w:type="pct"/>
          </w:tcPr>
          <w:p w14:paraId="146A5E4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14CC6BA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CC0E9B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A8607D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已纳入</w:t>
            </w:r>
          </w:p>
        </w:tc>
      </w:tr>
      <w:tr w14:paraId="4C3B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627F9FE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11检查与自评</w:t>
            </w:r>
          </w:p>
          <w:p w14:paraId="0EA5D04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（100分）</w:t>
            </w:r>
          </w:p>
          <w:p w14:paraId="20BC04F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3B45DF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49185E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7067CEF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2D2EA8C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11.1</w:t>
            </w:r>
          </w:p>
          <w:p w14:paraId="4AF1B0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安全检查</w:t>
            </w:r>
          </w:p>
          <w:p w14:paraId="29D74D3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51CBA31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1D019B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60C7A7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187A0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1.企业应严格执行安全检查管理制度，定期或不定期进行安全检查，保证安全标准化有效实施。</w:t>
            </w:r>
          </w:p>
        </w:tc>
        <w:tc>
          <w:tcPr>
            <w:tcW w:w="710" w:type="pct"/>
          </w:tcPr>
          <w:p w14:paraId="21FBB2A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明确各种安全检查的内容、频次和要求，开展安全检查。</w:t>
            </w:r>
          </w:p>
        </w:tc>
        <w:tc>
          <w:tcPr>
            <w:tcW w:w="642" w:type="pct"/>
            <w:vAlign w:val="top"/>
          </w:tcPr>
          <w:p w14:paraId="7ACD3E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20748D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安全检查管理制度。</w:t>
            </w:r>
          </w:p>
        </w:tc>
        <w:tc>
          <w:tcPr>
            <w:tcW w:w="574" w:type="pct"/>
          </w:tcPr>
          <w:p w14:paraId="6560ED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693528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未明确各种安全检查的内容、频次和要求，缺少一项扣1分。</w:t>
            </w:r>
          </w:p>
        </w:tc>
        <w:tc>
          <w:tcPr>
            <w:tcW w:w="132" w:type="pct"/>
            <w:vAlign w:val="center"/>
          </w:tcPr>
          <w:p w14:paraId="10247CF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5C1650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447FE6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1、</w:t>
            </w:r>
            <w:r>
              <w:rPr>
                <w:rFonts w:hint="eastAsia" w:ascii="仿宋" w:hAnsi="仿宋" w:eastAsia="仿宋" w:cs="仿宋"/>
                <w:sz w:val="18"/>
              </w:rPr>
              <w:t>制定了事故隐患排查治 理管理制度，明确了各种 安全检查的内容、频次和 要求，见《公司安全生产 规章制度》</w:t>
            </w:r>
          </w:p>
          <w:p w14:paraId="425F27B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p>
        </w:tc>
      </w:tr>
      <w:tr w14:paraId="17BF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7514B4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F42E33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2239516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2.企业安全检查应有明确的目的、要求、内容和计划。各种安全检查均应编制安全检查表，安全检查表应包括检查项目、检查内容、检查标准或依据、检查结果等内容。</w:t>
            </w:r>
          </w:p>
        </w:tc>
        <w:tc>
          <w:tcPr>
            <w:tcW w:w="710" w:type="pct"/>
          </w:tcPr>
          <w:p w14:paraId="0B0178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1.制定安全检查计划，明确各种检查的目的、要求、内容和负责人；</w:t>
            </w:r>
          </w:p>
          <w:p w14:paraId="2EE74D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2.编制综合、专项、节假日、季节和日常安全检查表；</w:t>
            </w:r>
          </w:p>
          <w:p w14:paraId="1D75B6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3.各种安全检查表内容全面。</w:t>
            </w:r>
          </w:p>
        </w:tc>
        <w:tc>
          <w:tcPr>
            <w:tcW w:w="642" w:type="pct"/>
            <w:vAlign w:val="top"/>
          </w:tcPr>
          <w:p w14:paraId="6B0FCE0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584157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1.安全检查计划；</w:t>
            </w:r>
          </w:p>
          <w:p w14:paraId="4B2AFC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2.各种安全检查表；</w:t>
            </w:r>
          </w:p>
          <w:p w14:paraId="1ED5320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3.安全检查表应用培训记录。</w:t>
            </w:r>
          </w:p>
        </w:tc>
        <w:tc>
          <w:tcPr>
            <w:tcW w:w="574" w:type="pct"/>
          </w:tcPr>
          <w:p w14:paraId="01EDBC3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D41F80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1.未制定安全检查计划，扣2分；</w:t>
            </w:r>
          </w:p>
          <w:p w14:paraId="76BEFB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2.安全检查表不全，缺少一种扣2分；</w:t>
            </w:r>
          </w:p>
          <w:p w14:paraId="42BB432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3.安全检查表内容不符合，一项扣1分；</w:t>
            </w:r>
          </w:p>
          <w:p w14:paraId="2C0FA22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4.未开展安全检查表应用培训，扣2分。</w:t>
            </w:r>
          </w:p>
        </w:tc>
        <w:tc>
          <w:tcPr>
            <w:tcW w:w="132" w:type="pct"/>
            <w:vAlign w:val="center"/>
          </w:tcPr>
          <w:p w14:paraId="7C59327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2AB479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7388E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1.制定有安全检查计划， 明确了各种检查的目的、 要求、内容和负责人</w:t>
            </w:r>
            <w:r>
              <w:rPr>
                <w:rFonts w:hint="eastAsia" w:ascii="仿宋" w:hAnsi="仿宋" w:eastAsia="仿宋" w:cs="仿宋"/>
                <w:sz w:val="18"/>
                <w:lang w:eastAsia="zh-CN"/>
              </w:rPr>
              <w:t>，</w:t>
            </w:r>
            <w:r>
              <w:rPr>
                <w:rFonts w:hint="eastAsia" w:ascii="仿宋" w:hAnsi="仿宋" w:eastAsia="仿宋" w:cs="仿宋"/>
                <w:sz w:val="18"/>
              </w:rPr>
              <w:t>见 《202</w:t>
            </w:r>
            <w:r>
              <w:rPr>
                <w:rFonts w:hint="eastAsia" w:ascii="仿宋" w:hAnsi="仿宋" w:eastAsia="仿宋" w:cs="仿宋"/>
                <w:sz w:val="18"/>
                <w:lang w:val="en-US" w:eastAsia="zh-CN"/>
              </w:rPr>
              <w:t>4</w:t>
            </w:r>
            <w:r>
              <w:rPr>
                <w:rFonts w:hint="eastAsia" w:ascii="仿宋" w:hAnsi="仿宋" w:eastAsia="仿宋" w:cs="仿宋"/>
                <w:sz w:val="18"/>
              </w:rPr>
              <w:t xml:space="preserve"> 年度安全检查工作计划》。</w:t>
            </w:r>
          </w:p>
          <w:p w14:paraId="44E5086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2.安全检查表</w:t>
            </w:r>
            <w:r>
              <w:rPr>
                <w:rFonts w:hint="eastAsia" w:ascii="仿宋" w:hAnsi="仿宋" w:eastAsia="仿宋" w:cs="仿宋"/>
                <w:sz w:val="18"/>
                <w:lang w:val="en-US" w:eastAsia="zh-CN"/>
              </w:rPr>
              <w:t>不全，扣2分</w:t>
            </w:r>
            <w:r>
              <w:rPr>
                <w:rFonts w:hint="eastAsia" w:ascii="仿宋" w:hAnsi="仿宋" w:eastAsia="仿宋" w:cs="仿宋"/>
                <w:sz w:val="18"/>
              </w:rPr>
              <w:t xml:space="preserve">。 </w:t>
            </w:r>
          </w:p>
          <w:p w14:paraId="33F5906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rPr>
              <w:t>3.安全检查表应用培训 已列入培训计划中，按时 进行培训。</w:t>
            </w:r>
          </w:p>
        </w:tc>
      </w:tr>
      <w:tr w14:paraId="13EB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F2E2FA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0EC3CA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7C1E4A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3.企业各种安全检查表应作为企业有效文件，并在实际应用中不断完善。</w:t>
            </w:r>
          </w:p>
        </w:tc>
        <w:tc>
          <w:tcPr>
            <w:tcW w:w="710" w:type="pct"/>
          </w:tcPr>
          <w:p w14:paraId="537DA9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1.明确各种安全检查表的编制单位、审核人、批准人；</w:t>
            </w:r>
          </w:p>
          <w:p w14:paraId="0313007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2.每年评审修订各种安全检查表。</w:t>
            </w:r>
          </w:p>
        </w:tc>
        <w:tc>
          <w:tcPr>
            <w:tcW w:w="642" w:type="pct"/>
            <w:vAlign w:val="top"/>
          </w:tcPr>
          <w:p w14:paraId="671D6A2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E64225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1.各种安全检查表；</w:t>
            </w:r>
          </w:p>
          <w:p w14:paraId="136818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2.检查表评审修订记录。</w:t>
            </w:r>
          </w:p>
        </w:tc>
        <w:tc>
          <w:tcPr>
            <w:tcW w:w="574" w:type="pct"/>
          </w:tcPr>
          <w:p w14:paraId="137C977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492BBE8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1.安全检查表缺少编制单位、审核人、批准人，一项不符合扣1分；</w:t>
            </w:r>
          </w:p>
          <w:p w14:paraId="31BA395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2.安全检查表未定期评审修订，扣2分。</w:t>
            </w:r>
          </w:p>
        </w:tc>
        <w:tc>
          <w:tcPr>
            <w:tcW w:w="132" w:type="pct"/>
            <w:vAlign w:val="center"/>
          </w:tcPr>
          <w:p w14:paraId="39E7285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03227BC">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-2</w:t>
            </w:r>
          </w:p>
        </w:tc>
        <w:tc>
          <w:tcPr>
            <w:tcW w:w="851" w:type="pct"/>
          </w:tcPr>
          <w:p w14:paraId="59B0B6B3">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安全检查表未定期评审修订</w:t>
            </w:r>
            <w:r>
              <w:rPr>
                <w:rFonts w:hint="eastAsia" w:ascii="仿宋" w:hAnsi="仿宋" w:eastAsia="仿宋" w:cs="仿宋"/>
                <w:sz w:val="18"/>
                <w:lang w:eastAsia="zh-CN"/>
              </w:rPr>
              <w:t>，</w:t>
            </w:r>
            <w:r>
              <w:rPr>
                <w:rFonts w:hint="eastAsia" w:ascii="仿宋" w:hAnsi="仿宋" w:eastAsia="仿宋" w:cs="仿宋"/>
                <w:sz w:val="18"/>
              </w:rPr>
              <w:t>扣2分</w:t>
            </w:r>
            <w:r>
              <w:rPr>
                <w:rFonts w:hint="eastAsia" w:ascii="仿宋" w:hAnsi="仿宋" w:eastAsia="仿宋" w:cs="仿宋"/>
                <w:sz w:val="18"/>
                <w:lang w:eastAsia="zh-CN"/>
              </w:rPr>
              <w:t>；</w:t>
            </w:r>
          </w:p>
        </w:tc>
      </w:tr>
      <w:tr w14:paraId="44C6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B45626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752CF9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11.2</w:t>
            </w:r>
          </w:p>
          <w:p w14:paraId="45074C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安全检查形式与内容</w:t>
            </w:r>
          </w:p>
          <w:p w14:paraId="395E653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（25分）</w:t>
            </w:r>
          </w:p>
          <w:p w14:paraId="22A5587F">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BA00B8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02D0AF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p w14:paraId="266806A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61C6E62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1.企业应根据安全检查计划，开展综合性检查、专业性检查、季节性检查、日常检查和节假日检查；各种安全检查均应按相应的安全检查表逐项检查，建立安全检查台账，并与责任制挂钩。</w:t>
            </w:r>
          </w:p>
        </w:tc>
        <w:tc>
          <w:tcPr>
            <w:tcW w:w="710" w:type="pct"/>
          </w:tcPr>
          <w:p w14:paraId="5EBDDB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1.根据安全检查计划，按相应检查表开展各种安全检查；</w:t>
            </w:r>
          </w:p>
          <w:p w14:paraId="17068BA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2.建立安全检查台账；</w:t>
            </w:r>
          </w:p>
          <w:p w14:paraId="2769B7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3.检查结果与责任制挂钩。</w:t>
            </w:r>
          </w:p>
        </w:tc>
        <w:tc>
          <w:tcPr>
            <w:tcW w:w="642" w:type="pct"/>
            <w:vAlign w:val="top"/>
          </w:tcPr>
          <w:p w14:paraId="45E4AF1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D1756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1.安全检查台账；</w:t>
            </w:r>
          </w:p>
          <w:p w14:paraId="5801459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2.检查考核记录。</w:t>
            </w:r>
          </w:p>
        </w:tc>
        <w:tc>
          <w:tcPr>
            <w:tcW w:w="574" w:type="pct"/>
          </w:tcPr>
          <w:p w14:paraId="0A8B4B2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58A12B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1.未按规定开展安全检查，扣2分；</w:t>
            </w:r>
          </w:p>
          <w:p w14:paraId="1628514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2.未建立安全检查台账，扣2分；内容一项不符合扣1分；</w:t>
            </w:r>
          </w:p>
          <w:p w14:paraId="3D24B5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3.检查结果未与责任制挂钩，一项不符合扣1分。</w:t>
            </w:r>
          </w:p>
        </w:tc>
        <w:tc>
          <w:tcPr>
            <w:tcW w:w="132" w:type="pct"/>
            <w:vAlign w:val="center"/>
          </w:tcPr>
          <w:p w14:paraId="53DA993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4500A509">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p>
        </w:tc>
        <w:tc>
          <w:tcPr>
            <w:tcW w:w="851" w:type="pct"/>
          </w:tcPr>
          <w:p w14:paraId="4AB768E4">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val="en-US" w:eastAsia="zh-CN"/>
              </w:rPr>
              <w:t>1.</w:t>
            </w:r>
            <w:r>
              <w:rPr>
                <w:rFonts w:hint="eastAsia" w:ascii="仿宋" w:hAnsi="仿宋" w:eastAsia="仿宋" w:cs="仿宋"/>
                <w:sz w:val="18"/>
              </w:rPr>
              <w:t>按计划开展安全检查，建立有隐患台账</w:t>
            </w:r>
            <w:r>
              <w:rPr>
                <w:rFonts w:hint="eastAsia" w:ascii="仿宋" w:hAnsi="仿宋" w:eastAsia="仿宋" w:cs="仿宋"/>
                <w:sz w:val="18"/>
                <w:lang w:eastAsia="zh-CN"/>
              </w:rPr>
              <w:t>。</w:t>
            </w:r>
          </w:p>
          <w:p w14:paraId="3DB85E5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2.</w:t>
            </w:r>
            <w:r>
              <w:rPr>
                <w:rFonts w:hint="eastAsia" w:ascii="仿宋" w:hAnsi="仿宋" w:eastAsia="仿宋" w:cs="仿宋"/>
                <w:sz w:val="18"/>
              </w:rPr>
              <w:t>未按规定开展安全检查，扣2分；</w:t>
            </w:r>
          </w:p>
          <w:p w14:paraId="72BBBBDE">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val="en-US" w:eastAsia="zh-CN"/>
              </w:rPr>
              <w:t>3.</w:t>
            </w:r>
            <w:r>
              <w:rPr>
                <w:rFonts w:hint="eastAsia" w:ascii="仿宋" w:hAnsi="仿宋" w:eastAsia="仿宋" w:cs="仿宋"/>
                <w:sz w:val="18"/>
              </w:rPr>
              <w:t>安全检查结果未与责任制挂钩</w:t>
            </w:r>
            <w:r>
              <w:rPr>
                <w:rFonts w:hint="eastAsia" w:ascii="仿宋" w:hAnsi="仿宋" w:eastAsia="仿宋" w:cs="仿宋"/>
                <w:sz w:val="18"/>
                <w:lang w:eastAsia="zh-CN"/>
              </w:rPr>
              <w:t>，</w:t>
            </w:r>
            <w:r>
              <w:rPr>
                <w:rFonts w:hint="eastAsia" w:ascii="仿宋" w:hAnsi="仿宋" w:eastAsia="仿宋" w:cs="仿宋"/>
                <w:sz w:val="18"/>
              </w:rPr>
              <w:t>扣1分</w:t>
            </w:r>
            <w:r>
              <w:rPr>
                <w:rFonts w:hint="eastAsia" w:ascii="仿宋" w:hAnsi="仿宋" w:eastAsia="仿宋" w:cs="仿宋"/>
                <w:sz w:val="18"/>
                <w:lang w:eastAsia="zh-CN"/>
              </w:rPr>
              <w:t>；</w:t>
            </w:r>
          </w:p>
        </w:tc>
      </w:tr>
      <w:tr w14:paraId="3747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7EBA3FB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261A2D2">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7014C51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2.企业安全检查形式和内容应满足：</w:t>
            </w:r>
          </w:p>
          <w:p w14:paraId="22A310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（1）综合性检查应由相应级别的负责人负责组织，以落实岗位安全责任制为重点，各专业共同参与的全面安全检查。厂级综合性安全检查每季度不少于1次，车间级综合性安全检查每月不少于1次；</w:t>
            </w:r>
          </w:p>
          <w:p w14:paraId="0488FC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专业检查分别由各专业部门的负责人组织本系统人员进行，主要是对锅炉、压力容器、危险物品、电气装置、机械设备、构建筑物、安全装置、防火防爆、防尘防毒、监测仪器等进行专业检查。专业检查每半年不少于1次；</w:t>
            </w:r>
          </w:p>
          <w:p w14:paraId="51D064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（3）季节性检查由各业务部门的负责人组织本系统相关人员进行，是根据当地各季节特点对防火防爆、防雨防汛、防雷电、防暑降温、防风及防冻保暖工作等进行预防性季节检查。</w:t>
            </w:r>
          </w:p>
          <w:p w14:paraId="49A085F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（4）日常检查分岗位操作人员巡回检查和管理人员日常检查。岗位操作人员应认真履行岗位安全生产责任制，进行交接班检查和班中巡回检查，各级管理人员应在各自的业务范围内进行日常检查；</w:t>
            </w:r>
          </w:p>
          <w:p w14:paraId="76CCF3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（5）节假日检查主要是对节假日前安全、保卫、消防、生产物资准备、备用设备、应急预案等方面进行的检查。</w:t>
            </w:r>
          </w:p>
        </w:tc>
        <w:tc>
          <w:tcPr>
            <w:tcW w:w="710" w:type="pct"/>
          </w:tcPr>
          <w:p w14:paraId="4F58342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企业安全检查形式和内容应满足：</w:t>
            </w:r>
          </w:p>
          <w:p w14:paraId="16DA22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（1）综合性检查应由相应级别的负责人负责组织，以落实岗位安全责任制为重点，各专业共同参与的全面安全检查。厂级综合性安全检查每季度不少于1次，车间级综合性安全检查每月不少于1次；</w:t>
            </w:r>
          </w:p>
          <w:p w14:paraId="747E77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专业检查分别由各专业部门的负责人组织本系统人员进行，主要是对特种设备、危险物品、电气装置、机械设备、构建筑物、安全装置、防火防爆、防尘防毒、监测仪器等进行专业检查。专业检查每半年不少于1次；</w:t>
            </w:r>
          </w:p>
          <w:p w14:paraId="4A86EBE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（3）季节性检查由各业务部门的负责人组织本系统相关人员进行，是根据当地各季节特点对防火防爆、防雨防汛、防雷电、防暑降温、防风及防冻保暖工作等进行预防性季节检查；</w:t>
            </w:r>
          </w:p>
          <w:p w14:paraId="50F06BD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（4）日常检查分岗位操作人员巡回检查和管理人员日常检查。岗位操作人员应认真履行岗位安全生产责任制，进行交接班检查和班中巡回检查，各级管理人员应在各自的业务范围内进行日常检查；</w:t>
            </w:r>
          </w:p>
          <w:p w14:paraId="5F6A2E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（5）节假日检查主要是对节假日前安全、保卫、消防、生产物资准备、备用设备、应急预案等方面进行的检查。</w:t>
            </w:r>
          </w:p>
        </w:tc>
        <w:tc>
          <w:tcPr>
            <w:tcW w:w="642" w:type="pct"/>
            <w:vAlign w:val="top"/>
          </w:tcPr>
          <w:p w14:paraId="1FA133E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67C79A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各种安全检查记录。</w:t>
            </w:r>
          </w:p>
        </w:tc>
        <w:tc>
          <w:tcPr>
            <w:tcW w:w="574" w:type="pct"/>
          </w:tcPr>
          <w:p w14:paraId="4CC43C9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70EE738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各种安全检查不符合标准要求，一项扣2分。</w:t>
            </w:r>
          </w:p>
        </w:tc>
        <w:tc>
          <w:tcPr>
            <w:tcW w:w="132" w:type="pct"/>
            <w:vAlign w:val="center"/>
          </w:tcPr>
          <w:p w14:paraId="34449F6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6EC55E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4FC1C397">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明确了各类安全检查的频次要求，有对应的检查记录，见《公司安全生产规章制度》中“事故隐患排查治理管理制度 ”及各类安全检查表</w:t>
            </w:r>
            <w:r>
              <w:rPr>
                <w:rFonts w:hint="eastAsia" w:ascii="仿宋" w:hAnsi="仿宋" w:eastAsia="仿宋" w:cs="仿宋"/>
                <w:sz w:val="18"/>
                <w:lang w:eastAsia="zh-CN"/>
              </w:rPr>
              <w:t>。</w:t>
            </w:r>
          </w:p>
        </w:tc>
      </w:tr>
      <w:tr w14:paraId="2712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256" w:type="pct"/>
            <w:vMerge w:val="continue"/>
          </w:tcPr>
          <w:p w14:paraId="7C69C71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6A27393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11.3</w:t>
            </w:r>
          </w:p>
          <w:p w14:paraId="6D4FCA9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整改</w:t>
            </w:r>
          </w:p>
          <w:p w14:paraId="29E1B2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（20分）</w:t>
            </w:r>
          </w:p>
          <w:p w14:paraId="6A7D106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5C9DE81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1.企业应对安全检查所查出的问题进行原因分析，制定整改措施，落实整改时间、责任人，并对整改情况进行验证，保存相应记录。</w:t>
            </w:r>
          </w:p>
        </w:tc>
        <w:tc>
          <w:tcPr>
            <w:tcW w:w="710" w:type="pct"/>
          </w:tcPr>
          <w:p w14:paraId="06AEFEC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1.对检查出的问题进行原因分析，及时进行整改；</w:t>
            </w:r>
          </w:p>
          <w:p w14:paraId="45609B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2.对整改情况进行验证；</w:t>
            </w:r>
          </w:p>
          <w:p w14:paraId="1EB7BF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3.保存检查、整改和验证等相关记录。</w:t>
            </w:r>
          </w:p>
        </w:tc>
        <w:tc>
          <w:tcPr>
            <w:tcW w:w="642" w:type="pct"/>
            <w:vAlign w:val="top"/>
          </w:tcPr>
          <w:p w14:paraId="12BDB3C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3391E7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1.安全检查台账；</w:t>
            </w:r>
          </w:p>
          <w:p w14:paraId="1A66B61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2.检查问题整改记录。</w:t>
            </w:r>
          </w:p>
        </w:tc>
        <w:tc>
          <w:tcPr>
            <w:tcW w:w="574" w:type="pct"/>
          </w:tcPr>
          <w:p w14:paraId="489405A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211323E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1.未对安全检查所查出的问题进行原因分析，一项扣1分；</w:t>
            </w:r>
          </w:p>
          <w:p w14:paraId="75BDA9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2.未对安全检查所查出的问题进行整改，一项扣2分；</w:t>
            </w:r>
          </w:p>
          <w:p w14:paraId="392FF20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3.未对整改情况进行验证，一项扣2分；</w:t>
            </w:r>
          </w:p>
          <w:p w14:paraId="7AC157A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4.未保存相应记录，一项扣2分。</w:t>
            </w:r>
          </w:p>
        </w:tc>
        <w:tc>
          <w:tcPr>
            <w:tcW w:w="132" w:type="pct"/>
            <w:vAlign w:val="center"/>
          </w:tcPr>
          <w:p w14:paraId="540A5BE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13348E5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-10</w:t>
            </w:r>
          </w:p>
        </w:tc>
        <w:tc>
          <w:tcPr>
            <w:tcW w:w="851" w:type="pct"/>
          </w:tcPr>
          <w:p w14:paraId="321CF78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w:t>
            </w:r>
            <w:r>
              <w:rPr>
                <w:rFonts w:hint="eastAsia" w:ascii="仿宋" w:hAnsi="仿宋" w:eastAsia="仿宋" w:cs="仿宋"/>
                <w:sz w:val="18"/>
                <w:lang w:val="en-US" w:eastAsia="zh-CN"/>
              </w:rPr>
              <w:t>部分</w:t>
            </w:r>
            <w:r>
              <w:rPr>
                <w:rFonts w:hint="eastAsia" w:ascii="仿宋" w:hAnsi="仿宋" w:eastAsia="仿宋" w:cs="仿宋"/>
                <w:sz w:val="18"/>
              </w:rPr>
              <w:t>未对安全检查所查出的 问题进行原因分析，扣 10 分。</w:t>
            </w:r>
          </w:p>
          <w:p w14:paraId="0DCEF0D6">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2.对安全检查所查出的问 题进行了整改，且对整改 情况进行了验证，见隐患 台账。</w:t>
            </w:r>
          </w:p>
        </w:tc>
      </w:tr>
      <w:tr w14:paraId="492E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56" w:type="pct"/>
            <w:vMerge w:val="continue"/>
          </w:tcPr>
          <w:p w14:paraId="6B7A94E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08E4606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top"/>
          </w:tcPr>
          <w:p w14:paraId="15DCB34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2.企业各种检查的主管部门应对各级组织和人员检查出的问题和整改情况定期进行检查。</w:t>
            </w:r>
          </w:p>
        </w:tc>
        <w:tc>
          <w:tcPr>
            <w:tcW w:w="710" w:type="pct"/>
          </w:tcPr>
          <w:p w14:paraId="6FA985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各种检查的主管部门对各级组织检查出的问题和整改情况定期检查。</w:t>
            </w:r>
          </w:p>
        </w:tc>
        <w:tc>
          <w:tcPr>
            <w:tcW w:w="642" w:type="pct"/>
            <w:vAlign w:val="top"/>
          </w:tcPr>
          <w:p w14:paraId="4718174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60CC22B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检查记录。</w:t>
            </w:r>
          </w:p>
        </w:tc>
        <w:tc>
          <w:tcPr>
            <w:tcW w:w="574" w:type="pct"/>
          </w:tcPr>
          <w:p w14:paraId="402B517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tcPr>
          <w:p w14:paraId="1DD45E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未对检查出的问题和整改情况定期检查，扣4分。</w:t>
            </w:r>
          </w:p>
        </w:tc>
        <w:tc>
          <w:tcPr>
            <w:tcW w:w="132" w:type="pct"/>
            <w:vAlign w:val="center"/>
          </w:tcPr>
          <w:p w14:paraId="2B411E4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9925E2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0D88FD6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EHS部</w:t>
            </w:r>
            <w:r>
              <w:rPr>
                <w:rFonts w:hint="eastAsia" w:ascii="仿宋" w:hAnsi="仿宋" w:eastAsia="仿宋" w:cs="仿宋"/>
                <w:sz w:val="18"/>
              </w:rPr>
              <w:t>对检查出的问题和整改情况定期进行检查，见隐患台账。</w:t>
            </w:r>
          </w:p>
        </w:tc>
      </w:tr>
      <w:tr w14:paraId="31D2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3ECE1B37">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001C53B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11.4</w:t>
            </w:r>
          </w:p>
          <w:p w14:paraId="3C2E54A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自评</w:t>
            </w:r>
          </w:p>
          <w:p w14:paraId="6BEC9E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（30分）</w:t>
            </w:r>
          </w:p>
        </w:tc>
        <w:tc>
          <w:tcPr>
            <w:tcW w:w="719" w:type="pct"/>
          </w:tcPr>
          <w:p w14:paraId="415EB86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企业应每年至少1次对安全标准化运行进行自评，提出进一步完善安全标准化的计划和措施。</w:t>
            </w:r>
          </w:p>
        </w:tc>
        <w:tc>
          <w:tcPr>
            <w:tcW w:w="710" w:type="pct"/>
          </w:tcPr>
          <w:p w14:paraId="6C0BE98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1.明确自评时间；</w:t>
            </w:r>
          </w:p>
          <w:p w14:paraId="172CD2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2.制定自评计划；</w:t>
            </w:r>
          </w:p>
          <w:p w14:paraId="59257B4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3.编制自评检查表；</w:t>
            </w:r>
          </w:p>
          <w:p w14:paraId="506DEED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4.建立自评组织；</w:t>
            </w:r>
          </w:p>
          <w:p w14:paraId="181E008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5.每年至少1次进行安全标准化自评；</w:t>
            </w:r>
          </w:p>
          <w:p w14:paraId="7E2A855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6.编制自评报告；</w:t>
            </w:r>
          </w:p>
          <w:p w14:paraId="576F081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7.提出进一步完善的计划和措施；</w:t>
            </w:r>
          </w:p>
          <w:p w14:paraId="0913383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8.对自评有关资料存档管理。</w:t>
            </w:r>
          </w:p>
        </w:tc>
        <w:tc>
          <w:tcPr>
            <w:tcW w:w="642" w:type="pct"/>
          </w:tcPr>
          <w:p w14:paraId="4545FE1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82A3B37">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1.安全标准化自评管理制度；</w:t>
            </w:r>
          </w:p>
          <w:p w14:paraId="20B4ED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2.开展自评的相关文件资料；</w:t>
            </w:r>
          </w:p>
          <w:p w14:paraId="042110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3.进一步完善的安全标准化工作的计划和措施。</w:t>
            </w:r>
          </w:p>
        </w:tc>
        <w:tc>
          <w:tcPr>
            <w:tcW w:w="574" w:type="pct"/>
          </w:tcPr>
          <w:p w14:paraId="3324940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未进行自评，扣100分（A级要素否决项）。</w:t>
            </w:r>
          </w:p>
        </w:tc>
        <w:tc>
          <w:tcPr>
            <w:tcW w:w="716" w:type="pct"/>
          </w:tcPr>
          <w:p w14:paraId="2471307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1.自评文件不全，一项不符合扣1分；</w:t>
            </w:r>
          </w:p>
          <w:p w14:paraId="5C211EE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2.未制定并落实进一步完善计划和措施，扣2分；</w:t>
            </w:r>
          </w:p>
          <w:p w14:paraId="09A120E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3.不符合项未整改，或整改不符合要求，一项扣2分。</w:t>
            </w:r>
          </w:p>
        </w:tc>
        <w:tc>
          <w:tcPr>
            <w:tcW w:w="132" w:type="pct"/>
            <w:vAlign w:val="center"/>
          </w:tcPr>
          <w:p w14:paraId="143517F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D8B6D86">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-3</w:t>
            </w:r>
          </w:p>
        </w:tc>
        <w:tc>
          <w:tcPr>
            <w:tcW w:w="851" w:type="pct"/>
          </w:tcPr>
          <w:p w14:paraId="5E23DF9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1.已明确自评时间，每年 进行 1 次自评，见《自评 报告》。</w:t>
            </w:r>
          </w:p>
          <w:p w14:paraId="5316ECC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2.制定了自评计划，成立 了自评小组，针对自评扣 分项制定了进一步完善 的计划和措施。</w:t>
            </w:r>
          </w:p>
          <w:p w14:paraId="36210E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en-US" w:eastAsia="zh-CN"/>
              </w:rPr>
              <w:t>3.</w:t>
            </w:r>
            <w:r>
              <w:rPr>
                <w:rFonts w:hint="eastAsia" w:ascii="仿宋" w:hAnsi="仿宋" w:eastAsia="仿宋" w:cs="仿宋"/>
                <w:sz w:val="18"/>
              </w:rPr>
              <w:t>自评文件不全，一项不符合扣1分；</w:t>
            </w:r>
          </w:p>
          <w:p w14:paraId="5B7DEAEE">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r>
      <w:tr w14:paraId="7591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restart"/>
          </w:tcPr>
          <w:p w14:paraId="2DA95A3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12本地区的要求（100分）</w:t>
            </w:r>
          </w:p>
        </w:tc>
        <w:tc>
          <w:tcPr>
            <w:tcW w:w="244" w:type="pct"/>
            <w:vMerge w:val="restart"/>
            <w:vAlign w:val="center"/>
          </w:tcPr>
          <w:p w14:paraId="724361C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12.1</w:t>
            </w:r>
          </w:p>
          <w:p w14:paraId="6D2504C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从业人员(40分)</w:t>
            </w:r>
          </w:p>
        </w:tc>
        <w:tc>
          <w:tcPr>
            <w:tcW w:w="719" w:type="pct"/>
            <w:vAlign w:val="center"/>
          </w:tcPr>
          <w:p w14:paraId="2E9390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1.危险化学品生产、使用、有储存设施的经营单位的主要负责人、安全负责人、技术负责人应具备相应学历及从业经历；</w:t>
            </w:r>
          </w:p>
        </w:tc>
        <w:tc>
          <w:tcPr>
            <w:tcW w:w="710" w:type="pct"/>
            <w:vAlign w:val="center"/>
          </w:tcPr>
          <w:p w14:paraId="3022113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化学品生产、使用主要单位负责人、安全负责人、技术负责人中至少1人具备国民教育化工专业本科以上学历，并有3年以上化工行业从业经历；有储存设施的经营单位单位的主要负责人、安全负责人中至少1人具备国民教育化工或相应专业专科以上学历。</w:t>
            </w:r>
          </w:p>
        </w:tc>
        <w:tc>
          <w:tcPr>
            <w:tcW w:w="642" w:type="pct"/>
            <w:vAlign w:val="top"/>
          </w:tcPr>
          <w:p w14:paraId="602A3AF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5AC2417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查相关毕业证原件</w:t>
            </w:r>
          </w:p>
        </w:tc>
        <w:tc>
          <w:tcPr>
            <w:tcW w:w="574" w:type="pct"/>
            <w:vAlign w:val="top"/>
          </w:tcPr>
          <w:p w14:paraId="3BD33B5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67F20167">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eastAsia="zh-CN"/>
              </w:rPr>
              <w:t>无相应证件扣10分</w:t>
            </w:r>
          </w:p>
          <w:p w14:paraId="249B790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32" w:type="pct"/>
            <w:vAlign w:val="center"/>
          </w:tcPr>
          <w:p w14:paraId="09DF127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ABBBDF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CCAF57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全部符合要求</w:t>
            </w:r>
          </w:p>
        </w:tc>
      </w:tr>
      <w:tr w14:paraId="2AAF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AAA1D9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7F0D448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center"/>
          </w:tcPr>
          <w:p w14:paraId="67FA60A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从业人员500人以上的从业单位应当按照不少于安全生产管理人员30%的比例配备注册安全工程师；从业人员500人以下的，应当至少配备1名注册安全工程师或者委托安全生产中介机构选派注册安全工程师提供安全生产服务；</w:t>
            </w:r>
          </w:p>
        </w:tc>
        <w:tc>
          <w:tcPr>
            <w:tcW w:w="710" w:type="pct"/>
            <w:vAlign w:val="center"/>
          </w:tcPr>
          <w:p w14:paraId="2FBAC2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企业应以明确方式确定安全生产管理人员及其岗位；</w:t>
            </w:r>
          </w:p>
          <w:p w14:paraId="65A8435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2.企业应当建立安全生产管理人员名录；</w:t>
            </w:r>
          </w:p>
          <w:p w14:paraId="1E05ACE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企业委托安全生产中介机构提供安全生产服务的，应当与其订立安全服务合同，有效期不得小于1年。</w:t>
            </w:r>
          </w:p>
        </w:tc>
        <w:tc>
          <w:tcPr>
            <w:tcW w:w="642" w:type="pct"/>
            <w:vAlign w:val="top"/>
          </w:tcPr>
          <w:p w14:paraId="3F017F2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768C5F4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1.企业与安全管理人员订立的合同或公司任命文件；</w:t>
            </w:r>
          </w:p>
          <w:p w14:paraId="4CB40D5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2.公司主要负责人签署的安全生产管理人员名录并定期更新记录；</w:t>
            </w:r>
          </w:p>
          <w:p w14:paraId="414D0AC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3.企业委托安全生产中介机构提供安全生产服务的，查签订的安全服务合同。</w:t>
            </w:r>
          </w:p>
        </w:tc>
        <w:tc>
          <w:tcPr>
            <w:tcW w:w="574" w:type="pct"/>
            <w:vAlign w:val="top"/>
          </w:tcPr>
          <w:p w14:paraId="4174610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未配备注册安全工程师。</w:t>
            </w:r>
          </w:p>
          <w:p w14:paraId="60267DA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（B级要素否决项）。</w:t>
            </w:r>
          </w:p>
        </w:tc>
        <w:tc>
          <w:tcPr>
            <w:tcW w:w="716" w:type="pct"/>
            <w:vAlign w:val="center"/>
          </w:tcPr>
          <w:p w14:paraId="14E33DE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企业与安全管理人员订立的合同或公司任命文件，缺少一份（人）合同或任命文件扣5分；</w:t>
            </w:r>
          </w:p>
          <w:p w14:paraId="462B801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2.无公司主要负责人签署的安全生产管理人员名录、名录上与实际情况不符合、未及时更新名录或文本的扣5分；</w:t>
            </w:r>
          </w:p>
          <w:p w14:paraId="271F0D7B">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企业委托安全生产中介机构提供安全生产服务的，无安全服务合同或安全服务机构不符合规定的，扣5分。</w:t>
            </w:r>
          </w:p>
        </w:tc>
        <w:tc>
          <w:tcPr>
            <w:tcW w:w="132" w:type="pct"/>
            <w:vAlign w:val="center"/>
          </w:tcPr>
          <w:p w14:paraId="2C2DE87E">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6B54D10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215DFB8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已按要求设置了专门的安全管理机构，配置了4名注册安全工程师。</w:t>
            </w:r>
          </w:p>
        </w:tc>
      </w:tr>
      <w:tr w14:paraId="043E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23FACF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51C147F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center"/>
          </w:tcPr>
          <w:p w14:paraId="22889BF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 危险工艺岗位操作人员应当具有国民教育化工专业中等职业教育以上学历，或者具有高中学历且经过专业机构培训合格；</w:t>
            </w:r>
          </w:p>
        </w:tc>
        <w:tc>
          <w:tcPr>
            <w:tcW w:w="710" w:type="pct"/>
            <w:vAlign w:val="center"/>
          </w:tcPr>
          <w:p w14:paraId="23871D3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1.建立危险工艺岗位操作人员名录；</w:t>
            </w:r>
          </w:p>
          <w:p w14:paraId="13D2A88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危险工艺岗位操作人员应当具有国民教育化工专业中等职业教育以上学历，或者具有高中学历且经过专业机构培训合格。</w:t>
            </w:r>
          </w:p>
        </w:tc>
        <w:tc>
          <w:tcPr>
            <w:tcW w:w="642" w:type="pct"/>
            <w:vAlign w:val="top"/>
          </w:tcPr>
          <w:p w14:paraId="28E6AC1E">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173625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危险工艺岗位操作人员名录；</w:t>
            </w:r>
          </w:p>
          <w:p w14:paraId="472EFC2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危险工艺岗位操作人员学历证书或专业机构培训合格证书。</w:t>
            </w:r>
          </w:p>
          <w:p w14:paraId="3B21706D">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询问：</w:t>
            </w:r>
          </w:p>
          <w:p w14:paraId="32BF6F5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危险工艺岗位操作人员掌握相关知识的程度。</w:t>
            </w:r>
          </w:p>
        </w:tc>
        <w:tc>
          <w:tcPr>
            <w:tcW w:w="574" w:type="pct"/>
            <w:vAlign w:val="top"/>
          </w:tcPr>
          <w:p w14:paraId="28095D0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7508104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缺少危险工艺岗位操作人员名录，扣5分。</w:t>
            </w:r>
          </w:p>
          <w:p w14:paraId="4B4F9BD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危险工艺岗位操作人员学历证书或专业机构培训合格证书，缺少一人证书的扣1分，5分扣完为止。</w:t>
            </w:r>
          </w:p>
          <w:p w14:paraId="0BDBA28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无记录或文件扣5分。</w:t>
            </w:r>
          </w:p>
        </w:tc>
        <w:tc>
          <w:tcPr>
            <w:tcW w:w="132" w:type="pct"/>
            <w:vAlign w:val="center"/>
          </w:tcPr>
          <w:p w14:paraId="323A9F97">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537C1915">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111DB2AD">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未涉及危险工艺</w:t>
            </w:r>
          </w:p>
        </w:tc>
      </w:tr>
      <w:tr w14:paraId="2102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502B807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3933AA89">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center"/>
          </w:tcPr>
          <w:p w14:paraId="191E7DB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4.企业安全生产管理人员的待遇应高于同级同职其他岗位管理人员的待遇。</w:t>
            </w:r>
          </w:p>
        </w:tc>
        <w:tc>
          <w:tcPr>
            <w:tcW w:w="710" w:type="pct"/>
            <w:vAlign w:val="center"/>
          </w:tcPr>
          <w:p w14:paraId="10200E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企业安全生产管理人员的待遇应高于同级同职其他岗位管理人员的待遇。</w:t>
            </w:r>
          </w:p>
        </w:tc>
        <w:tc>
          <w:tcPr>
            <w:tcW w:w="642" w:type="pct"/>
            <w:vAlign w:val="top"/>
          </w:tcPr>
          <w:p w14:paraId="57FB77A6">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54EA54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财务记录；行政文件</w:t>
            </w:r>
          </w:p>
        </w:tc>
        <w:tc>
          <w:tcPr>
            <w:tcW w:w="574" w:type="pct"/>
            <w:vAlign w:val="top"/>
          </w:tcPr>
          <w:p w14:paraId="163CB8A0">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7921CD7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 缺少危险工艺岗位操作人员名录，扣5分。</w:t>
            </w:r>
          </w:p>
          <w:p w14:paraId="2F69C7F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 危险工艺岗位操作人员学历证书或专业机构培训合格证书，缺少一人证书的扣1分，5分扣完为止。</w:t>
            </w:r>
          </w:p>
          <w:p w14:paraId="1FC184D2">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无记录或文件扣5分。</w:t>
            </w:r>
          </w:p>
        </w:tc>
        <w:tc>
          <w:tcPr>
            <w:tcW w:w="132" w:type="pct"/>
            <w:vAlign w:val="center"/>
          </w:tcPr>
          <w:p w14:paraId="26FB1224">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0C618C68">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-5</w:t>
            </w:r>
          </w:p>
        </w:tc>
        <w:tc>
          <w:tcPr>
            <w:tcW w:w="851" w:type="pct"/>
          </w:tcPr>
          <w:p w14:paraId="10513A9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部分不符合</w:t>
            </w:r>
          </w:p>
        </w:tc>
      </w:tr>
      <w:tr w14:paraId="4B2B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647C5D6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tcPr>
          <w:p w14:paraId="0716C8FB">
            <w:pPr>
              <w:keepNext w:val="0"/>
              <w:keepLines w:val="0"/>
              <w:suppressLineNumbers w:val="0"/>
              <w:spacing w:before="0" w:beforeAutospacing="0" w:after="0" w:afterAutospacing="0" w:line="280" w:lineRule="exact"/>
              <w:ind w:left="0" w:right="0"/>
              <w:rPr>
                <w:rFonts w:hint="eastAsia" w:ascii="仿宋" w:hAnsi="仿宋" w:eastAsia="仿宋" w:cs="仿宋"/>
                <w:sz w:val="18"/>
                <w:lang w:val="zh-CN"/>
              </w:rPr>
            </w:pPr>
            <w:r>
              <w:rPr>
                <w:rFonts w:hint="eastAsia" w:ascii="仿宋" w:hAnsi="仿宋" w:eastAsia="仿宋" w:cs="仿宋"/>
                <w:sz w:val="18"/>
                <w:lang w:val="zh-CN"/>
              </w:rPr>
              <w:t>12.2工艺安全</w:t>
            </w:r>
          </w:p>
          <w:p w14:paraId="30B2AEE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lang w:val="zh-CN"/>
              </w:rPr>
              <w:t>（30分）</w:t>
            </w:r>
          </w:p>
        </w:tc>
        <w:tc>
          <w:tcPr>
            <w:tcW w:w="719" w:type="pct"/>
            <w:vAlign w:val="center"/>
          </w:tcPr>
          <w:p w14:paraId="1FB7489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第三类压力容器、储存火灾危险性为甲、乙类物品的球形储罐必须保证运行安全。</w:t>
            </w:r>
          </w:p>
        </w:tc>
        <w:tc>
          <w:tcPr>
            <w:tcW w:w="710" w:type="pct"/>
            <w:vAlign w:val="center"/>
          </w:tcPr>
          <w:p w14:paraId="62D41DFD">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642" w:type="pct"/>
            <w:vAlign w:val="top"/>
          </w:tcPr>
          <w:p w14:paraId="5393DD91">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vAlign w:val="top"/>
          </w:tcPr>
          <w:p w14:paraId="5A2517C5">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7914E854">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49A77D00">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rPr>
              <w:t>检验检测报告</w:t>
            </w:r>
            <w:r>
              <w:rPr>
                <w:rFonts w:hint="eastAsia" w:ascii="仿宋" w:hAnsi="仿宋" w:eastAsia="仿宋" w:cs="仿宋"/>
                <w:sz w:val="18"/>
                <w:lang w:eastAsia="zh-CN"/>
              </w:rPr>
              <w:t>；</w:t>
            </w:r>
          </w:p>
          <w:p w14:paraId="2ADC852D">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eastAsia="zh-CN"/>
              </w:rPr>
              <w:t>第三类压力容器、储存火灾危险性为甲、乙类物品的球形储罐检验不合格。</w:t>
            </w:r>
          </w:p>
          <w:p w14:paraId="36E23E30">
            <w:pPr>
              <w:keepNext w:val="0"/>
              <w:keepLines w:val="0"/>
              <w:suppressLineNumbers w:val="0"/>
              <w:spacing w:before="0" w:beforeAutospacing="0" w:after="0" w:afterAutospacing="0" w:line="280" w:lineRule="exact"/>
              <w:ind w:left="0" w:right="0"/>
              <w:rPr>
                <w:rFonts w:hint="eastAsia" w:ascii="仿宋" w:hAnsi="仿宋" w:eastAsia="仿宋" w:cs="仿宋"/>
                <w:sz w:val="18"/>
                <w:lang w:eastAsia="zh-CN"/>
              </w:rPr>
            </w:pPr>
            <w:r>
              <w:rPr>
                <w:rFonts w:hint="eastAsia" w:ascii="仿宋" w:hAnsi="仿宋" w:eastAsia="仿宋" w:cs="仿宋"/>
                <w:sz w:val="18"/>
                <w:lang w:eastAsia="zh-CN"/>
              </w:rPr>
              <w:t>（A级要素否决项）；</w:t>
            </w:r>
          </w:p>
        </w:tc>
        <w:tc>
          <w:tcPr>
            <w:tcW w:w="132" w:type="pct"/>
            <w:vAlign w:val="center"/>
          </w:tcPr>
          <w:p w14:paraId="3D8AEA21">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37546F5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5210073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符合要求</w:t>
            </w:r>
          </w:p>
        </w:tc>
      </w:tr>
      <w:tr w14:paraId="651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115E25A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restart"/>
          </w:tcPr>
          <w:p w14:paraId="31E65F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12.3</w:t>
            </w:r>
          </w:p>
          <w:p w14:paraId="45D15F5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安全管理</w:t>
            </w:r>
          </w:p>
          <w:p w14:paraId="721A6573">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（30分）</w:t>
            </w:r>
          </w:p>
        </w:tc>
        <w:tc>
          <w:tcPr>
            <w:tcW w:w="719" w:type="pct"/>
            <w:vAlign w:val="center"/>
          </w:tcPr>
          <w:p w14:paraId="435CD46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1.厂容厂貌整洁；</w:t>
            </w:r>
          </w:p>
        </w:tc>
        <w:tc>
          <w:tcPr>
            <w:tcW w:w="710" w:type="pct"/>
            <w:vAlign w:val="center"/>
          </w:tcPr>
          <w:p w14:paraId="35282F25">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1.厂区道路整洁；</w:t>
            </w:r>
          </w:p>
          <w:p w14:paraId="1F0D5869">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2.生产区域无明显跑冒滴漏；</w:t>
            </w:r>
          </w:p>
          <w:p w14:paraId="4E6CFBB8">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3.安全标志、标识清晰明显；</w:t>
            </w:r>
          </w:p>
          <w:p w14:paraId="1C29AF7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4.厂区有绿化。</w:t>
            </w:r>
          </w:p>
        </w:tc>
        <w:tc>
          <w:tcPr>
            <w:tcW w:w="642" w:type="pct"/>
            <w:vAlign w:val="top"/>
          </w:tcPr>
          <w:p w14:paraId="0F18EB5C">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查现场</w:t>
            </w:r>
          </w:p>
        </w:tc>
        <w:tc>
          <w:tcPr>
            <w:tcW w:w="574" w:type="pct"/>
            <w:vAlign w:val="top"/>
          </w:tcPr>
          <w:p w14:paraId="57422853">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3167B79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总分20分，一项不符合扣5分</w:t>
            </w:r>
          </w:p>
        </w:tc>
        <w:tc>
          <w:tcPr>
            <w:tcW w:w="132" w:type="pct"/>
            <w:vAlign w:val="center"/>
          </w:tcPr>
          <w:p w14:paraId="3155256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152" w:type="pct"/>
            <w:vAlign w:val="center"/>
          </w:tcPr>
          <w:p w14:paraId="27E39C83">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0</w:t>
            </w:r>
          </w:p>
        </w:tc>
        <w:tc>
          <w:tcPr>
            <w:tcW w:w="851" w:type="pct"/>
          </w:tcPr>
          <w:p w14:paraId="3E0F8822">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符合要求</w:t>
            </w:r>
          </w:p>
        </w:tc>
      </w:tr>
      <w:tr w14:paraId="6695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6" w:type="pct"/>
            <w:vMerge w:val="continue"/>
          </w:tcPr>
          <w:p w14:paraId="23C9BDD8">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244" w:type="pct"/>
            <w:vMerge w:val="continue"/>
          </w:tcPr>
          <w:p w14:paraId="1069121B">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9" w:type="pct"/>
            <w:vAlign w:val="center"/>
          </w:tcPr>
          <w:p w14:paraId="231E6681">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2.承包商的安全协议。</w:t>
            </w:r>
          </w:p>
        </w:tc>
        <w:tc>
          <w:tcPr>
            <w:tcW w:w="710" w:type="pct"/>
            <w:vAlign w:val="center"/>
          </w:tcPr>
          <w:p w14:paraId="0D73AB1A">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湖北省《危险化学品生产企业安全管理制度编写指导纲要（试行）》的通知（鄂安监规2011 4号文）</w:t>
            </w:r>
          </w:p>
        </w:tc>
        <w:tc>
          <w:tcPr>
            <w:tcW w:w="642" w:type="pct"/>
            <w:vAlign w:val="top"/>
          </w:tcPr>
          <w:p w14:paraId="5D28E670">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查文件：</w:t>
            </w:r>
          </w:p>
          <w:p w14:paraId="24896E8C">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574" w:type="pct"/>
            <w:vAlign w:val="top"/>
          </w:tcPr>
          <w:p w14:paraId="3F62E866">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716" w:type="pct"/>
            <w:vAlign w:val="center"/>
          </w:tcPr>
          <w:p w14:paraId="5E40B27F">
            <w:pPr>
              <w:keepNext w:val="0"/>
              <w:keepLines w:val="0"/>
              <w:suppressLineNumbers w:val="0"/>
              <w:spacing w:before="0" w:beforeAutospacing="0" w:after="0" w:afterAutospacing="0" w:line="280" w:lineRule="exact"/>
              <w:ind w:left="0" w:right="0"/>
              <w:rPr>
                <w:rFonts w:hint="eastAsia" w:ascii="仿宋" w:hAnsi="仿宋" w:eastAsia="仿宋" w:cs="仿宋"/>
                <w:sz w:val="18"/>
              </w:rPr>
            </w:pPr>
            <w:r>
              <w:rPr>
                <w:rFonts w:hint="eastAsia" w:ascii="仿宋" w:hAnsi="仿宋" w:eastAsia="仿宋" w:cs="仿宋"/>
                <w:sz w:val="18"/>
              </w:rPr>
              <w:t>无此项扣10分</w:t>
            </w:r>
          </w:p>
        </w:tc>
        <w:tc>
          <w:tcPr>
            <w:tcW w:w="132" w:type="pct"/>
            <w:vAlign w:val="center"/>
          </w:tcPr>
          <w:p w14:paraId="43E75D1A">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152" w:type="pct"/>
            <w:vAlign w:val="center"/>
          </w:tcPr>
          <w:p w14:paraId="5D233384">
            <w:pPr>
              <w:keepNext w:val="0"/>
              <w:keepLines w:val="0"/>
              <w:suppressLineNumbers w:val="0"/>
              <w:spacing w:before="0" w:beforeAutospacing="0" w:after="0" w:afterAutospacing="0" w:line="280" w:lineRule="exact"/>
              <w:ind w:left="0" w:right="0"/>
              <w:rPr>
                <w:rFonts w:hint="eastAsia" w:ascii="仿宋" w:hAnsi="仿宋" w:eastAsia="仿宋" w:cs="仿宋"/>
                <w:sz w:val="18"/>
              </w:rPr>
            </w:pPr>
          </w:p>
        </w:tc>
        <w:tc>
          <w:tcPr>
            <w:tcW w:w="851" w:type="pct"/>
          </w:tcPr>
          <w:p w14:paraId="5C81BD10">
            <w:pPr>
              <w:keepNext w:val="0"/>
              <w:keepLines w:val="0"/>
              <w:suppressLineNumbers w:val="0"/>
              <w:spacing w:before="0" w:beforeAutospacing="0" w:after="0" w:afterAutospacing="0" w:line="280" w:lineRule="exact"/>
              <w:ind w:left="0" w:right="0"/>
              <w:rPr>
                <w:rFonts w:hint="eastAsia" w:ascii="仿宋" w:hAnsi="仿宋" w:eastAsia="仿宋" w:cs="仿宋"/>
                <w:sz w:val="18"/>
                <w:lang w:val="en-US" w:eastAsia="zh-CN"/>
              </w:rPr>
            </w:pPr>
            <w:r>
              <w:rPr>
                <w:rFonts w:hint="eastAsia" w:ascii="仿宋" w:hAnsi="仿宋" w:eastAsia="仿宋" w:cs="仿宋"/>
                <w:sz w:val="18"/>
                <w:lang w:val="en-US" w:eastAsia="zh-CN"/>
              </w:rPr>
              <w:t>符合要求</w:t>
            </w:r>
          </w:p>
        </w:tc>
      </w:tr>
    </w:tbl>
    <w:p w14:paraId="13069A0A">
      <w:pPr>
        <w:spacing w:line="280" w:lineRule="exact"/>
        <w:rPr>
          <w:rFonts w:hint="eastAsia" w:ascii="仿宋" w:hAnsi="仿宋" w:eastAsia="仿宋" w:cs="仿宋"/>
          <w:sz w:val="18"/>
        </w:rPr>
      </w:pPr>
    </w:p>
    <w:p w14:paraId="1FA8FFE3">
      <w:pPr>
        <w:spacing w:line="280" w:lineRule="exact"/>
        <w:rPr>
          <w:rFonts w:hint="eastAsia" w:ascii="仿宋" w:hAnsi="仿宋" w:eastAsia="仿宋" w:cs="仿宋"/>
          <w:sz w:val="18"/>
          <w:lang w:val="en-US" w:eastAsia="zh-CN"/>
        </w:rPr>
      </w:pPr>
    </w:p>
    <w:p w14:paraId="7BE4EF5D">
      <w:pPr>
        <w:spacing w:line="280" w:lineRule="exact"/>
        <w:rPr>
          <w:rFonts w:hint="eastAsia" w:ascii="仿宋" w:hAnsi="仿宋" w:eastAsia="仿宋" w:cs="仿宋"/>
          <w:sz w:val="18"/>
          <w:lang w:val="en-US" w:eastAsia="zh-CN"/>
        </w:rPr>
      </w:pPr>
    </w:p>
    <w:p w14:paraId="19C35F42">
      <w:pPr>
        <w:spacing w:line="280" w:lineRule="exact"/>
        <w:rPr>
          <w:rFonts w:hint="eastAsia" w:ascii="仿宋" w:hAnsi="仿宋" w:eastAsia="仿宋" w:cs="仿宋"/>
          <w:sz w:val="18"/>
          <w:lang w:val="en-US" w:eastAsia="zh-CN"/>
        </w:rPr>
      </w:pPr>
    </w:p>
    <w:p w14:paraId="0E48AB5E">
      <w:pPr>
        <w:spacing w:line="280" w:lineRule="exact"/>
        <w:rPr>
          <w:rFonts w:hint="eastAsia" w:ascii="仿宋" w:hAnsi="仿宋" w:eastAsia="仿宋" w:cs="仿宋"/>
          <w:sz w:val="18"/>
          <w:lang w:val="en-US" w:eastAsia="zh-CN"/>
        </w:rPr>
      </w:pPr>
    </w:p>
    <w:p w14:paraId="46AB1108">
      <w:pPr>
        <w:spacing w:line="280" w:lineRule="exact"/>
        <w:rPr>
          <w:rFonts w:hint="eastAsia" w:ascii="仿宋" w:hAnsi="仿宋" w:eastAsia="仿宋" w:cs="仿宋"/>
          <w:sz w:val="18"/>
          <w:lang w:val="en-US" w:eastAsia="zh-CN"/>
        </w:rPr>
      </w:pPr>
    </w:p>
    <w:p w14:paraId="5A2725EA">
      <w:pPr>
        <w:spacing w:line="280" w:lineRule="exact"/>
        <w:rPr>
          <w:rFonts w:hint="eastAsia" w:ascii="仿宋" w:hAnsi="仿宋" w:eastAsia="仿宋" w:cs="仿宋"/>
          <w:sz w:val="18"/>
          <w:lang w:val="en-US" w:eastAsia="zh-CN"/>
        </w:rPr>
      </w:pPr>
    </w:p>
    <w:p w14:paraId="70AE0576">
      <w:pPr>
        <w:spacing w:line="280" w:lineRule="exact"/>
        <w:rPr>
          <w:rFonts w:hint="eastAsia" w:ascii="仿宋" w:hAnsi="仿宋" w:eastAsia="仿宋" w:cs="仿宋"/>
          <w:sz w:val="18"/>
          <w:lang w:val="en-US" w:eastAsia="zh-CN"/>
        </w:rPr>
      </w:pPr>
    </w:p>
    <w:p w14:paraId="3ADA47FB">
      <w:pPr>
        <w:spacing w:line="280" w:lineRule="exact"/>
        <w:rPr>
          <w:rFonts w:hint="eastAsia" w:ascii="仿宋" w:hAnsi="仿宋" w:eastAsia="仿宋" w:cs="仿宋"/>
          <w:sz w:val="18"/>
          <w:lang w:val="en-US" w:eastAsia="zh-CN"/>
        </w:rPr>
      </w:pPr>
    </w:p>
    <w:p w14:paraId="56D17080">
      <w:pPr>
        <w:spacing w:line="280" w:lineRule="exact"/>
        <w:rPr>
          <w:rFonts w:hint="eastAsia" w:ascii="仿宋" w:hAnsi="仿宋" w:eastAsia="仿宋" w:cs="仿宋"/>
          <w:sz w:val="18"/>
          <w:lang w:val="en-US" w:eastAsia="zh-CN"/>
        </w:rPr>
      </w:pPr>
    </w:p>
    <w:p w14:paraId="5A2F2F5D">
      <w:pPr>
        <w:spacing w:line="280" w:lineRule="exact"/>
        <w:rPr>
          <w:rFonts w:hint="eastAsia" w:ascii="仿宋" w:hAnsi="仿宋" w:eastAsia="仿宋" w:cs="仿宋"/>
          <w:sz w:val="18"/>
          <w:lang w:val="en-US" w:eastAsia="zh-CN"/>
        </w:rPr>
      </w:pPr>
    </w:p>
    <w:p w14:paraId="710092A8">
      <w:pPr>
        <w:spacing w:line="280" w:lineRule="exact"/>
        <w:rPr>
          <w:rFonts w:hint="eastAsia" w:ascii="仿宋" w:hAnsi="仿宋" w:eastAsia="仿宋" w:cs="仿宋"/>
          <w:sz w:val="18"/>
          <w:lang w:val="en-US" w:eastAsia="zh-CN"/>
        </w:rPr>
        <w:sectPr>
          <w:headerReference r:id="rId31" w:type="default"/>
          <w:footerReference r:id="rId32" w:type="default"/>
          <w:pgSz w:w="16838" w:h="11906" w:orient="landscape"/>
          <w:pgMar w:top="1797" w:right="1559" w:bottom="1797" w:left="1440" w:header="851" w:footer="992" w:gutter="0"/>
          <w:cols w:space="720" w:num="1"/>
          <w:titlePg/>
          <w:docGrid w:type="lines" w:linePitch="312" w:charSpace="0"/>
        </w:sectPr>
      </w:pPr>
    </w:p>
    <w:p w14:paraId="230FDBC3">
      <w:pPr>
        <w:snapToGrid w:val="0"/>
        <w:spacing w:line="300" w:lineRule="auto"/>
        <w:jc w:val="both"/>
        <w:rPr>
          <w:rFonts w:hint="eastAsia" w:ascii="仿宋" w:hAnsi="仿宋" w:eastAsia="仿宋" w:cs="仿宋"/>
          <w:sz w:val="18"/>
          <w:lang w:val="en-US" w:eastAsia="zh-CN"/>
        </w:rPr>
      </w:pPr>
      <w:r>
        <w:rPr>
          <w:rFonts w:hint="eastAsia" w:ascii="Times New Roman" w:hAnsi="Times New Roman"/>
          <w:b/>
          <w:sz w:val="24"/>
          <w:lang w:val="en-US" w:eastAsia="zh-CN"/>
        </w:rPr>
        <w:t xml:space="preserve">表5.2 </w:t>
      </w:r>
      <w:r>
        <w:rPr>
          <w:rFonts w:ascii="Times New Roman" w:hAnsi="Times New Roman"/>
          <w:b/>
          <w:sz w:val="24"/>
        </w:rPr>
        <w:t>自评不符合项汇总表</w:t>
      </w:r>
    </w:p>
    <w:tbl>
      <w:tblPr>
        <w:tblStyle w:val="14"/>
        <w:tblpPr w:leftFromText="180" w:rightFromText="180" w:vertAnchor="text" w:horzAnchor="page" w:tblpXSpec="center" w:tblpY="4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101"/>
        <w:gridCol w:w="2535"/>
        <w:gridCol w:w="596"/>
        <w:gridCol w:w="2153"/>
        <w:gridCol w:w="1300"/>
      </w:tblGrid>
      <w:tr w14:paraId="773C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456" w:type="dxa"/>
            <w:gridSpan w:val="6"/>
          </w:tcPr>
          <w:p w14:paraId="57AC8B76">
            <w:pPr>
              <w:keepNext w:val="0"/>
              <w:keepLines w:val="0"/>
              <w:suppressLineNumbers w:val="0"/>
              <w:spacing w:before="0" w:beforeAutospacing="0" w:after="0" w:afterAutospacing="0"/>
              <w:ind w:left="0" w:right="0"/>
              <w:jc w:val="center"/>
              <w:rPr>
                <w:rFonts w:hint="eastAsia" w:ascii="仿宋" w:hAnsi="仿宋" w:eastAsia="仿宋" w:cs="仿宋"/>
                <w:b/>
                <w:bCs/>
                <w:sz w:val="20"/>
                <w:szCs w:val="15"/>
                <w:lang w:val="en-US" w:eastAsia="zh-CN"/>
              </w:rPr>
            </w:pPr>
            <w:r>
              <w:rPr>
                <w:rFonts w:hint="eastAsia" w:ascii="仿宋" w:hAnsi="仿宋" w:eastAsia="仿宋" w:cs="仿宋"/>
                <w:b/>
                <w:bCs/>
                <w:sz w:val="28"/>
                <w:szCs w:val="21"/>
                <w:lang w:val="en-US" w:eastAsia="zh-CN"/>
              </w:rPr>
              <w:t>自评扣分项及整改情况汇总</w:t>
            </w:r>
          </w:p>
        </w:tc>
      </w:tr>
      <w:tr w14:paraId="33EB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96" w:type="dxa"/>
            <w:vAlign w:val="center"/>
          </w:tcPr>
          <w:p w14:paraId="49883B52">
            <w:pPr>
              <w:keepNext w:val="0"/>
              <w:keepLines w:val="0"/>
              <w:suppressLineNumbers w:val="0"/>
              <w:spacing w:before="0" w:beforeAutospacing="0" w:after="0" w:afterAutospacing="0"/>
              <w:ind w:left="0" w:right="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A级要素</w:t>
            </w:r>
          </w:p>
        </w:tc>
        <w:tc>
          <w:tcPr>
            <w:tcW w:w="1236" w:type="dxa"/>
            <w:vAlign w:val="center"/>
          </w:tcPr>
          <w:p w14:paraId="4F1101FF">
            <w:pPr>
              <w:keepNext w:val="0"/>
              <w:keepLines w:val="0"/>
              <w:suppressLineNumbers w:val="0"/>
              <w:spacing w:before="0" w:beforeAutospacing="0" w:after="0" w:afterAutospacing="0"/>
              <w:ind w:left="0" w:right="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B级要素</w:t>
            </w:r>
          </w:p>
        </w:tc>
        <w:tc>
          <w:tcPr>
            <w:tcW w:w="3335" w:type="dxa"/>
            <w:vAlign w:val="center"/>
          </w:tcPr>
          <w:p w14:paraId="30E4F066">
            <w:pPr>
              <w:keepNext w:val="0"/>
              <w:keepLines w:val="0"/>
              <w:suppressLineNumbers w:val="0"/>
              <w:spacing w:before="0" w:beforeAutospacing="0" w:after="0" w:afterAutospacing="0"/>
              <w:ind w:left="0" w:right="0"/>
              <w:jc w:val="center"/>
              <w:rPr>
                <w:rFonts w:hint="eastAsia" w:ascii="仿宋" w:hAnsi="仿宋" w:eastAsia="仿宋" w:cs="仿宋"/>
                <w:b/>
                <w:bCs/>
                <w:sz w:val="20"/>
                <w:szCs w:val="20"/>
                <w:lang w:val="en-US" w:eastAsia="zh-CN"/>
              </w:rPr>
            </w:pPr>
            <w:r>
              <w:rPr>
                <w:rFonts w:hint="eastAsia" w:ascii="仿宋" w:hAnsi="仿宋" w:eastAsia="仿宋" w:cs="仿宋"/>
                <w:b/>
                <w:bCs/>
                <w:sz w:val="20"/>
                <w:szCs w:val="20"/>
                <w:lang w:val="en-US" w:eastAsia="zh-CN"/>
              </w:rPr>
              <w:t>标准化要求</w:t>
            </w:r>
          </w:p>
        </w:tc>
        <w:tc>
          <w:tcPr>
            <w:tcW w:w="654" w:type="dxa"/>
            <w:vAlign w:val="center"/>
          </w:tcPr>
          <w:p w14:paraId="5114FEC5">
            <w:pPr>
              <w:keepNext w:val="0"/>
              <w:keepLines w:val="0"/>
              <w:suppressLineNumbers w:val="0"/>
              <w:spacing w:before="0" w:beforeAutospacing="0" w:after="0" w:afterAutospacing="0"/>
              <w:ind w:left="0" w:right="0"/>
              <w:jc w:val="center"/>
              <w:rPr>
                <w:rFonts w:hint="eastAsia" w:ascii="仿宋" w:hAnsi="仿宋" w:eastAsia="仿宋" w:cs="仿宋"/>
                <w:b/>
                <w:bCs/>
                <w:sz w:val="20"/>
                <w:szCs w:val="20"/>
                <w:lang w:val="en-US" w:eastAsia="zh-CN"/>
              </w:rPr>
            </w:pPr>
            <w:r>
              <w:rPr>
                <w:rFonts w:hint="eastAsia" w:ascii="仿宋" w:hAnsi="仿宋" w:eastAsia="仿宋" w:cs="仿宋"/>
                <w:b/>
                <w:bCs/>
                <w:sz w:val="20"/>
                <w:szCs w:val="20"/>
                <w:lang w:val="en-US" w:eastAsia="zh-CN"/>
              </w:rPr>
              <w:t>扣分</w:t>
            </w:r>
          </w:p>
        </w:tc>
        <w:tc>
          <w:tcPr>
            <w:tcW w:w="2656" w:type="dxa"/>
            <w:vAlign w:val="center"/>
          </w:tcPr>
          <w:p w14:paraId="358A1BFC">
            <w:pPr>
              <w:keepNext w:val="0"/>
              <w:keepLines w:val="0"/>
              <w:suppressLineNumbers w:val="0"/>
              <w:spacing w:before="0" w:beforeAutospacing="0" w:after="0" w:afterAutospacing="0"/>
              <w:ind w:left="0" w:right="0"/>
              <w:jc w:val="center"/>
              <w:rPr>
                <w:rFonts w:hint="eastAsia" w:ascii="仿宋" w:hAnsi="仿宋" w:eastAsia="仿宋" w:cs="仿宋"/>
                <w:b/>
                <w:bCs/>
                <w:sz w:val="20"/>
                <w:szCs w:val="20"/>
                <w:lang w:val="en-US" w:eastAsia="zh-CN"/>
              </w:rPr>
            </w:pPr>
            <w:r>
              <w:rPr>
                <w:rFonts w:hint="eastAsia" w:ascii="仿宋" w:hAnsi="仿宋" w:eastAsia="仿宋" w:cs="仿宋"/>
                <w:b/>
                <w:bCs/>
                <w:sz w:val="20"/>
                <w:szCs w:val="20"/>
                <w:lang w:val="en-US" w:eastAsia="zh-CN"/>
              </w:rPr>
              <w:t>扣分说明</w:t>
            </w:r>
          </w:p>
        </w:tc>
        <w:tc>
          <w:tcPr>
            <w:tcW w:w="1679" w:type="dxa"/>
            <w:vAlign w:val="center"/>
          </w:tcPr>
          <w:p w14:paraId="3CCB201C">
            <w:pPr>
              <w:keepNext w:val="0"/>
              <w:keepLines w:val="0"/>
              <w:suppressLineNumbers w:val="0"/>
              <w:spacing w:before="0" w:beforeAutospacing="0" w:after="0" w:afterAutospacing="0"/>
              <w:ind w:left="0" w:right="0"/>
              <w:jc w:val="center"/>
              <w:rPr>
                <w:rFonts w:hint="eastAsia" w:ascii="仿宋" w:hAnsi="仿宋" w:eastAsia="仿宋" w:cs="仿宋"/>
                <w:b/>
                <w:bCs/>
                <w:sz w:val="20"/>
                <w:szCs w:val="20"/>
                <w:lang w:val="en-US" w:eastAsia="zh-CN"/>
              </w:rPr>
            </w:pPr>
            <w:r>
              <w:rPr>
                <w:rFonts w:hint="eastAsia" w:ascii="仿宋" w:hAnsi="仿宋" w:eastAsia="仿宋" w:cs="仿宋"/>
                <w:b/>
                <w:bCs/>
                <w:sz w:val="20"/>
                <w:szCs w:val="20"/>
                <w:lang w:val="en-US" w:eastAsia="zh-CN"/>
              </w:rPr>
              <w:t>整改情况说明</w:t>
            </w:r>
          </w:p>
        </w:tc>
      </w:tr>
      <w:tr w14:paraId="7C1E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68A23412">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 法律、法规和标准</w:t>
            </w:r>
          </w:p>
          <w:p w14:paraId="43C16D39">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vMerge w:val="restart"/>
          </w:tcPr>
          <w:p w14:paraId="576133F2">
            <w:pPr>
              <w:keepNext w:val="0"/>
              <w:keepLines w:val="0"/>
              <w:suppressLineNumbers w:val="0"/>
              <w:spacing w:before="0" w:beforeAutospacing="0" w:after="0" w:afterAutospacing="0" w:line="280" w:lineRule="exact"/>
              <w:ind w:left="0" w:right="0"/>
              <w:rPr>
                <w:rFonts w:hint="eastAsia" w:ascii="仿宋" w:hAnsi="仿宋" w:eastAsia="仿宋" w:cs="仿宋"/>
                <w:b/>
                <w:bCs/>
                <w:i/>
                <w:sz w:val="21"/>
                <w:szCs w:val="21"/>
              </w:rPr>
            </w:pPr>
            <w:r>
              <w:rPr>
                <w:rFonts w:hint="eastAsia" w:ascii="仿宋" w:hAnsi="仿宋" w:eastAsia="仿宋" w:cs="仿宋"/>
                <w:b/>
                <w:bCs/>
                <w:sz w:val="21"/>
                <w:szCs w:val="21"/>
              </w:rPr>
              <w:t>1.1法律、法规和标准的识别和获取</w:t>
            </w:r>
          </w:p>
          <w:p w14:paraId="09A0B00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（50分）</w:t>
            </w:r>
          </w:p>
        </w:tc>
        <w:tc>
          <w:tcPr>
            <w:tcW w:w="3335" w:type="dxa"/>
            <w:vAlign w:val="center"/>
          </w:tcPr>
          <w:p w14:paraId="44341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1.企业应建立识别和获取适用的安全生产法律、法规、标准及其他要求的管理制度，明确责任部门，确定获取渠道、方式和时机，及时识别和获取，定期更新。</w:t>
            </w:r>
          </w:p>
        </w:tc>
        <w:tc>
          <w:tcPr>
            <w:tcW w:w="654" w:type="dxa"/>
            <w:vAlign w:val="center"/>
          </w:tcPr>
          <w:p w14:paraId="6E533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05D4A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已建立识别和获取适 用的安全生产法律法规、 标准及政府其他有关要 求的管理制度，明确了责 任部门、获取渠道、方式，但是识别不全，扣5分；</w:t>
            </w:r>
          </w:p>
        </w:tc>
        <w:tc>
          <w:tcPr>
            <w:tcW w:w="1679" w:type="dxa"/>
            <w:vAlign w:val="center"/>
          </w:tcPr>
          <w:p w14:paraId="5E8A8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已补充完善识别清单及数据库</w:t>
            </w:r>
          </w:p>
        </w:tc>
      </w:tr>
      <w:tr w14:paraId="3E43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E2C7E9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34E5790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Align w:val="center"/>
          </w:tcPr>
          <w:p w14:paraId="0E44C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2.企业应将适用的安全生产法律、法规、标准及其他要求及时传达给相关方。</w:t>
            </w:r>
          </w:p>
        </w:tc>
        <w:tc>
          <w:tcPr>
            <w:tcW w:w="654" w:type="dxa"/>
            <w:vAlign w:val="center"/>
          </w:tcPr>
          <w:p w14:paraId="4F25A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2603C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向相关方传达时危险化学品运输车辆人员未签字。扣3分</w:t>
            </w:r>
          </w:p>
        </w:tc>
        <w:tc>
          <w:tcPr>
            <w:tcW w:w="1679" w:type="dxa"/>
            <w:vAlign w:val="center"/>
          </w:tcPr>
          <w:p w14:paraId="6E984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已对危险化学运输车辆人员进行培训宣贯</w:t>
            </w:r>
          </w:p>
        </w:tc>
      </w:tr>
      <w:tr w14:paraId="265C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91677B0">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5700E106">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1.2法律、法规和标准符合性评价</w:t>
            </w:r>
          </w:p>
          <w:p w14:paraId="02FE689D">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（50分）</w:t>
            </w:r>
          </w:p>
        </w:tc>
        <w:tc>
          <w:tcPr>
            <w:tcW w:w="3335" w:type="dxa"/>
            <w:vAlign w:val="center"/>
          </w:tcPr>
          <w:p w14:paraId="52ADE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企业应每年至少1次对适用的安全生产法律、法规、标准及其他要求的执行情况进行符合性评价，消除违规现象和行为。</w:t>
            </w:r>
          </w:p>
        </w:tc>
        <w:tc>
          <w:tcPr>
            <w:tcW w:w="654" w:type="dxa"/>
            <w:vAlign w:val="center"/>
          </w:tcPr>
          <w:p w14:paraId="58D48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w:t>
            </w:r>
          </w:p>
        </w:tc>
        <w:tc>
          <w:tcPr>
            <w:tcW w:w="2656" w:type="dxa"/>
            <w:vAlign w:val="center"/>
          </w:tcPr>
          <w:p w14:paraId="0E991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评价不全，扣5分；整改措施未落实，扣4分；对评价的不符合项未做原因分析，扣2分。</w:t>
            </w:r>
          </w:p>
        </w:tc>
        <w:tc>
          <w:tcPr>
            <w:tcW w:w="1679" w:type="dxa"/>
            <w:vAlign w:val="center"/>
          </w:tcPr>
          <w:p w14:paraId="36A82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已补充完善评价，落实整改措施，对原因进行了分析详见评价记录。</w:t>
            </w:r>
          </w:p>
        </w:tc>
      </w:tr>
      <w:tr w14:paraId="769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72469B6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 机构和职责</w:t>
            </w:r>
          </w:p>
          <w:p w14:paraId="7FBABB5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vMerge w:val="restart"/>
          </w:tcPr>
          <w:p w14:paraId="3A3E2A0F">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2.1 方针目标</w:t>
            </w:r>
          </w:p>
          <w:p w14:paraId="0DCA6CA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（20分）</w:t>
            </w:r>
          </w:p>
        </w:tc>
        <w:tc>
          <w:tcPr>
            <w:tcW w:w="3335" w:type="dxa"/>
            <w:vAlign w:val="center"/>
          </w:tcPr>
          <w:p w14:paraId="7C7BB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1.企业应坚持“安全第一，预防为主，综合治理”的安全生产方针。主要负责人应依据国家法律法规，结合企业实际，组织制定文件化的安全生产方针和目标。安全生产方针和目标应满足：</w:t>
            </w:r>
          </w:p>
          <w:p w14:paraId="1E298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（1）形成文件，并得到所有从业人员的贯彻和实施；</w:t>
            </w:r>
          </w:p>
          <w:p w14:paraId="0FE88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（2）符合或严于相关法律法规的求；</w:t>
            </w:r>
          </w:p>
          <w:p w14:paraId="2DCA3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（3）与企业的职业安全健康风险相适应；</w:t>
            </w:r>
          </w:p>
          <w:p w14:paraId="638E7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（4）目标予以量化；</w:t>
            </w:r>
          </w:p>
          <w:p w14:paraId="39E2B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（5）公众易于获得。</w:t>
            </w:r>
          </w:p>
        </w:tc>
        <w:tc>
          <w:tcPr>
            <w:tcW w:w="654" w:type="dxa"/>
            <w:vAlign w:val="center"/>
          </w:tcPr>
          <w:p w14:paraId="4C403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0ED50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已制定符合本企业实际的、文件化的安全生产方针和年度安全生产目标见《达诺尔（湖北）微电子材料有限公司2024年度发展目标》。</w:t>
            </w:r>
          </w:p>
          <w:p w14:paraId="37A03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现场抽查1名人员不了解安全生产方针、安全生产目标；扣2分；</w:t>
            </w:r>
          </w:p>
          <w:p w14:paraId="30E46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制定有安全生产工作指标并进行了量化。</w:t>
            </w:r>
          </w:p>
          <w:p w14:paraId="71105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1679" w:type="dxa"/>
            <w:vAlign w:val="center"/>
          </w:tcPr>
          <w:p w14:paraId="5660B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已把公司的安全生产方针、目标进行张贴现场宣传告知，班组会进行了宣贯。</w:t>
            </w:r>
          </w:p>
        </w:tc>
      </w:tr>
      <w:tr w14:paraId="4B6A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61B7C79">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059C97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Align w:val="center"/>
          </w:tcPr>
          <w:p w14:paraId="24B40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2.企业应签订各级组织的安全目标责任书，确定量化的年度安全工作目标，并予以考核。企业各级组织应制定年度安全工作计划，以保证年度安全工作目标的有效完成。</w:t>
            </w:r>
          </w:p>
        </w:tc>
        <w:tc>
          <w:tcPr>
            <w:tcW w:w="654" w:type="dxa"/>
            <w:vAlign w:val="center"/>
          </w:tcPr>
          <w:p w14:paraId="63EE7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w:t>
            </w:r>
          </w:p>
        </w:tc>
        <w:tc>
          <w:tcPr>
            <w:tcW w:w="2656" w:type="dxa"/>
            <w:vAlign w:val="center"/>
          </w:tcPr>
          <w:p w14:paraId="7381A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已将年度安全目标分解到各级组织，层层签订了安全生产目标责任书。</w:t>
            </w:r>
          </w:p>
          <w:p w14:paraId="35731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安全生产目标责任书 内容与本组织安全生产 职责相符。</w:t>
            </w:r>
          </w:p>
          <w:p w14:paraId="2BDFF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未落实安全生产目标考核奖惩，扣2分;</w:t>
            </w:r>
          </w:p>
          <w:p w14:paraId="67195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设备部门、1#车间车间未制定工作计划，扣2分；</w:t>
            </w:r>
          </w:p>
          <w:p w14:paraId="0FAA0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未定期考核扣4分；</w:t>
            </w:r>
          </w:p>
          <w:p w14:paraId="7FB13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安全生产目标按年度考核，见《2024年度EHS目标指标统计表》。</w:t>
            </w:r>
          </w:p>
        </w:tc>
        <w:tc>
          <w:tcPr>
            <w:tcW w:w="1679" w:type="dxa"/>
            <w:vAlign w:val="center"/>
          </w:tcPr>
          <w:p w14:paraId="50A94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已督促各部门、车间制定工作计划，明确年度目标每年进行考核一次，EHS部每月进行统计通报进展。各部门、车间负责各自属地人员的考核。</w:t>
            </w:r>
          </w:p>
        </w:tc>
      </w:tr>
      <w:tr w14:paraId="03FE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29FD1D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35D0944E">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2.2 负责人</w:t>
            </w:r>
          </w:p>
          <w:p w14:paraId="509D044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（20分）</w:t>
            </w:r>
          </w:p>
        </w:tc>
        <w:tc>
          <w:tcPr>
            <w:tcW w:w="3335" w:type="dxa"/>
            <w:vAlign w:val="center"/>
          </w:tcPr>
          <w:p w14:paraId="09F09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2.企业主要负责人应组织实施安全标准化，建设企业安全文化。</w:t>
            </w:r>
          </w:p>
        </w:tc>
        <w:tc>
          <w:tcPr>
            <w:tcW w:w="654" w:type="dxa"/>
            <w:vAlign w:val="center"/>
          </w:tcPr>
          <w:p w14:paraId="3ADFA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695AB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未制定安全文化建设计划和方案，扣2分；</w:t>
            </w:r>
          </w:p>
          <w:p w14:paraId="7E1CB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主要负责人组织开展 安全生产标准化建设，编 制有安全生产标准化实 施方案 ， 明确了实施时 间、计划、责任部门和责 任人，见《DN-达诺尔安全生产标准化建设实施方案及发布文件》主要负责人组织参与 安全生产标准化建设，见会议记录；</w:t>
            </w:r>
          </w:p>
        </w:tc>
        <w:tc>
          <w:tcPr>
            <w:tcW w:w="1679" w:type="dxa"/>
            <w:vAlign w:val="center"/>
          </w:tcPr>
          <w:p w14:paraId="6CA47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已补充制定安全文化建设计划和方案</w:t>
            </w:r>
          </w:p>
        </w:tc>
      </w:tr>
      <w:tr w14:paraId="2505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1521F6F">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5FCBA68D">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Merge w:val="restart"/>
            <w:vAlign w:val="center"/>
          </w:tcPr>
          <w:p w14:paraId="6863C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3.企业主要负责人应作出明确的、公开的、文件化的安全承诺，并确保安全承诺转变为必需的资源支持。</w:t>
            </w:r>
          </w:p>
        </w:tc>
        <w:tc>
          <w:tcPr>
            <w:tcW w:w="654" w:type="dxa"/>
            <w:vAlign w:val="center"/>
          </w:tcPr>
          <w:p w14:paraId="0635B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1A56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主要负责人通过显示屏公告的方式作出安全承诺，见公司厂区大门前电子屏。</w:t>
            </w:r>
          </w:p>
          <w:p w14:paraId="7D01E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安全承诺明确、公开、文件化。</w:t>
            </w:r>
          </w:p>
          <w:p w14:paraId="27D7C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主要负责人确保安全生产标准化资源支持充分。</w:t>
            </w:r>
          </w:p>
          <w:p w14:paraId="414E6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经现场抽查，2 人不清楚主要负责人安全承诺， 扣 2 分。</w:t>
            </w:r>
          </w:p>
        </w:tc>
        <w:tc>
          <w:tcPr>
            <w:tcW w:w="1679" w:type="dxa"/>
            <w:vAlign w:val="center"/>
          </w:tcPr>
          <w:p w14:paraId="55862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已对人员进行了培训</w:t>
            </w:r>
          </w:p>
        </w:tc>
      </w:tr>
      <w:tr w14:paraId="306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48A5E8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B6A883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Merge w:val="continue"/>
            <w:vAlign w:val="center"/>
          </w:tcPr>
          <w:p w14:paraId="67CE6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654" w:type="dxa"/>
            <w:vAlign w:val="center"/>
          </w:tcPr>
          <w:p w14:paraId="69AE9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656" w:type="dxa"/>
            <w:vAlign w:val="center"/>
          </w:tcPr>
          <w:p w14:paraId="6C20E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制定有领导干部带班制度，见《领导干部带班制度》QJ-SE-05</w:t>
            </w:r>
          </w:p>
          <w:p w14:paraId="6416F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领导干部带班记录完善，见《领导干部带班记录表》。</w:t>
            </w:r>
          </w:p>
          <w:p w14:paraId="56649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未按规定进行领导带班制度执行情况考核，扣 2 分。</w:t>
            </w:r>
          </w:p>
          <w:p w14:paraId="268B6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经现场检查，主要负责人清楚领导干部带班情况。</w:t>
            </w:r>
          </w:p>
          <w:p w14:paraId="5FD9A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未按规定进行领导带班制度执行情况考核，-2分</w:t>
            </w:r>
          </w:p>
        </w:tc>
        <w:tc>
          <w:tcPr>
            <w:tcW w:w="1679" w:type="dxa"/>
            <w:vAlign w:val="center"/>
          </w:tcPr>
          <w:p w14:paraId="4FBD3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cs="仿宋"/>
                <w:sz w:val="18"/>
                <w:szCs w:val="18"/>
                <w:lang w:val="en-US" w:eastAsia="zh-CN"/>
              </w:rPr>
            </w:pPr>
            <w:r>
              <w:rPr>
                <w:rFonts w:hint="eastAsia" w:ascii="仿宋" w:hAnsi="仿宋" w:cs="仿宋"/>
                <w:sz w:val="18"/>
                <w:szCs w:val="18"/>
                <w:lang w:val="en-US" w:eastAsia="zh-CN"/>
              </w:rPr>
              <w:t>已进行制定宣贯，明确考核要求，每月对值班情况进行统计。</w:t>
            </w:r>
          </w:p>
          <w:p w14:paraId="41913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cs="仿宋"/>
                <w:sz w:val="18"/>
                <w:szCs w:val="18"/>
                <w:lang w:val="en-US" w:eastAsia="zh-CN"/>
              </w:rPr>
            </w:pPr>
          </w:p>
        </w:tc>
      </w:tr>
      <w:tr w14:paraId="5066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4AD28EFD">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3AED3B2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2.3 职责</w:t>
            </w:r>
          </w:p>
          <w:p w14:paraId="4FF1369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（30分）</w:t>
            </w:r>
          </w:p>
        </w:tc>
        <w:tc>
          <w:tcPr>
            <w:tcW w:w="3335" w:type="dxa"/>
            <w:vAlign w:val="center"/>
          </w:tcPr>
          <w:p w14:paraId="42DF1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1.企业应制定安委会和管理部门的安全职责。</w:t>
            </w:r>
          </w:p>
        </w:tc>
        <w:tc>
          <w:tcPr>
            <w:tcW w:w="654" w:type="dxa"/>
            <w:vAlign w:val="center"/>
          </w:tcPr>
          <w:p w14:paraId="63C51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656" w:type="dxa"/>
            <w:vAlign w:val="center"/>
          </w:tcPr>
          <w:p w14:paraId="0798F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制定有安委会和管理部门的安全职责，包含企业所有管理部门和基层单位，内容与部门安全职责相符，见《安全生产责任制》QI-SE-01）。</w:t>
            </w:r>
          </w:p>
          <w:p w14:paraId="4AE5C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经现场检查，主要负责人清楚安委会安全职责。</w:t>
            </w:r>
          </w:p>
          <w:p w14:paraId="18CA2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经现场抽查，生产部2人不了解本部门安全职责，扣 4 分。</w:t>
            </w:r>
          </w:p>
        </w:tc>
        <w:tc>
          <w:tcPr>
            <w:tcW w:w="1679" w:type="dxa"/>
            <w:vAlign w:val="center"/>
          </w:tcPr>
          <w:p w14:paraId="453EA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已组织人员进行了安全职责的教育和培训。</w:t>
            </w:r>
          </w:p>
        </w:tc>
      </w:tr>
      <w:tr w14:paraId="68E5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1794B99">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03CA3E6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Align w:val="center"/>
          </w:tcPr>
          <w:p w14:paraId="12A68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2.企业应制定主要负责人、各级管理人员和从业人员的安全职责。</w:t>
            </w:r>
          </w:p>
        </w:tc>
        <w:tc>
          <w:tcPr>
            <w:tcW w:w="654" w:type="dxa"/>
            <w:vAlign w:val="center"/>
          </w:tcPr>
          <w:p w14:paraId="5AA14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40BF8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现场抽查2人对其安全职责不清楚，-2分</w:t>
            </w:r>
          </w:p>
          <w:p w14:paraId="161EA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制定有主要负责人、各级管理人员和从业人员的安全职责，主要负责人安全生产职责在《安全生产  法》第 21 条规定的基础上进行了细化。各级人员安全职责满足“一岗一责 ” 的要求，且与其所在岗位职责相符，见《安全生产责任制》QI-SE-01）。</w:t>
            </w:r>
          </w:p>
        </w:tc>
        <w:tc>
          <w:tcPr>
            <w:tcW w:w="1679" w:type="dxa"/>
            <w:vAlign w:val="center"/>
          </w:tcPr>
          <w:p w14:paraId="2843E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cs="仿宋"/>
                <w:sz w:val="18"/>
                <w:szCs w:val="18"/>
                <w:lang w:val="en-US" w:eastAsia="zh-CN"/>
              </w:rPr>
              <w:t>已组织人员进行了安全职责的教育和培训。</w:t>
            </w:r>
          </w:p>
        </w:tc>
      </w:tr>
      <w:tr w14:paraId="78E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0BB9647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3DC11A1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Align w:val="center"/>
          </w:tcPr>
          <w:p w14:paraId="3FA89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3.企业应建立安全生产责任制考核机制，对各级管理部门、管理人员及从业人员安全职责的履行情况和安全生产责任制的实现情况进行定期考核，予以奖惩。</w:t>
            </w:r>
          </w:p>
        </w:tc>
        <w:tc>
          <w:tcPr>
            <w:tcW w:w="654" w:type="dxa"/>
            <w:vAlign w:val="center"/>
          </w:tcPr>
          <w:p w14:paraId="40BBB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AEFF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1、建立有安全生产责任制考核机制，见《2024年度EHS目标指标统计表》。</w:t>
            </w:r>
          </w:p>
          <w:p w14:paraId="0F177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2、对公司负责人、各级管理部门、管理人员及从业人员安全生产责任制进行定期考核，予以奖惩， 见《2024年度EHS目标指标统计表》。</w:t>
            </w:r>
          </w:p>
          <w:p w14:paraId="17D09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3、未按考核制度要求进定期考核扣2分</w:t>
            </w:r>
          </w:p>
        </w:tc>
        <w:tc>
          <w:tcPr>
            <w:tcW w:w="1679" w:type="dxa"/>
            <w:vAlign w:val="center"/>
          </w:tcPr>
          <w:p w14:paraId="52E6E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已明确考核要求，按年度进行考核，月度指标统计通报进展。</w:t>
            </w:r>
          </w:p>
        </w:tc>
      </w:tr>
      <w:tr w14:paraId="1B5E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492887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1453DBC">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2.4 组织机构</w:t>
            </w:r>
          </w:p>
          <w:p w14:paraId="03A94DB6">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（20分）</w:t>
            </w:r>
          </w:p>
        </w:tc>
        <w:tc>
          <w:tcPr>
            <w:tcW w:w="3335" w:type="dxa"/>
            <w:vAlign w:val="center"/>
          </w:tcPr>
          <w:p w14:paraId="26D50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3.企业应建立、健全从安委会到基层班组的安全生产管理网络。</w:t>
            </w:r>
          </w:p>
        </w:tc>
        <w:tc>
          <w:tcPr>
            <w:tcW w:w="654" w:type="dxa"/>
            <w:vAlign w:val="center"/>
          </w:tcPr>
          <w:p w14:paraId="06DE5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135D8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1、建立有从安全生产委员会到管理部门、车间、基层班组的安全生产管理网络，各级机构配备有负 责安全生产的人员，见安全生产管理网络图。</w:t>
            </w:r>
          </w:p>
          <w:p w14:paraId="5D572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2、现场抽查1名人员不清楚安全生产管理网络构成-1分</w:t>
            </w:r>
          </w:p>
        </w:tc>
        <w:tc>
          <w:tcPr>
            <w:tcW w:w="1679" w:type="dxa"/>
            <w:vAlign w:val="center"/>
          </w:tcPr>
          <w:p w14:paraId="57307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已对相关人员进行培训。</w:t>
            </w:r>
          </w:p>
        </w:tc>
      </w:tr>
      <w:tr w14:paraId="34C7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0B2CD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sz w:val="21"/>
                <w:szCs w:val="21"/>
              </w:rPr>
            </w:pPr>
            <w:r>
              <w:rPr>
                <w:rFonts w:hint="eastAsia" w:ascii="仿宋" w:hAnsi="仿宋" w:eastAsia="仿宋" w:cs="仿宋"/>
                <w:b/>
                <w:bCs/>
                <w:sz w:val="21"/>
                <w:szCs w:val="21"/>
              </w:rPr>
              <w:t>3.风险管理</w:t>
            </w:r>
          </w:p>
          <w:p w14:paraId="2EE1A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sz w:val="21"/>
                <w:szCs w:val="21"/>
              </w:rPr>
            </w:pPr>
            <w:r>
              <w:rPr>
                <w:rFonts w:hint="eastAsia" w:ascii="仿宋" w:hAnsi="仿宋" w:eastAsia="仿宋" w:cs="仿宋"/>
                <w:b/>
                <w:bCs/>
                <w:sz w:val="21"/>
                <w:szCs w:val="21"/>
              </w:rPr>
              <w:t>(100分）</w:t>
            </w:r>
          </w:p>
          <w:p w14:paraId="72620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 w:hAnsi="仿宋" w:eastAsia="仿宋" w:cs="仿宋"/>
                <w:b/>
                <w:bCs/>
                <w:sz w:val="21"/>
                <w:szCs w:val="21"/>
                <w:vertAlign w:val="baseline"/>
              </w:rPr>
            </w:pPr>
          </w:p>
        </w:tc>
        <w:tc>
          <w:tcPr>
            <w:tcW w:w="1236" w:type="dxa"/>
            <w:vMerge w:val="restart"/>
          </w:tcPr>
          <w:p w14:paraId="458155F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vertAlign w:val="baseline"/>
              </w:rPr>
              <w:t>3.1 范围与评价方法（10分）</w:t>
            </w:r>
          </w:p>
        </w:tc>
        <w:tc>
          <w:tcPr>
            <w:tcW w:w="3335" w:type="dxa"/>
            <w:vAlign w:val="center"/>
          </w:tcPr>
          <w:p w14:paraId="06024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1.企业应组织制定风险评价管理制度，明确风险评价的目的、范围和准则。</w:t>
            </w:r>
          </w:p>
        </w:tc>
        <w:tc>
          <w:tcPr>
            <w:tcW w:w="654" w:type="dxa"/>
            <w:vAlign w:val="center"/>
          </w:tcPr>
          <w:p w14:paraId="6071F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33D50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1、制定有风险评价管理制度，见《风险评价安全管理制度》QIJ-SE-26</w:t>
            </w:r>
          </w:p>
          <w:p w14:paraId="5F23B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2、明确有风险评价的目的、范围、频次及工作程序。</w:t>
            </w:r>
          </w:p>
          <w:p w14:paraId="4F6AB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 明确有各部门及有关人员的职责和任务 ，见《风险评价安全管理制度》QIJ-SE-26</w:t>
            </w:r>
          </w:p>
          <w:p w14:paraId="40F4A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4.公司负责人组织开展了风险评价工作，了解风险评价工作情况。</w:t>
            </w:r>
          </w:p>
          <w:p w14:paraId="51519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5、现场抽查5人不了解风险评价制度内容，扣5分。</w:t>
            </w:r>
          </w:p>
        </w:tc>
        <w:tc>
          <w:tcPr>
            <w:tcW w:w="1679" w:type="dxa"/>
            <w:vAlign w:val="center"/>
          </w:tcPr>
          <w:p w14:paraId="70BEF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已组织相关的培训告知。</w:t>
            </w:r>
          </w:p>
        </w:tc>
      </w:tr>
      <w:tr w14:paraId="515E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CD35B5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37F498FF">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3335" w:type="dxa"/>
            <w:vAlign w:val="center"/>
          </w:tcPr>
          <w:p w14:paraId="004D7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2.企业风险评价的范围应包括:</w:t>
            </w:r>
          </w:p>
          <w:p w14:paraId="424C3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（1）规划、设计和建设、投产、运行等阶段；</w:t>
            </w:r>
          </w:p>
          <w:p w14:paraId="3F91E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（2）常规和非常规活动；</w:t>
            </w:r>
          </w:p>
          <w:p w14:paraId="17140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（3）事故及潜在的紧急情况；</w:t>
            </w:r>
          </w:p>
          <w:p w14:paraId="26487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（4）所有进入作业场所人员的活动；</w:t>
            </w:r>
          </w:p>
          <w:p w14:paraId="26CDD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（5）原材料、产品的运输和使用过程；</w:t>
            </w:r>
          </w:p>
          <w:p w14:paraId="5FF28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（6）作业场所的设施、设备、车辆、安全防护用品；</w:t>
            </w:r>
          </w:p>
          <w:p w14:paraId="457E3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（7）丢弃、废弃、拆除与处置；</w:t>
            </w:r>
          </w:p>
          <w:p w14:paraId="1226D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（8）企业周围环境；</w:t>
            </w:r>
          </w:p>
          <w:p w14:paraId="76190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（9）气候、地震及其他自然灾害等。</w:t>
            </w:r>
          </w:p>
        </w:tc>
        <w:tc>
          <w:tcPr>
            <w:tcW w:w="654" w:type="dxa"/>
            <w:vAlign w:val="center"/>
          </w:tcPr>
          <w:p w14:paraId="74DE0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5C6CC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风险评价范围全面，见安全风险分级管控及隐患排查治理双重预防机制手册。</w:t>
            </w:r>
          </w:p>
          <w:p w14:paraId="5CF99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1.规定采用作业条件危险性分析法、风险矩阵等风险评价，见安全风险分级管控及隐患排查治理双重预防机制手册。</w:t>
            </w:r>
          </w:p>
          <w:p w14:paraId="358B3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2.经现场检查，1 人不清楚选定的风险评价方法，扣 1 分。</w:t>
            </w:r>
          </w:p>
        </w:tc>
        <w:tc>
          <w:tcPr>
            <w:tcW w:w="1679" w:type="dxa"/>
            <w:vAlign w:val="center"/>
          </w:tcPr>
          <w:p w14:paraId="15CCB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w:t>
            </w:r>
          </w:p>
        </w:tc>
      </w:tr>
      <w:tr w14:paraId="6929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B80EC7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20DF1A56">
            <w:pPr>
              <w:keepNext w:val="0"/>
              <w:keepLines w:val="0"/>
              <w:suppressLineNumbers w:val="0"/>
              <w:spacing w:before="0" w:beforeAutospacing="0" w:after="0" w:afterAutospacing="0" w:line="280" w:lineRule="exact"/>
              <w:ind w:left="0" w:right="0"/>
              <w:jc w:val="both"/>
              <w:rPr>
                <w:rFonts w:hint="eastAsia" w:ascii="仿宋" w:hAnsi="仿宋" w:eastAsia="仿宋" w:cs="仿宋"/>
                <w:b/>
                <w:bCs/>
                <w:sz w:val="21"/>
                <w:szCs w:val="21"/>
                <w:vertAlign w:val="baseline"/>
              </w:rPr>
            </w:pPr>
            <w:r>
              <w:rPr>
                <w:rFonts w:hint="eastAsia" w:ascii="仿宋" w:hAnsi="仿宋" w:eastAsia="仿宋" w:cs="仿宋"/>
                <w:b/>
                <w:bCs/>
                <w:color w:val="000000"/>
                <w:sz w:val="21"/>
                <w:szCs w:val="21"/>
              </w:rPr>
              <w:t>3.2风险评价（10分）</w:t>
            </w:r>
          </w:p>
        </w:tc>
        <w:tc>
          <w:tcPr>
            <w:tcW w:w="3335" w:type="dxa"/>
            <w:vAlign w:val="center"/>
          </w:tcPr>
          <w:p w14:paraId="33B4C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1.厂级评价组织应有企业负责人参加；</w:t>
            </w:r>
          </w:p>
          <w:p w14:paraId="77DC0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2.车间级评价组织应有车间负责人参加；</w:t>
            </w:r>
          </w:p>
          <w:p w14:paraId="7403C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3.所有从业人员应参与风险评价和风险控制。</w:t>
            </w:r>
          </w:p>
        </w:tc>
        <w:tc>
          <w:tcPr>
            <w:tcW w:w="654" w:type="dxa"/>
            <w:vAlign w:val="center"/>
          </w:tcPr>
          <w:p w14:paraId="43A2D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42DE3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1、经抽查2名管理人员未参与风险评价工作。</w:t>
            </w:r>
          </w:p>
        </w:tc>
        <w:tc>
          <w:tcPr>
            <w:tcW w:w="1679" w:type="dxa"/>
            <w:vAlign w:val="center"/>
          </w:tcPr>
          <w:p w14:paraId="2B257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后续风险评价要求管理人员必须参与。</w:t>
            </w:r>
          </w:p>
        </w:tc>
      </w:tr>
      <w:tr w14:paraId="1467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35E659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05C7AFF9">
            <w:pPr>
              <w:keepNext w:val="0"/>
              <w:keepLines w:val="0"/>
              <w:suppressLineNumbers w:val="0"/>
              <w:spacing w:before="0" w:beforeAutospacing="0" w:after="0" w:afterAutospacing="0" w:line="280" w:lineRule="exact"/>
              <w:ind w:left="0" w:right="0"/>
              <w:jc w:val="both"/>
              <w:rPr>
                <w:rFonts w:hint="eastAsia" w:ascii="仿宋" w:hAnsi="仿宋" w:eastAsia="仿宋" w:cs="仿宋"/>
                <w:b/>
                <w:bCs/>
                <w:sz w:val="21"/>
                <w:szCs w:val="21"/>
                <w:vertAlign w:val="baseline"/>
              </w:rPr>
            </w:pPr>
            <w:r>
              <w:rPr>
                <w:rFonts w:hint="eastAsia" w:ascii="仿宋" w:hAnsi="仿宋" w:eastAsia="仿宋" w:cs="仿宋"/>
                <w:b/>
                <w:bCs/>
                <w:color w:val="000000"/>
                <w:sz w:val="21"/>
                <w:szCs w:val="21"/>
              </w:rPr>
              <w:t>3.3风险控制（15分）</w:t>
            </w:r>
          </w:p>
        </w:tc>
        <w:tc>
          <w:tcPr>
            <w:tcW w:w="3335" w:type="dxa"/>
            <w:vAlign w:val="center"/>
          </w:tcPr>
          <w:p w14:paraId="0B85E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1、制定风险管理培训计划；</w:t>
            </w:r>
          </w:p>
          <w:p w14:paraId="05A47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2、按计划开展宣传、培训。</w:t>
            </w:r>
          </w:p>
        </w:tc>
        <w:tc>
          <w:tcPr>
            <w:tcW w:w="654" w:type="dxa"/>
            <w:vAlign w:val="center"/>
          </w:tcPr>
          <w:p w14:paraId="2CD50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129C2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1.制定有风险管理培训计划，按计划开展宣传、培训，见2024年度安全教育培训计划。</w:t>
            </w:r>
          </w:p>
          <w:p w14:paraId="7D33E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2.经现场检查，1 人不了解本岗位风险及其控制措施，扣 2 分。</w:t>
            </w:r>
          </w:p>
        </w:tc>
        <w:tc>
          <w:tcPr>
            <w:tcW w:w="1679" w:type="dxa"/>
            <w:vAlign w:val="center"/>
          </w:tcPr>
          <w:p w14:paraId="78B57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w:t>
            </w:r>
          </w:p>
        </w:tc>
      </w:tr>
      <w:tr w14:paraId="1330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9F42BE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27E12687">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vertAlign w:val="baseline"/>
              </w:rPr>
            </w:pPr>
            <w:r>
              <w:rPr>
                <w:rFonts w:hint="eastAsia" w:ascii="仿宋" w:hAnsi="仿宋" w:eastAsia="仿宋" w:cs="仿宋"/>
                <w:b/>
                <w:bCs/>
                <w:sz w:val="21"/>
                <w:szCs w:val="21"/>
              </w:rPr>
              <w:t>3.5 重大危险源（20分）</w:t>
            </w:r>
          </w:p>
        </w:tc>
        <w:tc>
          <w:tcPr>
            <w:tcW w:w="3335" w:type="dxa"/>
            <w:vAlign w:val="center"/>
          </w:tcPr>
          <w:p w14:paraId="23817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1.按要求编制重大危险源应急救援预案；</w:t>
            </w:r>
          </w:p>
          <w:p w14:paraId="522B8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2.根据重大危险源的危险特性配备必要的救援器材、装备；</w:t>
            </w:r>
          </w:p>
          <w:p w14:paraId="458A7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3.涉及吸入性有毒、有害气体的重大危险源，应配备便携式浓度检测设备、空气呼吸器、化学防护服、堵漏器材等；</w:t>
            </w:r>
          </w:p>
          <w:p w14:paraId="6F3E1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4.涉及剧毒气体的的重大危险源，应配备两套以上气密性化学防护服；</w:t>
            </w:r>
          </w:p>
          <w:p w14:paraId="15A3D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5.重大危险源应急救援预案演练按规定频次进行。</w:t>
            </w:r>
          </w:p>
        </w:tc>
        <w:tc>
          <w:tcPr>
            <w:tcW w:w="654" w:type="dxa"/>
            <w:vAlign w:val="center"/>
          </w:tcPr>
          <w:p w14:paraId="7DEE9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79ADE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1.制定有重大危险源应急救援预案，配备有必要的救援器材、装备，见《达诺尔（湖北）微电子材料有限公司生产安全事故应急预 案》。</w:t>
            </w:r>
          </w:p>
          <w:p w14:paraId="0568A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2.定期开展重大危险源应急救援预案演练，演练频次符合要求，演练记录完善，见《应急预案演练记录》。</w:t>
            </w:r>
          </w:p>
          <w:p w14:paraId="5A6D3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3.经现场检查，从业人员清楚应急救援预案内容。</w:t>
            </w:r>
          </w:p>
          <w:p w14:paraId="565E3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4、救援器材装备不符合要求，无堵漏器材。</w:t>
            </w:r>
          </w:p>
        </w:tc>
        <w:tc>
          <w:tcPr>
            <w:tcW w:w="1679" w:type="dxa"/>
            <w:vAlign w:val="center"/>
          </w:tcPr>
          <w:p w14:paraId="43222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已提采购计划补充完善。</w:t>
            </w:r>
          </w:p>
        </w:tc>
      </w:tr>
      <w:tr w14:paraId="6190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091C09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3F36C742">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3.6</w:t>
            </w:r>
          </w:p>
          <w:p w14:paraId="2FC446A1">
            <w:pPr>
              <w:keepNext w:val="0"/>
              <w:keepLines w:val="0"/>
              <w:suppressLineNumbers w:val="0"/>
              <w:spacing w:before="0" w:beforeAutospacing="0" w:after="0" w:afterAutospacing="0" w:line="280" w:lineRule="exact"/>
              <w:ind w:left="0" w:right="0"/>
              <w:jc w:val="center"/>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变更</w:t>
            </w:r>
          </w:p>
          <w:p w14:paraId="3767ECA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Style w:val="20"/>
                <w:rFonts w:hint="eastAsia" w:ascii="仿宋" w:hAnsi="仿宋" w:eastAsia="仿宋" w:cs="仿宋"/>
                <w:b/>
                <w:bCs/>
                <w:color w:val="000000"/>
                <w:sz w:val="21"/>
                <w:szCs w:val="21"/>
              </w:rPr>
              <w:t>（10分）</w:t>
            </w:r>
          </w:p>
        </w:tc>
        <w:tc>
          <w:tcPr>
            <w:tcW w:w="3335" w:type="dxa"/>
            <w:vAlign w:val="center"/>
          </w:tcPr>
          <w:p w14:paraId="7BE29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1.企业应严格执行变更管理制度，履行下列变更程序：</w:t>
            </w:r>
          </w:p>
          <w:p w14:paraId="2EC13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 变更申请：按要求填写变更申请表，由专人进行管理；</w:t>
            </w:r>
          </w:p>
          <w:p w14:paraId="007B8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 变更审批：变更申请表应逐级上报主管部门，并按管理权限报主管领导审批；</w:t>
            </w:r>
          </w:p>
          <w:p w14:paraId="2F9D3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 变更实施：变更批准后，由主管部门负责实施。不经过审查和批准，任何临时性的变更都不得超过原批准范围和期限；</w:t>
            </w:r>
          </w:p>
          <w:p w14:paraId="5A70D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 变更验收：变更实施结束后，变更主管部门应对变更的实施情况进行验收，形成报告，并及时将变更结果通知相关部门和有关人员。</w:t>
            </w:r>
          </w:p>
        </w:tc>
        <w:tc>
          <w:tcPr>
            <w:tcW w:w="654" w:type="dxa"/>
            <w:vAlign w:val="center"/>
          </w:tcPr>
          <w:p w14:paraId="17E22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14F55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1、制定有变更管理制度，见《变更管理制度》QJ-SE-10变更 管理记录中包括变更申 请、变更审批、变更实施、 变更验收等内容。</w:t>
            </w:r>
          </w:p>
          <w:p w14:paraId="10390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2、经检查发现设计有变更未按程序实施变更，一项扣5分；</w:t>
            </w:r>
          </w:p>
        </w:tc>
        <w:tc>
          <w:tcPr>
            <w:tcW w:w="1679" w:type="dxa"/>
            <w:vAlign w:val="center"/>
          </w:tcPr>
          <w:p w14:paraId="12328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已补充完善相关的变更管理要求。组织了相关的培训。</w:t>
            </w:r>
          </w:p>
        </w:tc>
      </w:tr>
      <w:tr w14:paraId="203E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8F7FC56">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7AD1AF7E">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3.7风险信息更新</w:t>
            </w:r>
          </w:p>
          <w:p w14:paraId="6BC5FA82">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（10分）</w:t>
            </w:r>
          </w:p>
        </w:tc>
        <w:tc>
          <w:tcPr>
            <w:tcW w:w="3335" w:type="dxa"/>
            <w:vAlign w:val="center"/>
          </w:tcPr>
          <w:p w14:paraId="7EB92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1.企业应适时组织风险评价工作，识别与生产经营活动有关的危险、有害因素和隐患。</w:t>
            </w:r>
          </w:p>
          <w:p w14:paraId="6FD55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654" w:type="dxa"/>
            <w:vAlign w:val="center"/>
          </w:tcPr>
          <w:p w14:paraId="7F75E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E0E9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风险辨识识别不充分</w:t>
            </w:r>
          </w:p>
        </w:tc>
        <w:tc>
          <w:tcPr>
            <w:tcW w:w="1679" w:type="dxa"/>
            <w:vAlign w:val="center"/>
          </w:tcPr>
          <w:p w14:paraId="0ED78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7CAF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A4A67F0">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4914D63F">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5A9A1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2.企业应定期评审或检查风险评价结果和风险控制效果。</w:t>
            </w:r>
          </w:p>
        </w:tc>
        <w:tc>
          <w:tcPr>
            <w:tcW w:w="654" w:type="dxa"/>
            <w:vAlign w:val="center"/>
          </w:tcPr>
          <w:p w14:paraId="6372B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729FC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未定期对风险评价结果和风险控制效果进行评审或检查，扣2分。</w:t>
            </w:r>
          </w:p>
        </w:tc>
        <w:tc>
          <w:tcPr>
            <w:tcW w:w="1679" w:type="dxa"/>
            <w:vAlign w:val="center"/>
          </w:tcPr>
          <w:p w14:paraId="6FF54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6359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C40D84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75D163B1">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3.8</w:t>
            </w:r>
          </w:p>
          <w:p w14:paraId="631C982F">
            <w:pPr>
              <w:keepNext w:val="0"/>
              <w:keepLines w:val="0"/>
              <w:suppressLineNumbers w:val="0"/>
              <w:spacing w:before="0" w:beforeAutospacing="0" w:after="0" w:afterAutospacing="0" w:line="280" w:lineRule="exact"/>
              <w:ind w:left="0" w:right="0"/>
              <w:jc w:val="center"/>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供应商</w:t>
            </w:r>
          </w:p>
          <w:p w14:paraId="0DC47055">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Style w:val="20"/>
                <w:rFonts w:hint="eastAsia" w:ascii="仿宋" w:hAnsi="仿宋" w:eastAsia="仿宋" w:cs="仿宋"/>
                <w:b/>
                <w:bCs/>
                <w:color w:val="000000"/>
                <w:sz w:val="21"/>
                <w:szCs w:val="21"/>
              </w:rPr>
              <w:t>（5分）</w:t>
            </w:r>
          </w:p>
        </w:tc>
        <w:tc>
          <w:tcPr>
            <w:tcW w:w="3335" w:type="dxa"/>
            <w:vAlign w:val="center"/>
          </w:tcPr>
          <w:p w14:paraId="75D1E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企业应严格执行供应商管理制度，对供应商资格预审、选用和续用等过程进行管理，并定期识别与采购有关的风险。</w:t>
            </w:r>
          </w:p>
        </w:tc>
        <w:tc>
          <w:tcPr>
            <w:tcW w:w="654" w:type="dxa"/>
            <w:vAlign w:val="center"/>
          </w:tcPr>
          <w:p w14:paraId="38D35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0379C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未对供应商进行规范管理，缺失资料</w:t>
            </w:r>
          </w:p>
        </w:tc>
        <w:tc>
          <w:tcPr>
            <w:tcW w:w="1679" w:type="dxa"/>
            <w:vAlign w:val="center"/>
          </w:tcPr>
          <w:p w14:paraId="1B7A2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采购部门已完善供应商的管理。</w:t>
            </w:r>
          </w:p>
        </w:tc>
      </w:tr>
      <w:tr w14:paraId="06D4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vAlign w:val="top"/>
          </w:tcPr>
          <w:p w14:paraId="05E25AEA">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4 管理制度</w:t>
            </w:r>
          </w:p>
          <w:p w14:paraId="2A82DE68">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vMerge w:val="restart"/>
            <w:vAlign w:val="top"/>
          </w:tcPr>
          <w:p w14:paraId="5D48631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4.1安全生产规章制度</w:t>
            </w:r>
          </w:p>
          <w:p w14:paraId="4F0A4514">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（40分）</w:t>
            </w:r>
          </w:p>
          <w:p w14:paraId="57ADCA42">
            <w:pPr>
              <w:keepNext w:val="0"/>
              <w:keepLines w:val="0"/>
              <w:suppressLineNumbers w:val="0"/>
              <w:spacing w:before="0" w:beforeAutospacing="0" w:after="0" w:afterAutospacing="0" w:line="280" w:lineRule="exact"/>
              <w:ind w:left="0" w:right="0"/>
              <w:rPr>
                <w:rStyle w:val="20"/>
                <w:rFonts w:hint="eastAsia" w:ascii="仿宋" w:hAnsi="仿宋" w:eastAsia="仿宋" w:cs="仿宋"/>
                <w:b/>
                <w:bCs/>
                <w:color w:val="000000"/>
                <w:sz w:val="21"/>
                <w:szCs w:val="21"/>
              </w:rPr>
            </w:pPr>
          </w:p>
        </w:tc>
        <w:tc>
          <w:tcPr>
            <w:tcW w:w="3335" w:type="dxa"/>
            <w:vAlign w:val="center"/>
          </w:tcPr>
          <w:p w14:paraId="23361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1.企业应制定健全的安全生产规章制度，至少包括下列内容：</w:t>
            </w:r>
          </w:p>
          <w:p w14:paraId="1FD22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（1）安全生产职责；</w:t>
            </w:r>
          </w:p>
          <w:p w14:paraId="5AEA4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（2）识别和获取适用的安全生产法律法规、标准及其他要求；</w:t>
            </w:r>
          </w:p>
          <w:p w14:paraId="2A3FE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（3）安全生产会议管理；</w:t>
            </w:r>
          </w:p>
          <w:p w14:paraId="14DDB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（4）安全生产费用；</w:t>
            </w:r>
          </w:p>
          <w:p w14:paraId="7A04D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（5）安全生产奖惩管理；</w:t>
            </w:r>
          </w:p>
          <w:p w14:paraId="18515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（6）管理制度评审和修订；</w:t>
            </w:r>
          </w:p>
          <w:p w14:paraId="26B1B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（7）安全培训教育；</w:t>
            </w:r>
          </w:p>
          <w:p w14:paraId="61F5D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（8）特种作业人员管理；</w:t>
            </w:r>
          </w:p>
          <w:p w14:paraId="2D149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（9）管理部门、基层班组安全活动管理；</w:t>
            </w:r>
          </w:p>
          <w:p w14:paraId="1C2D1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（10）风险评价；</w:t>
            </w:r>
          </w:p>
          <w:p w14:paraId="0BAE7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（11）隐患排查治理；</w:t>
            </w:r>
          </w:p>
          <w:p w14:paraId="341C0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（12）重大危险源管理；</w:t>
            </w:r>
          </w:p>
          <w:p w14:paraId="79454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（13）变更管理；</w:t>
            </w:r>
          </w:p>
          <w:p w14:paraId="1FD9A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（14）事故管理；</w:t>
            </w:r>
          </w:p>
          <w:p w14:paraId="77D9E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（15）防火、防爆管理，包括禁烟管理；</w:t>
            </w:r>
          </w:p>
          <w:p w14:paraId="3B687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（16）消防管理；</w:t>
            </w:r>
          </w:p>
          <w:p w14:paraId="62AF0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（17）仓库、罐区安全管理；</w:t>
            </w:r>
          </w:p>
          <w:p w14:paraId="64BBD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（18）关键装置、重点部位安全管理；</w:t>
            </w:r>
          </w:p>
          <w:p w14:paraId="20511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（19）生产设施管理，包括安全设施、特种设备等管理；</w:t>
            </w:r>
          </w:p>
          <w:p w14:paraId="15B26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（20）监视和测量设备管理；</w:t>
            </w:r>
          </w:p>
          <w:p w14:paraId="2BC56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（21）安全作业管理，包括动火作业、进入受限空间作业、临时用电作业、高处作业、起重吊装作业、破土作业、断路作业、设备检维修作业、高温作业、抽堵盲板作业管理等；</w:t>
            </w:r>
          </w:p>
          <w:p w14:paraId="652DB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（22）危险化学品安全管理，包括剧毒化学品安全管理及危险化学品储存、出入库、运输、装卸等；</w:t>
            </w:r>
          </w:p>
          <w:p w14:paraId="37215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（23）检维修管理；</w:t>
            </w:r>
          </w:p>
          <w:p w14:paraId="637A2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（24）生产设施拆除和报废管理；</w:t>
            </w:r>
          </w:p>
          <w:p w14:paraId="2ECA9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（25）承包商管理；</w:t>
            </w:r>
          </w:p>
          <w:p w14:paraId="575F0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（26）供应商管理；</w:t>
            </w:r>
          </w:p>
          <w:p w14:paraId="3467E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（27）职业卫生管理，包括防尘、防毒管理；</w:t>
            </w:r>
          </w:p>
          <w:p w14:paraId="2BB91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（28）劳动防护用品（具）和保健品管理；</w:t>
            </w:r>
          </w:p>
          <w:p w14:paraId="52D15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(29)作业场所职业危害因素检测管理；</w:t>
            </w:r>
          </w:p>
          <w:p w14:paraId="6AFDE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（30）应急救援管理；</w:t>
            </w:r>
          </w:p>
          <w:p w14:paraId="0F60E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（31）安全检查管理；</w:t>
            </w:r>
          </w:p>
          <w:p w14:paraId="2D4ED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（32）自评。</w:t>
            </w:r>
          </w:p>
        </w:tc>
        <w:tc>
          <w:tcPr>
            <w:tcW w:w="654" w:type="dxa"/>
            <w:vAlign w:val="center"/>
          </w:tcPr>
          <w:p w14:paraId="7C20C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F9A1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1.将法律法规的有关规定和标准的有关要求转化为安全生产规章制度 和安全操作规程的具体内容，制定有标准要求的各项制度，见制定有供应商管理制度，见《达诺尔（湖北）微电子材料有限公司安全生产规章制度》。2.制度明确有责任部门、职责、工作要求等内容， 可操作性符合要求。</w:t>
            </w:r>
          </w:p>
          <w:p w14:paraId="24C68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3.经现场检查，1人不熟悉相关制度内容，扣 2 分。</w:t>
            </w:r>
          </w:p>
          <w:p w14:paraId="1E334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4.安全生产规章制度按 照规定审定和签发，见《文件发放登记表》。</w:t>
            </w:r>
          </w:p>
        </w:tc>
        <w:tc>
          <w:tcPr>
            <w:tcW w:w="1679" w:type="dxa"/>
            <w:vAlign w:val="center"/>
          </w:tcPr>
          <w:p w14:paraId="4FA01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已对EHS制度进行了汇编下发各部门、车间学习。</w:t>
            </w:r>
          </w:p>
        </w:tc>
      </w:tr>
      <w:tr w14:paraId="2547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B065C2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17FFA1D3">
            <w:pPr>
              <w:keepNext w:val="0"/>
              <w:keepLines w:val="0"/>
              <w:suppressLineNumbers w:val="0"/>
              <w:spacing w:before="0" w:beforeAutospacing="0" w:after="0" w:afterAutospacing="0"/>
              <w:ind w:left="0" w:right="0"/>
              <w:jc w:val="center"/>
              <w:rPr>
                <w:rStyle w:val="20"/>
                <w:rFonts w:hint="eastAsia" w:ascii="仿宋" w:hAnsi="仿宋" w:eastAsia="仿宋" w:cs="仿宋"/>
                <w:b/>
                <w:bCs/>
                <w:color w:val="000000"/>
                <w:sz w:val="21"/>
                <w:szCs w:val="21"/>
              </w:rPr>
            </w:pPr>
          </w:p>
        </w:tc>
        <w:tc>
          <w:tcPr>
            <w:tcW w:w="3335" w:type="dxa"/>
            <w:vAlign w:val="center"/>
          </w:tcPr>
          <w:p w14:paraId="1BC49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2.企业应将安全生产规章制度发放到有关的工作岗位。</w:t>
            </w:r>
          </w:p>
        </w:tc>
        <w:tc>
          <w:tcPr>
            <w:tcW w:w="654" w:type="dxa"/>
            <w:vAlign w:val="center"/>
          </w:tcPr>
          <w:p w14:paraId="57498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63D4E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未将制度发放到有关的工作岗位。扣5分</w:t>
            </w:r>
          </w:p>
        </w:tc>
        <w:tc>
          <w:tcPr>
            <w:tcW w:w="1679" w:type="dxa"/>
            <w:vAlign w:val="center"/>
          </w:tcPr>
          <w:p w14:paraId="453E2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cs="仿宋"/>
                <w:sz w:val="18"/>
                <w:szCs w:val="18"/>
                <w:lang w:val="en-US" w:eastAsia="zh-CN"/>
              </w:rPr>
              <w:t>已对EHS制度进行了汇编下发各部门、车间学习。</w:t>
            </w:r>
          </w:p>
        </w:tc>
      </w:tr>
      <w:tr w14:paraId="148C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AC09CD9">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2CD176D0">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4.2操作规程</w:t>
            </w:r>
          </w:p>
          <w:p w14:paraId="759C6764">
            <w:pPr>
              <w:keepNext w:val="0"/>
              <w:keepLines w:val="0"/>
              <w:suppressLineNumbers w:val="0"/>
              <w:spacing w:before="0" w:beforeAutospacing="0" w:after="0" w:afterAutospacing="0"/>
              <w:ind w:left="0" w:right="0"/>
              <w:jc w:val="center"/>
              <w:rPr>
                <w:rStyle w:val="20"/>
                <w:rFonts w:hint="eastAsia" w:ascii="仿宋" w:hAnsi="仿宋" w:eastAsia="仿宋" w:cs="仿宋"/>
                <w:b/>
                <w:bCs/>
                <w:color w:val="000000"/>
                <w:sz w:val="21"/>
                <w:szCs w:val="21"/>
              </w:rPr>
            </w:pPr>
            <w:r>
              <w:rPr>
                <w:rFonts w:hint="eastAsia" w:ascii="仿宋" w:hAnsi="仿宋" w:eastAsia="仿宋" w:cs="仿宋"/>
                <w:b/>
                <w:bCs/>
                <w:sz w:val="21"/>
                <w:szCs w:val="21"/>
              </w:rPr>
              <w:t>（40分）</w:t>
            </w:r>
          </w:p>
        </w:tc>
        <w:tc>
          <w:tcPr>
            <w:tcW w:w="3335" w:type="dxa"/>
            <w:vAlign w:val="center"/>
          </w:tcPr>
          <w:p w14:paraId="422D4A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1.企业应根据生产工艺、技术、设备设施特点和原材料、辅助材料、产品的危险性，编制操作规程,并发放到相关岗位。</w:t>
            </w:r>
          </w:p>
        </w:tc>
        <w:tc>
          <w:tcPr>
            <w:tcW w:w="654" w:type="dxa"/>
            <w:vAlign w:val="center"/>
          </w:tcPr>
          <w:p w14:paraId="20FAF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25ADD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液氨装卸操作规程更新后为安全规定审定和签发</w:t>
            </w:r>
          </w:p>
        </w:tc>
        <w:tc>
          <w:tcPr>
            <w:tcW w:w="1679" w:type="dxa"/>
            <w:vAlign w:val="center"/>
          </w:tcPr>
          <w:p w14:paraId="2AB81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6435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1F0F63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1DE38BFF">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4.3修订</w:t>
            </w:r>
          </w:p>
          <w:p w14:paraId="3CF42691">
            <w:pPr>
              <w:keepNext w:val="0"/>
              <w:keepLines w:val="0"/>
              <w:suppressLineNumbers w:val="0"/>
              <w:spacing w:before="0" w:beforeAutospacing="0" w:after="0" w:afterAutospacing="0"/>
              <w:ind w:left="0" w:right="0"/>
              <w:jc w:val="center"/>
              <w:rPr>
                <w:rStyle w:val="20"/>
                <w:rFonts w:hint="eastAsia" w:ascii="仿宋" w:hAnsi="仿宋" w:eastAsia="仿宋" w:cs="仿宋"/>
                <w:b/>
                <w:bCs/>
                <w:color w:val="000000"/>
                <w:sz w:val="21"/>
                <w:szCs w:val="21"/>
              </w:rPr>
            </w:pPr>
            <w:r>
              <w:rPr>
                <w:rFonts w:hint="eastAsia" w:ascii="仿宋" w:hAnsi="仿宋" w:eastAsia="仿宋" w:cs="仿宋"/>
                <w:b/>
                <w:bCs/>
                <w:sz w:val="21"/>
                <w:szCs w:val="21"/>
              </w:rPr>
              <w:t>（20分）</w:t>
            </w:r>
          </w:p>
        </w:tc>
        <w:tc>
          <w:tcPr>
            <w:tcW w:w="3335" w:type="dxa"/>
            <w:vAlign w:val="center"/>
          </w:tcPr>
          <w:p w14:paraId="1BD93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1.企业应明确评审和修订安全生产规章制度和操作规程的时机和频次，定期进行评审和修订，确保其有效性和适用性。在发生以下情况时，应及时对相关的规章制度或操作规程进行评审、修订：</w:t>
            </w:r>
          </w:p>
          <w:p w14:paraId="6BA02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（1）当国家安全生产法律、法规、规程、标准废止、修订或新颁布时；</w:t>
            </w:r>
          </w:p>
          <w:p w14:paraId="1764B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（2）当企业归属、体制、规模发生重大变化时；</w:t>
            </w:r>
          </w:p>
          <w:p w14:paraId="6E912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（3）当生产设施新建、扩建、改建时；</w:t>
            </w:r>
          </w:p>
          <w:p w14:paraId="1055F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（4）当工艺、技术路线和装置设备发生变更时；</w:t>
            </w:r>
          </w:p>
          <w:p w14:paraId="65FB4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（5）当上级安全监督部门提出相关整改意见时；</w:t>
            </w:r>
          </w:p>
          <w:p w14:paraId="7AC61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（6）当安全检查、风险评价过程中发现涉及到规章制度层面的问题时；</w:t>
            </w:r>
          </w:p>
          <w:p w14:paraId="17B3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（7）当分析重大事故和重复事故原因，发现制度性因素时；</w:t>
            </w:r>
          </w:p>
          <w:p w14:paraId="7A744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（8）其他相关事项。</w:t>
            </w:r>
          </w:p>
        </w:tc>
        <w:tc>
          <w:tcPr>
            <w:tcW w:w="654" w:type="dxa"/>
            <w:vAlign w:val="center"/>
          </w:tcPr>
          <w:p w14:paraId="14865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2C600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1.《异丙醇生产装置操作规程》发生工艺参数变更未按规定评审和修订，扣3分</w:t>
            </w:r>
          </w:p>
          <w:p w14:paraId="4606E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2、漏评审应急预案评估制度，扣1分</w:t>
            </w:r>
          </w:p>
          <w:p w14:paraId="6F9EF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1679" w:type="dxa"/>
            <w:vAlign w:val="center"/>
          </w:tcPr>
          <w:p w14:paraId="263FD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14C1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015877D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8B1F2A7">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344D4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2.企业应组织相关管理人员、技术人员、操作人员和工会代表参加安全生产规章制度和操作规程评审和修订，注明生效日期。</w:t>
            </w:r>
          </w:p>
        </w:tc>
        <w:tc>
          <w:tcPr>
            <w:tcW w:w="654" w:type="dxa"/>
            <w:vAlign w:val="center"/>
          </w:tcPr>
          <w:p w14:paraId="5FEF4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641EE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规程修订缺少操作人员</w:t>
            </w:r>
          </w:p>
        </w:tc>
        <w:tc>
          <w:tcPr>
            <w:tcW w:w="1679" w:type="dxa"/>
            <w:vAlign w:val="center"/>
          </w:tcPr>
          <w:p w14:paraId="0207E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已明确要求所有SOP修订必须丰富的操作经验人员参与</w:t>
            </w:r>
          </w:p>
        </w:tc>
      </w:tr>
      <w:tr w14:paraId="7B81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vAlign w:val="top"/>
          </w:tcPr>
          <w:p w14:paraId="2BE7AFEE">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5培训教育</w:t>
            </w:r>
          </w:p>
          <w:p w14:paraId="274254A1">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vMerge w:val="restart"/>
            <w:vAlign w:val="top"/>
          </w:tcPr>
          <w:p w14:paraId="0E49C11B">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5.1培训教育管理</w:t>
            </w:r>
          </w:p>
          <w:p w14:paraId="1F2AEF13">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（20分）</w:t>
            </w:r>
          </w:p>
        </w:tc>
        <w:tc>
          <w:tcPr>
            <w:tcW w:w="3335" w:type="dxa"/>
            <w:vAlign w:val="center"/>
          </w:tcPr>
          <w:p w14:paraId="6B18E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3.企业应建立从业人员安全培训教育档案。</w:t>
            </w:r>
          </w:p>
        </w:tc>
        <w:tc>
          <w:tcPr>
            <w:tcW w:w="654" w:type="dxa"/>
            <w:vAlign w:val="center"/>
          </w:tcPr>
          <w:p w14:paraId="4043A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w:t>
            </w:r>
            <w:r>
              <w:rPr>
                <w:rFonts w:hint="eastAsia" w:ascii="仿宋" w:hAnsi="仿宋" w:cs="仿宋"/>
                <w:sz w:val="18"/>
                <w:szCs w:val="18"/>
                <w:lang w:val="en-US" w:eastAsia="zh-CN"/>
              </w:rPr>
              <w:t>3</w:t>
            </w:r>
          </w:p>
        </w:tc>
        <w:tc>
          <w:tcPr>
            <w:tcW w:w="2656" w:type="dxa"/>
            <w:vAlign w:val="center"/>
          </w:tcPr>
          <w:p w14:paraId="43663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培训教育档案有，本年度个人培训记录未整理打印存档</w:t>
            </w:r>
          </w:p>
        </w:tc>
        <w:tc>
          <w:tcPr>
            <w:tcW w:w="1679" w:type="dxa"/>
            <w:vAlign w:val="center"/>
          </w:tcPr>
          <w:p w14:paraId="46113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06E0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0F3F9ED">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5792933">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1B990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4.企业安全培训教育计划变更时，应记录变更情况。</w:t>
            </w:r>
          </w:p>
        </w:tc>
        <w:tc>
          <w:tcPr>
            <w:tcW w:w="654" w:type="dxa"/>
            <w:vAlign w:val="center"/>
          </w:tcPr>
          <w:p w14:paraId="3684F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499C8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安全培训教育计划未按计划变更。扣2分</w:t>
            </w:r>
          </w:p>
        </w:tc>
        <w:tc>
          <w:tcPr>
            <w:tcW w:w="1679" w:type="dxa"/>
            <w:vAlign w:val="center"/>
          </w:tcPr>
          <w:p w14:paraId="540F2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54A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12AE3C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73C38E79">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04A63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5.企业安全培训教育主管部门应对培训教育效果进行评价。</w:t>
            </w:r>
          </w:p>
        </w:tc>
        <w:tc>
          <w:tcPr>
            <w:tcW w:w="654" w:type="dxa"/>
            <w:vAlign w:val="center"/>
          </w:tcPr>
          <w:p w14:paraId="46561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46A68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1、对培训教育效果进行了评价和改进，见《培训效果评价表》。2、培训持续改进中，但未记录相关改进文件</w:t>
            </w:r>
          </w:p>
        </w:tc>
        <w:tc>
          <w:tcPr>
            <w:tcW w:w="1679" w:type="dxa"/>
            <w:vAlign w:val="center"/>
          </w:tcPr>
          <w:p w14:paraId="256A0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74FA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AA157C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5EE635F5">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3CF69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6.企业应确立终身教育的观念和全员培训的目标，对在岗的从业人员进行经常性安全培训教育。</w:t>
            </w:r>
          </w:p>
        </w:tc>
        <w:tc>
          <w:tcPr>
            <w:tcW w:w="654" w:type="dxa"/>
            <w:vAlign w:val="center"/>
          </w:tcPr>
          <w:p w14:paraId="42C41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w:t>
            </w:r>
            <w:r>
              <w:rPr>
                <w:rFonts w:hint="eastAsia" w:ascii="仿宋" w:hAnsi="仿宋" w:cs="仿宋"/>
                <w:sz w:val="18"/>
                <w:szCs w:val="18"/>
                <w:lang w:val="en-US" w:eastAsia="zh-CN"/>
              </w:rPr>
              <w:t>3</w:t>
            </w:r>
          </w:p>
        </w:tc>
        <w:tc>
          <w:tcPr>
            <w:tcW w:w="2656" w:type="dxa"/>
            <w:vAlign w:val="center"/>
          </w:tcPr>
          <w:p w14:paraId="79DEE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安排全员培训，</w:t>
            </w:r>
            <w:r>
              <w:rPr>
                <w:rFonts w:hint="eastAsia" w:ascii="仿宋" w:hAnsi="仿宋" w:cs="仿宋"/>
                <w:sz w:val="18"/>
                <w:szCs w:val="18"/>
                <w:lang w:val="en-US" w:eastAsia="zh-CN"/>
              </w:rPr>
              <w:t>3</w:t>
            </w:r>
            <w:r>
              <w:rPr>
                <w:rFonts w:hint="eastAsia" w:ascii="仿宋" w:hAnsi="仿宋" w:eastAsia="仿宋" w:cs="仿宋"/>
                <w:sz w:val="18"/>
                <w:szCs w:val="18"/>
                <w:lang w:val="en-US" w:eastAsia="zh-CN"/>
              </w:rPr>
              <w:t>人因特殊原因未参加培训人员的补训未完成</w:t>
            </w:r>
          </w:p>
        </w:tc>
        <w:tc>
          <w:tcPr>
            <w:tcW w:w="1679" w:type="dxa"/>
            <w:vAlign w:val="center"/>
          </w:tcPr>
          <w:p w14:paraId="15418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已对缺席人员组织了补训。</w:t>
            </w:r>
          </w:p>
        </w:tc>
      </w:tr>
      <w:tr w14:paraId="784E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56092C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02A00D1">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5.3管理人员培训</w:t>
            </w:r>
          </w:p>
          <w:p w14:paraId="09156F54">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（20分）</w:t>
            </w:r>
          </w:p>
        </w:tc>
        <w:tc>
          <w:tcPr>
            <w:tcW w:w="3335" w:type="dxa"/>
            <w:vAlign w:val="center"/>
          </w:tcPr>
          <w:p w14:paraId="459C1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2.企业其他管理人员，包括管理部门负责人和基层单位负责人、专业工程技术人员的安全培训教育由企业相关部门组织，经考核合格后方可任职。</w:t>
            </w:r>
          </w:p>
        </w:tc>
        <w:tc>
          <w:tcPr>
            <w:tcW w:w="654" w:type="dxa"/>
            <w:vAlign w:val="center"/>
          </w:tcPr>
          <w:p w14:paraId="6C1DD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w:t>
            </w:r>
            <w:r>
              <w:rPr>
                <w:rFonts w:hint="eastAsia" w:ascii="仿宋" w:hAnsi="仿宋" w:cs="仿宋"/>
                <w:sz w:val="18"/>
                <w:szCs w:val="18"/>
                <w:lang w:val="en-US" w:eastAsia="zh-CN"/>
              </w:rPr>
              <w:t>2</w:t>
            </w:r>
          </w:p>
        </w:tc>
        <w:tc>
          <w:tcPr>
            <w:tcW w:w="2656" w:type="dxa"/>
            <w:vAlign w:val="center"/>
          </w:tcPr>
          <w:p w14:paraId="606F2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其他管理人员同其余员工一起参加培训，但因故未参加的培训，也未及时补训，扣</w:t>
            </w:r>
            <w:r>
              <w:rPr>
                <w:rFonts w:hint="eastAsia" w:ascii="仿宋" w:hAnsi="仿宋" w:cs="仿宋"/>
                <w:sz w:val="18"/>
                <w:szCs w:val="18"/>
                <w:lang w:val="en-US" w:eastAsia="zh-CN"/>
              </w:rPr>
              <w:t>3</w:t>
            </w:r>
            <w:r>
              <w:rPr>
                <w:rFonts w:hint="eastAsia" w:ascii="仿宋" w:hAnsi="仿宋" w:eastAsia="仿宋" w:cs="仿宋"/>
                <w:sz w:val="18"/>
                <w:szCs w:val="18"/>
                <w:lang w:val="en-US" w:eastAsia="zh-CN"/>
              </w:rPr>
              <w:t>分；生产副总未参加每年的再培训口1分</w:t>
            </w:r>
          </w:p>
        </w:tc>
        <w:tc>
          <w:tcPr>
            <w:tcW w:w="1679" w:type="dxa"/>
            <w:vAlign w:val="center"/>
          </w:tcPr>
          <w:p w14:paraId="1847F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cs="仿宋"/>
                <w:sz w:val="18"/>
                <w:szCs w:val="18"/>
                <w:lang w:val="en-US" w:eastAsia="zh-CN"/>
              </w:rPr>
              <w:t>已对缺席人员组织了补训。</w:t>
            </w:r>
          </w:p>
        </w:tc>
      </w:tr>
      <w:tr w14:paraId="05E5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2EC6C75">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5008B6EB">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5.4从业人员培训教育</w:t>
            </w:r>
          </w:p>
          <w:p w14:paraId="546FBC75">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（30分）</w:t>
            </w:r>
          </w:p>
        </w:tc>
        <w:tc>
          <w:tcPr>
            <w:tcW w:w="3335" w:type="dxa"/>
            <w:vAlign w:val="center"/>
          </w:tcPr>
          <w:p w14:paraId="73F33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1.企业应对从业人员进行安全培训教育，并经考核合格后方可上岗。从业人员每年应接受再培训，再培训时间不得少于国家或地方政府规定学时。</w:t>
            </w:r>
          </w:p>
        </w:tc>
        <w:tc>
          <w:tcPr>
            <w:tcW w:w="654" w:type="dxa"/>
            <w:vAlign w:val="center"/>
          </w:tcPr>
          <w:p w14:paraId="532F7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-2</w:t>
            </w:r>
          </w:p>
        </w:tc>
        <w:tc>
          <w:tcPr>
            <w:tcW w:w="2656" w:type="dxa"/>
            <w:vAlign w:val="center"/>
          </w:tcPr>
          <w:p w14:paraId="58158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1、对从业人员进行安全培训教育，并经考核合格后方可上岗；从业人员初次培训学时不少于 72 学时，每年再培训学时不少于 20 学时，符合要求，见安全教育培训档案。</w:t>
            </w:r>
          </w:p>
          <w:p w14:paraId="74EE9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2、部分人员未达到规定要求的学时</w:t>
            </w:r>
            <w:r>
              <w:rPr>
                <w:rFonts w:hint="eastAsia" w:ascii="仿宋" w:hAnsi="仿宋" w:cs="仿宋"/>
                <w:sz w:val="18"/>
                <w:szCs w:val="18"/>
                <w:lang w:val="en-US" w:eastAsia="zh-CN"/>
              </w:rPr>
              <w:t>。</w:t>
            </w:r>
          </w:p>
        </w:tc>
        <w:tc>
          <w:tcPr>
            <w:tcW w:w="1679" w:type="dxa"/>
            <w:vAlign w:val="center"/>
          </w:tcPr>
          <w:p w14:paraId="1C681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cs="仿宋"/>
                <w:sz w:val="18"/>
                <w:szCs w:val="18"/>
                <w:lang w:val="en-US" w:eastAsia="zh-CN"/>
              </w:rPr>
              <w:t>已对缺席人员组织了补训。</w:t>
            </w:r>
          </w:p>
        </w:tc>
      </w:tr>
      <w:tr w14:paraId="342B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4EF7AA2F">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0B5AC748">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4C030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2.企业应按有关规定，对新从业人员进行厂级、车间(工段)级、班组级安全培训教育，经考核合格后，方可上岗。新从业人员安全培训教育时间不得少于国家或地方政府规定学时。</w:t>
            </w:r>
          </w:p>
        </w:tc>
        <w:tc>
          <w:tcPr>
            <w:tcW w:w="654" w:type="dxa"/>
            <w:vAlign w:val="center"/>
          </w:tcPr>
          <w:p w14:paraId="12BD9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-2</w:t>
            </w:r>
          </w:p>
        </w:tc>
        <w:tc>
          <w:tcPr>
            <w:tcW w:w="2656" w:type="dxa"/>
            <w:vAlign w:val="center"/>
          </w:tcPr>
          <w:p w14:paraId="25680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1.新从业人员均进行了三级安全培训教育，经考核合格后上岗，见《新员工三级安全教育记录卡》。</w:t>
            </w:r>
          </w:p>
          <w:p w14:paraId="7FFA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2.三级安全培训教育内容，学时均符合安全监管总局令第 3 号的规定。</w:t>
            </w:r>
          </w:p>
          <w:p w14:paraId="487FE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3、经检查发现车间级两名人员未经考核扣2分；2名老员工三级教育档案不全；</w:t>
            </w:r>
          </w:p>
        </w:tc>
        <w:tc>
          <w:tcPr>
            <w:tcW w:w="1679" w:type="dxa"/>
            <w:vAlign w:val="center"/>
          </w:tcPr>
          <w:p w14:paraId="7C719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已补训及考核，完善档案。</w:t>
            </w:r>
          </w:p>
        </w:tc>
      </w:tr>
      <w:tr w14:paraId="4902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E891EC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01D8FCD0">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5.5其他人员培训教育</w:t>
            </w:r>
          </w:p>
          <w:p w14:paraId="0A9AB875">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（10分）</w:t>
            </w:r>
          </w:p>
        </w:tc>
        <w:tc>
          <w:tcPr>
            <w:tcW w:w="3335" w:type="dxa"/>
            <w:vAlign w:val="center"/>
          </w:tcPr>
          <w:p w14:paraId="0B00B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1.企业从业人员转岗、脱离岗位一年以上(含一年)者，应进行车间（工段）、班组级安全培训教育，经考核合格后，方可上岗。</w:t>
            </w:r>
          </w:p>
        </w:tc>
        <w:tc>
          <w:tcPr>
            <w:tcW w:w="654" w:type="dxa"/>
            <w:vAlign w:val="center"/>
          </w:tcPr>
          <w:p w14:paraId="592BA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656" w:type="dxa"/>
            <w:vAlign w:val="center"/>
          </w:tcPr>
          <w:p w14:paraId="05F09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缺张柯欣、王治金转岗培训记录扣4分</w:t>
            </w:r>
          </w:p>
        </w:tc>
        <w:tc>
          <w:tcPr>
            <w:tcW w:w="1679" w:type="dxa"/>
            <w:vAlign w:val="center"/>
          </w:tcPr>
          <w:p w14:paraId="46EDE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已补训完善纪录。</w:t>
            </w:r>
          </w:p>
        </w:tc>
      </w:tr>
      <w:tr w14:paraId="281B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E6DDBF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43457707">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168B0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对承包商的作业人员进行入厂安全培训教育，经考核合格发放入厂证，保存安全培训教育记录。进入作业现场前，作业现场所在基层单位应对施工单位的作业人员进行进入现场前安全培训教育，保存安全培训教育记录。</w:t>
            </w:r>
          </w:p>
        </w:tc>
        <w:tc>
          <w:tcPr>
            <w:tcW w:w="654" w:type="dxa"/>
            <w:vAlign w:val="center"/>
          </w:tcPr>
          <w:p w14:paraId="79CF8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59D4E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一名承包商未发放入场证</w:t>
            </w:r>
          </w:p>
        </w:tc>
        <w:tc>
          <w:tcPr>
            <w:tcW w:w="1679" w:type="dxa"/>
            <w:vAlign w:val="center"/>
          </w:tcPr>
          <w:p w14:paraId="5F839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613D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63E7CD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341D0582">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5.6日常安全教育</w:t>
            </w:r>
          </w:p>
          <w:p w14:paraId="40044A21">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(10分)</w:t>
            </w:r>
          </w:p>
        </w:tc>
        <w:tc>
          <w:tcPr>
            <w:tcW w:w="3335" w:type="dxa"/>
            <w:vAlign w:val="center"/>
          </w:tcPr>
          <w:p w14:paraId="76518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1.企业管理部门、班组应按照月度安全活动计划开展安全活动和基本功训练。</w:t>
            </w:r>
          </w:p>
        </w:tc>
        <w:tc>
          <w:tcPr>
            <w:tcW w:w="654" w:type="dxa"/>
            <w:vAlign w:val="center"/>
          </w:tcPr>
          <w:p w14:paraId="36DB9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2656" w:type="dxa"/>
            <w:vAlign w:val="center"/>
          </w:tcPr>
          <w:p w14:paraId="5BCF8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车间未按计划开展安全活动，缺1次扣3分。</w:t>
            </w:r>
          </w:p>
        </w:tc>
        <w:tc>
          <w:tcPr>
            <w:tcW w:w="1679" w:type="dxa"/>
            <w:vAlign w:val="center"/>
          </w:tcPr>
          <w:p w14:paraId="77932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4FAC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4B24584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5E4C02F9">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63705D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班组安全活动每月不少于2次，每次活动时间不少于1学时。班组安全活动应有负责人、有计划、有内容、有记录。企业负责人应每月至少参加1次班组安全活动，基层单位负责人及其管理人员应每月至少参加2次班组安全活动。</w:t>
            </w:r>
          </w:p>
        </w:tc>
        <w:tc>
          <w:tcPr>
            <w:tcW w:w="654" w:type="dxa"/>
            <w:vAlign w:val="center"/>
          </w:tcPr>
          <w:p w14:paraId="33BAF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8B5E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有参加安全活动，但频次不够</w:t>
            </w:r>
          </w:p>
        </w:tc>
        <w:tc>
          <w:tcPr>
            <w:tcW w:w="1679" w:type="dxa"/>
            <w:vAlign w:val="center"/>
          </w:tcPr>
          <w:p w14:paraId="0EB1A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已做要求完善。</w:t>
            </w:r>
          </w:p>
        </w:tc>
      </w:tr>
      <w:tr w14:paraId="7B9E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005FCBA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B53B549">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174D0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4.企业安全生产管理部门或专职安全生产管理人员应每月至少1次对安全活动记录进行检查，并签字。</w:t>
            </w:r>
          </w:p>
        </w:tc>
        <w:tc>
          <w:tcPr>
            <w:tcW w:w="654" w:type="dxa"/>
            <w:vAlign w:val="center"/>
          </w:tcPr>
          <w:p w14:paraId="58780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2A327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未对生产部安全活动记录进行检查扣2分</w:t>
            </w:r>
          </w:p>
        </w:tc>
        <w:tc>
          <w:tcPr>
            <w:tcW w:w="1679" w:type="dxa"/>
            <w:vAlign w:val="center"/>
          </w:tcPr>
          <w:p w14:paraId="36889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default"/>
                <w:spacing w:val="13"/>
                <w:sz w:val="18"/>
                <w:szCs w:val="18"/>
              </w:rPr>
              <w:t>已严格要求专职安全</w:t>
            </w:r>
            <w:r>
              <w:rPr>
                <w:rFonts w:hint="default"/>
                <w:spacing w:val="4"/>
                <w:sz w:val="18"/>
                <w:szCs w:val="18"/>
              </w:rPr>
              <w:t xml:space="preserve"> </w:t>
            </w:r>
            <w:r>
              <w:rPr>
                <w:rFonts w:hint="default"/>
                <w:spacing w:val="15"/>
                <w:sz w:val="18"/>
                <w:szCs w:val="18"/>
              </w:rPr>
              <w:t>管理人员对安全活动</w:t>
            </w:r>
            <w:r>
              <w:rPr>
                <w:rFonts w:hint="default"/>
                <w:spacing w:val="6"/>
                <w:sz w:val="18"/>
                <w:szCs w:val="18"/>
              </w:rPr>
              <w:t xml:space="preserve"> </w:t>
            </w:r>
            <w:r>
              <w:rPr>
                <w:rFonts w:hint="default"/>
                <w:spacing w:val="-1"/>
                <w:sz w:val="18"/>
                <w:szCs w:val="18"/>
              </w:rPr>
              <w:t>记录进行检查签字。</w:t>
            </w:r>
          </w:p>
        </w:tc>
      </w:tr>
      <w:tr w14:paraId="0AA3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7D91D409">
            <w:pPr>
              <w:keepNext w:val="0"/>
              <w:keepLines w:val="0"/>
              <w:suppressLineNumbers w:val="0"/>
              <w:tabs>
                <w:tab w:val="left" w:pos="372"/>
              </w:tabs>
              <w:spacing w:before="0" w:beforeAutospacing="0" w:after="0" w:afterAutospacing="0" w:line="280" w:lineRule="exact"/>
              <w:ind w:left="0" w:right="0"/>
              <w:rPr>
                <w:rFonts w:hint="eastAsia" w:ascii="仿宋" w:hAnsi="仿宋" w:eastAsia="仿宋" w:cs="仿宋"/>
                <w:b/>
                <w:bCs/>
                <w:sz w:val="21"/>
                <w:szCs w:val="21"/>
                <w:lang w:val="zh-CN"/>
              </w:rPr>
            </w:pPr>
            <w:r>
              <w:rPr>
                <w:rFonts w:hint="eastAsia" w:ascii="仿宋" w:hAnsi="仿宋" w:eastAsia="仿宋" w:cs="仿宋"/>
                <w:b/>
                <w:bCs/>
                <w:sz w:val="21"/>
                <w:szCs w:val="21"/>
              </w:rPr>
              <w:t>6</w:t>
            </w:r>
            <w:r>
              <w:rPr>
                <w:rFonts w:hint="eastAsia" w:ascii="仿宋" w:hAnsi="仿宋" w:eastAsia="仿宋" w:cs="仿宋"/>
                <w:b/>
                <w:bCs/>
                <w:sz w:val="21"/>
                <w:szCs w:val="21"/>
                <w:lang w:val="zh-CN"/>
              </w:rPr>
              <w:t>生产设施及工艺安全</w:t>
            </w:r>
          </w:p>
          <w:p w14:paraId="167E1866">
            <w:pPr>
              <w:keepNext w:val="0"/>
              <w:keepLines w:val="0"/>
              <w:suppressLineNumbers w:val="0"/>
              <w:spacing w:before="0" w:beforeAutospacing="0" w:after="0" w:afterAutospacing="0"/>
              <w:ind w:left="0" w:right="0"/>
              <w:jc w:val="both"/>
              <w:rPr>
                <w:rFonts w:hint="eastAsia" w:ascii="仿宋" w:hAnsi="仿宋" w:eastAsia="仿宋" w:cs="仿宋"/>
                <w:b/>
                <w:bCs/>
                <w:sz w:val="21"/>
                <w:szCs w:val="21"/>
                <w:vertAlign w:val="baseline"/>
              </w:rPr>
            </w:pPr>
            <w:r>
              <w:rPr>
                <w:rFonts w:hint="eastAsia" w:ascii="仿宋" w:hAnsi="仿宋" w:eastAsia="仿宋" w:cs="仿宋"/>
                <w:b/>
                <w:bCs/>
                <w:sz w:val="21"/>
                <w:szCs w:val="21"/>
                <w:lang w:val="zh-CN"/>
              </w:rPr>
              <w:t>（100分）</w:t>
            </w:r>
          </w:p>
        </w:tc>
        <w:tc>
          <w:tcPr>
            <w:tcW w:w="1236" w:type="dxa"/>
          </w:tcPr>
          <w:p w14:paraId="639BA3D7">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color w:val="000000"/>
                <w:sz w:val="21"/>
                <w:szCs w:val="21"/>
                <w:lang w:val="zh-CN"/>
              </w:rPr>
              <w:t>6.</w:t>
            </w:r>
            <w:r>
              <w:rPr>
                <w:rFonts w:hint="eastAsia" w:ascii="仿宋" w:hAnsi="仿宋" w:eastAsia="仿宋" w:cs="仿宋"/>
                <w:b/>
                <w:bCs/>
                <w:color w:val="000000"/>
                <w:kern w:val="0"/>
                <w:sz w:val="21"/>
                <w:szCs w:val="21"/>
                <w:lang w:val="zh-CN"/>
              </w:rPr>
              <w:t>1生产设施建设（10分）</w:t>
            </w:r>
          </w:p>
        </w:tc>
        <w:tc>
          <w:tcPr>
            <w:tcW w:w="3335" w:type="dxa"/>
            <w:vAlign w:val="center"/>
          </w:tcPr>
          <w:p w14:paraId="468B4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4.企业建设项目建设过程中的变更应严格执行变更管理规定，履行变更程序，对变更全过程进行风险管理。</w:t>
            </w:r>
          </w:p>
        </w:tc>
        <w:tc>
          <w:tcPr>
            <w:tcW w:w="654" w:type="dxa"/>
            <w:vAlign w:val="center"/>
          </w:tcPr>
          <w:p w14:paraId="4F1D0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2656" w:type="dxa"/>
            <w:vAlign w:val="center"/>
          </w:tcPr>
          <w:p w14:paraId="2F763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2#车间异丙醇</w:t>
            </w:r>
            <w:r>
              <w:rPr>
                <w:rFonts w:hint="eastAsia" w:ascii="仿宋" w:hAnsi="仿宋" w:eastAsia="仿宋" w:cs="仿宋"/>
                <w:sz w:val="18"/>
                <w:szCs w:val="18"/>
                <w:lang w:val="zh-CN" w:eastAsia="zh-CN"/>
              </w:rPr>
              <w:t>工艺变更未执行变更程序；</w:t>
            </w:r>
            <w:r>
              <w:rPr>
                <w:rFonts w:hint="eastAsia" w:ascii="仿宋" w:hAnsi="仿宋" w:eastAsia="仿宋" w:cs="仿宋"/>
                <w:sz w:val="18"/>
                <w:szCs w:val="18"/>
                <w:lang w:val="en-US" w:eastAsia="zh-CN"/>
              </w:rPr>
              <w:t>扣3分；</w:t>
            </w:r>
            <w:r>
              <w:rPr>
                <w:rFonts w:hint="eastAsia" w:ascii="仿宋" w:hAnsi="仿宋" w:eastAsia="仿宋" w:cs="仿宋"/>
                <w:sz w:val="18"/>
                <w:szCs w:val="18"/>
                <w:lang w:val="zh-CN" w:eastAsia="zh-CN"/>
              </w:rPr>
              <w:t>有变更管理但未开展变更风险分析无记录</w:t>
            </w:r>
            <w:r>
              <w:rPr>
                <w:rFonts w:hint="eastAsia" w:ascii="仿宋" w:hAnsi="仿宋" w:eastAsia="仿宋" w:cs="仿宋"/>
                <w:sz w:val="18"/>
                <w:szCs w:val="18"/>
                <w:lang w:val="en-US" w:eastAsia="zh-CN"/>
              </w:rPr>
              <w:t>扣，3分</w:t>
            </w:r>
          </w:p>
        </w:tc>
        <w:tc>
          <w:tcPr>
            <w:tcW w:w="1679" w:type="dxa"/>
            <w:vAlign w:val="center"/>
          </w:tcPr>
          <w:p w14:paraId="04FC2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已补充完善工艺变更。</w:t>
            </w:r>
          </w:p>
        </w:tc>
      </w:tr>
      <w:tr w14:paraId="20CE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DB4EF33">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04A3E52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color w:val="000000"/>
                <w:kern w:val="0"/>
                <w:sz w:val="21"/>
                <w:szCs w:val="21"/>
                <w:lang w:val="zh-CN"/>
              </w:rPr>
              <w:t>6.2安全设施（20分）</w:t>
            </w:r>
          </w:p>
        </w:tc>
        <w:tc>
          <w:tcPr>
            <w:tcW w:w="3335" w:type="dxa"/>
            <w:vAlign w:val="center"/>
          </w:tcPr>
          <w:p w14:paraId="5AB95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1.企业应严格执行安全设施管理制度，建立安全设施台账。</w:t>
            </w:r>
          </w:p>
        </w:tc>
        <w:tc>
          <w:tcPr>
            <w:tcW w:w="654" w:type="dxa"/>
            <w:vAlign w:val="center"/>
          </w:tcPr>
          <w:p w14:paraId="43BC7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1BBD9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zh-CN" w:eastAsia="zh-CN"/>
              </w:rPr>
              <w:t>未建立完整的安全设施台账</w:t>
            </w:r>
          </w:p>
        </w:tc>
        <w:tc>
          <w:tcPr>
            <w:tcW w:w="1679" w:type="dxa"/>
            <w:vAlign w:val="center"/>
          </w:tcPr>
          <w:p w14:paraId="7F926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已建立台账</w:t>
            </w:r>
          </w:p>
        </w:tc>
      </w:tr>
      <w:tr w14:paraId="59BA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B1D60A0">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7F7F93AC">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3ECEC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2.企业应确保安全设施配备符合国家有关规定和标准,做到：</w:t>
            </w:r>
          </w:p>
          <w:p w14:paraId="7B684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（1）宜按照SH3063－1999在易燃、易爆、有毒区域设置固定式可燃气体和/或有毒气体的检测报警设施，报警信号应发送至工艺装置、储运设施等控制室或操作室；</w:t>
            </w:r>
          </w:p>
          <w:p w14:paraId="0CD4E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（2）按照GB50351在可燃液体罐区设置防火堤，在酸、碱罐区设置围堤并进行防腐处理；</w:t>
            </w:r>
          </w:p>
          <w:p w14:paraId="311FF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（3）宜按照SH3097－2000在输送易燃物料的设备、管道安装防静电设施；</w:t>
            </w:r>
          </w:p>
          <w:p w14:paraId="0CC9A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（4）按照GB50057在厂区安装防雷设施；</w:t>
            </w:r>
          </w:p>
          <w:p w14:paraId="510E2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（5）按照GB50016、GB50140配置消防设施与</w:t>
            </w:r>
          </w:p>
          <w:p w14:paraId="585B2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器材；</w:t>
            </w:r>
          </w:p>
          <w:p w14:paraId="42B49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（6）按照GB50058设置电力装置；</w:t>
            </w:r>
          </w:p>
          <w:p w14:paraId="0EED1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（7）按照GB11651配备个体防护设施；</w:t>
            </w:r>
          </w:p>
          <w:p w14:paraId="00018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（8）厂房、库房建筑应符合GB50016、GB50160；</w:t>
            </w:r>
          </w:p>
          <w:p w14:paraId="0677C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（9）在工艺装置上可能引起火灾、爆炸的部位设置超温、超压等检测仪表、声和/或光报警和安全联锁装置等设施。</w:t>
            </w:r>
          </w:p>
        </w:tc>
        <w:tc>
          <w:tcPr>
            <w:tcW w:w="654" w:type="dxa"/>
            <w:vAlign w:val="center"/>
          </w:tcPr>
          <w:p w14:paraId="0B1A0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46F2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公用工程站使用盐酸区域未配置洗眼器，扣2分</w:t>
            </w:r>
          </w:p>
        </w:tc>
        <w:tc>
          <w:tcPr>
            <w:tcW w:w="1679" w:type="dxa"/>
            <w:vAlign w:val="center"/>
          </w:tcPr>
          <w:p w14:paraId="23685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已增加配置</w:t>
            </w:r>
          </w:p>
        </w:tc>
      </w:tr>
      <w:tr w14:paraId="0C42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1DF8A86">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37715BA9">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7D937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3.企业的各种安全设施应有专人负责管理，定期检查和维护保养。</w:t>
            </w:r>
          </w:p>
        </w:tc>
        <w:tc>
          <w:tcPr>
            <w:tcW w:w="654" w:type="dxa"/>
            <w:vAlign w:val="center"/>
          </w:tcPr>
          <w:p w14:paraId="6B4A8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43DEC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zh-CN" w:eastAsia="zh-CN"/>
              </w:rPr>
              <w:t>无人负责安全设施的管理档案</w:t>
            </w:r>
            <w:r>
              <w:rPr>
                <w:rFonts w:hint="eastAsia" w:ascii="仿宋" w:hAnsi="仿宋" w:eastAsia="仿宋" w:cs="仿宋"/>
                <w:sz w:val="18"/>
                <w:szCs w:val="18"/>
                <w:lang w:val="en-US" w:eastAsia="zh-CN"/>
              </w:rPr>
              <w:t>扣2分</w:t>
            </w:r>
          </w:p>
        </w:tc>
        <w:tc>
          <w:tcPr>
            <w:tcW w:w="1679" w:type="dxa"/>
            <w:vAlign w:val="center"/>
          </w:tcPr>
          <w:p w14:paraId="1F8D6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已在制度中明确职责要求。</w:t>
            </w:r>
          </w:p>
        </w:tc>
      </w:tr>
      <w:tr w14:paraId="672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6EF5AA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0C36408D">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076D8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4.安全设施应编入设备检维修计划，定期检维修。安全设施不得随意拆除、挪用或弃置不用，因检维修拆除的，检维修完毕后应立即复原。</w:t>
            </w:r>
          </w:p>
        </w:tc>
        <w:tc>
          <w:tcPr>
            <w:tcW w:w="654" w:type="dxa"/>
            <w:vAlign w:val="center"/>
          </w:tcPr>
          <w:p w14:paraId="0376D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945D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zh-CN" w:eastAsia="zh-CN"/>
              </w:rPr>
              <w:t>无相应的检修计划，一处扣2分；</w:t>
            </w:r>
          </w:p>
        </w:tc>
        <w:tc>
          <w:tcPr>
            <w:tcW w:w="1679" w:type="dxa"/>
            <w:vAlign w:val="center"/>
          </w:tcPr>
          <w:p w14:paraId="104AE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已制定计划。</w:t>
            </w:r>
          </w:p>
        </w:tc>
      </w:tr>
      <w:tr w14:paraId="436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904596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6523893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33E43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5.企业应对监视和测量设备进行规范管理，建立监视和测量设备台账，定期进行校准和维护，并保存校准和维护活动的记录。</w:t>
            </w:r>
          </w:p>
        </w:tc>
        <w:tc>
          <w:tcPr>
            <w:tcW w:w="654" w:type="dxa"/>
            <w:vAlign w:val="center"/>
          </w:tcPr>
          <w:p w14:paraId="28A3F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7855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台账不全扣2分</w:t>
            </w:r>
          </w:p>
        </w:tc>
        <w:tc>
          <w:tcPr>
            <w:tcW w:w="1679" w:type="dxa"/>
            <w:vAlign w:val="center"/>
          </w:tcPr>
          <w:p w14:paraId="7952B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已补充完善台账管理。</w:t>
            </w:r>
          </w:p>
        </w:tc>
      </w:tr>
      <w:tr w14:paraId="1520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5F4B40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000A1FD6">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color w:val="000000"/>
                <w:kern w:val="0"/>
                <w:sz w:val="21"/>
                <w:szCs w:val="21"/>
                <w:lang w:val="zh-CN"/>
              </w:rPr>
              <w:t>6.3特种设备（10分）</w:t>
            </w:r>
          </w:p>
        </w:tc>
        <w:tc>
          <w:tcPr>
            <w:tcW w:w="3335" w:type="dxa"/>
            <w:vAlign w:val="center"/>
          </w:tcPr>
          <w:p w14:paraId="3EF33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3.特种设备投入使用前或者投入使用后30日内，企业应当向直辖市或者设区的市特种设备监督管理部门登记注册。</w:t>
            </w:r>
          </w:p>
        </w:tc>
        <w:tc>
          <w:tcPr>
            <w:tcW w:w="654" w:type="dxa"/>
            <w:vAlign w:val="center"/>
          </w:tcPr>
          <w:p w14:paraId="03C55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A4BB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防爆叉车未办理登记；扣2分</w:t>
            </w:r>
          </w:p>
        </w:tc>
        <w:tc>
          <w:tcPr>
            <w:tcW w:w="1679" w:type="dxa"/>
            <w:vAlign w:val="center"/>
          </w:tcPr>
          <w:p w14:paraId="6DBFD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已列入计划办理登记。</w:t>
            </w:r>
          </w:p>
        </w:tc>
      </w:tr>
      <w:tr w14:paraId="2A7A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DD25665">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00A10CF6">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0C1A2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5.企业应对在用特种设备及安全附件、安全保护装置、测量调控装置及有关附属仪器仪表进行定期校验、检修，并保存记录。</w:t>
            </w:r>
          </w:p>
        </w:tc>
        <w:tc>
          <w:tcPr>
            <w:tcW w:w="654" w:type="dxa"/>
            <w:vAlign w:val="center"/>
          </w:tcPr>
          <w:p w14:paraId="7C939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656" w:type="dxa"/>
            <w:vAlign w:val="center"/>
          </w:tcPr>
          <w:p w14:paraId="43C33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防爆叉车无定期校验报告扣4分；</w:t>
            </w:r>
          </w:p>
        </w:tc>
        <w:tc>
          <w:tcPr>
            <w:tcW w:w="1679" w:type="dxa"/>
            <w:vAlign w:val="center"/>
          </w:tcPr>
          <w:p w14:paraId="2C88A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已列入计划完善。</w:t>
            </w:r>
          </w:p>
        </w:tc>
      </w:tr>
      <w:tr w14:paraId="58D0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D8A9623">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01E80482">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color w:val="000000"/>
                <w:kern w:val="0"/>
                <w:sz w:val="21"/>
                <w:szCs w:val="21"/>
                <w:lang w:val="zh-CN"/>
              </w:rPr>
              <w:t>6.4工艺安全（25分）</w:t>
            </w:r>
          </w:p>
        </w:tc>
        <w:tc>
          <w:tcPr>
            <w:tcW w:w="3335" w:type="dxa"/>
            <w:vAlign w:val="center"/>
          </w:tcPr>
          <w:p w14:paraId="0DA98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3.企业应对工艺过程进行风险分析：</w:t>
            </w:r>
          </w:p>
          <w:p w14:paraId="42AC9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（1）工艺过程中的危险性；</w:t>
            </w:r>
          </w:p>
          <w:p w14:paraId="32C2B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（2）工作场所潜在事故发生因素；</w:t>
            </w:r>
          </w:p>
          <w:p w14:paraId="718CD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（3）控制失效的影响；</w:t>
            </w:r>
          </w:p>
          <w:p w14:paraId="1AF39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（4）人为因素等。</w:t>
            </w:r>
          </w:p>
        </w:tc>
        <w:tc>
          <w:tcPr>
            <w:tcW w:w="654" w:type="dxa"/>
            <w:vAlign w:val="center"/>
          </w:tcPr>
          <w:p w14:paraId="28FEF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1A0A3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1.对工艺过程进行了风险分析，见《安全风险分级指南和隐患排查治理双控预防手册》。</w:t>
            </w:r>
          </w:p>
          <w:p w14:paraId="37062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2、岗位操作规程内容中针对工艺操作中的风险制定有安全措施及应急处置措施，见《岗位安全操作规程》。</w:t>
            </w:r>
          </w:p>
          <w:p w14:paraId="4B267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3.经现场检查，1 人不清楚岗位风险及控制措施，扣 1 分。</w:t>
            </w:r>
          </w:p>
        </w:tc>
        <w:tc>
          <w:tcPr>
            <w:tcW w:w="1679" w:type="dxa"/>
            <w:vAlign w:val="center"/>
          </w:tcPr>
          <w:p w14:paraId="5C335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已组织风险分析的知识培训。</w:t>
            </w:r>
          </w:p>
        </w:tc>
      </w:tr>
      <w:tr w14:paraId="1DFE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E986B7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558A9F5">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02225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5.企业生产装置停车应满足下列要求：</w:t>
            </w:r>
          </w:p>
          <w:p w14:paraId="12DF1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（1）编制停车方案；</w:t>
            </w:r>
          </w:p>
          <w:p w14:paraId="01D29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（2）操作人员能够按停车方案和操作规程进行操作。</w:t>
            </w:r>
          </w:p>
        </w:tc>
        <w:tc>
          <w:tcPr>
            <w:tcW w:w="654" w:type="dxa"/>
            <w:vAlign w:val="center"/>
          </w:tcPr>
          <w:p w14:paraId="07309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49604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1.编制了停车方案，能够按停车方案和操作规程进行操作，见停车方案。</w:t>
            </w:r>
          </w:p>
          <w:p w14:paraId="5BFF9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2.经现场检查，1 人不清楚停车要求，扣 1 分。</w:t>
            </w:r>
          </w:p>
        </w:tc>
        <w:tc>
          <w:tcPr>
            <w:tcW w:w="1679" w:type="dxa"/>
            <w:vAlign w:val="center"/>
          </w:tcPr>
          <w:p w14:paraId="4916B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已完善并组织培训。</w:t>
            </w:r>
          </w:p>
        </w:tc>
      </w:tr>
      <w:tr w14:paraId="0A2A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4B042E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1B52456">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099E9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6.企业生产装置紧急情况处理应遵守下列要求：</w:t>
            </w:r>
          </w:p>
          <w:p w14:paraId="69C5D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（1）发现或发生紧急情况，应按照不伤害人员为原则，妥善处理，同时向有关方面报告；</w:t>
            </w:r>
          </w:p>
          <w:p w14:paraId="586AB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（2）工艺及机电设备等发生异常情况时，采取适当的措施，并通知有关岗位协调处理，必要时，按程序紧急停车。</w:t>
            </w:r>
          </w:p>
        </w:tc>
        <w:tc>
          <w:tcPr>
            <w:tcW w:w="654" w:type="dxa"/>
            <w:vAlign w:val="center"/>
          </w:tcPr>
          <w:p w14:paraId="5F1F6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3E8E5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1#车间一名人员不清楚紧急及异常情况处理措施和上报程序，扣1分</w:t>
            </w:r>
          </w:p>
        </w:tc>
        <w:tc>
          <w:tcPr>
            <w:tcW w:w="1679" w:type="dxa"/>
            <w:vAlign w:val="center"/>
          </w:tcPr>
          <w:p w14:paraId="5AF77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已组织培训。</w:t>
            </w:r>
          </w:p>
        </w:tc>
      </w:tr>
      <w:tr w14:paraId="4034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856FE3B">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508626AA">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4826B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7.企业生产装置泄压系统或排空系统排放的危险化学品应引至安全地点并得到妥善处理。</w:t>
            </w:r>
          </w:p>
        </w:tc>
        <w:tc>
          <w:tcPr>
            <w:tcW w:w="654" w:type="dxa"/>
            <w:vAlign w:val="center"/>
          </w:tcPr>
          <w:p w14:paraId="026E1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5E397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双氧水原料罐区安全阀排放口直接排放地面未设置围堰扣2分</w:t>
            </w:r>
          </w:p>
        </w:tc>
        <w:tc>
          <w:tcPr>
            <w:tcW w:w="1679" w:type="dxa"/>
            <w:vAlign w:val="center"/>
          </w:tcPr>
          <w:p w14:paraId="79624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已建设围堰，专门收集。</w:t>
            </w:r>
          </w:p>
        </w:tc>
      </w:tr>
      <w:tr w14:paraId="168D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45B4BC05">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4D947809">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color w:val="000000"/>
                <w:kern w:val="0"/>
                <w:sz w:val="21"/>
                <w:szCs w:val="21"/>
                <w:lang w:val="zh-CN"/>
              </w:rPr>
              <w:t>6.5关键装置及重点部位（15分）</w:t>
            </w:r>
          </w:p>
        </w:tc>
        <w:tc>
          <w:tcPr>
            <w:tcW w:w="3335" w:type="dxa"/>
            <w:vAlign w:val="center"/>
          </w:tcPr>
          <w:p w14:paraId="38074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1.企业应加强对关键装置、重点部位安全管理，实行企业领导干部联系点管理机制。</w:t>
            </w:r>
          </w:p>
        </w:tc>
        <w:tc>
          <w:tcPr>
            <w:tcW w:w="654" w:type="dxa"/>
            <w:vAlign w:val="center"/>
          </w:tcPr>
          <w:p w14:paraId="792A6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69F92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1.制定有关键装置、重点部位管理制度，确定了关键装置、重点部位，建立有关键装置、重点部位台 账，见《关键装置、重点部位风险防控清单》。</w:t>
            </w:r>
          </w:p>
          <w:p w14:paraId="3A862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2.关键装置、重点部位台账内容全面。</w:t>
            </w:r>
          </w:p>
          <w:p w14:paraId="55BB8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3.建立有联系点机制，实行四级承包制（公司级、部门/车间级、班组级、岗位级）。</w:t>
            </w:r>
          </w:p>
          <w:p w14:paraId="33134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4、未建立联系点机制，扣2分；</w:t>
            </w:r>
          </w:p>
        </w:tc>
        <w:tc>
          <w:tcPr>
            <w:tcW w:w="1679" w:type="dxa"/>
            <w:vAlign w:val="center"/>
          </w:tcPr>
          <w:p w14:paraId="4FFA1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已建立联系点机制制度明确要求。</w:t>
            </w:r>
          </w:p>
        </w:tc>
      </w:tr>
      <w:tr w14:paraId="184F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41FDDB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41808643">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3ECB2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2.联系人对所负责的关键装置、重点部位负有安全监督与指导责任，包括：</w:t>
            </w:r>
          </w:p>
          <w:p w14:paraId="2BCCC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（1）指导安全联系点实现安全生产；</w:t>
            </w:r>
          </w:p>
          <w:p w14:paraId="113DC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（2）监督安全生产方针、政策、法规、制度的执行和落实；</w:t>
            </w:r>
          </w:p>
          <w:p w14:paraId="24812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（3）定期检查安全生产中存在的问题；</w:t>
            </w:r>
          </w:p>
          <w:p w14:paraId="24285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（4）督促隐患项目治理；</w:t>
            </w:r>
          </w:p>
          <w:p w14:paraId="4A043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（5）监督事故处理原则的落实；</w:t>
            </w:r>
          </w:p>
          <w:p w14:paraId="4E990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（6）解决影响安全生产的突出问题等。</w:t>
            </w:r>
          </w:p>
        </w:tc>
        <w:tc>
          <w:tcPr>
            <w:tcW w:w="654" w:type="dxa"/>
            <w:vAlign w:val="center"/>
          </w:tcPr>
          <w:p w14:paraId="428DD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72F02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经检查，有 2 次联系人对 所负责的关键装置、重点 部位监督指导未记录，扣 2 分。</w:t>
            </w:r>
          </w:p>
        </w:tc>
        <w:tc>
          <w:tcPr>
            <w:tcW w:w="1679" w:type="dxa"/>
            <w:vAlign w:val="center"/>
          </w:tcPr>
          <w:p w14:paraId="21886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default"/>
                <w:spacing w:val="13"/>
                <w:sz w:val="18"/>
                <w:szCs w:val="18"/>
              </w:rPr>
              <w:t>已严格要求联系人对</w:t>
            </w:r>
            <w:r>
              <w:rPr>
                <w:rFonts w:hint="default"/>
                <w:spacing w:val="1"/>
                <w:sz w:val="18"/>
                <w:szCs w:val="18"/>
              </w:rPr>
              <w:t xml:space="preserve"> </w:t>
            </w:r>
            <w:r>
              <w:rPr>
                <w:rFonts w:hint="default"/>
                <w:spacing w:val="-5"/>
                <w:sz w:val="18"/>
                <w:szCs w:val="18"/>
              </w:rPr>
              <w:t>所负责的关键装置、重</w:t>
            </w:r>
            <w:r>
              <w:rPr>
                <w:rFonts w:hint="default"/>
                <w:spacing w:val="8"/>
                <w:sz w:val="18"/>
                <w:szCs w:val="18"/>
              </w:rPr>
              <w:t xml:space="preserve"> </w:t>
            </w:r>
            <w:r>
              <w:rPr>
                <w:rFonts w:hint="default"/>
                <w:spacing w:val="-5"/>
                <w:sz w:val="18"/>
                <w:szCs w:val="18"/>
              </w:rPr>
              <w:t>点部位进行监督指导，</w:t>
            </w:r>
            <w:r>
              <w:rPr>
                <w:rFonts w:hint="default"/>
                <w:spacing w:val="8"/>
                <w:sz w:val="18"/>
                <w:szCs w:val="18"/>
              </w:rPr>
              <w:t xml:space="preserve"> </w:t>
            </w:r>
            <w:r>
              <w:rPr>
                <w:rFonts w:hint="default"/>
                <w:spacing w:val="-2"/>
                <w:sz w:val="18"/>
                <w:szCs w:val="18"/>
              </w:rPr>
              <w:t>并签字确认。</w:t>
            </w:r>
          </w:p>
        </w:tc>
      </w:tr>
      <w:tr w14:paraId="1BFC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FCC700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1150A27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4B7E6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3.联系人应每月至少到联系点进行一次安全活动，活动形式包括参加基层班组安全活动、安全检查、督促治理事故隐患、安全工作指示等。</w:t>
            </w:r>
          </w:p>
        </w:tc>
        <w:tc>
          <w:tcPr>
            <w:tcW w:w="654" w:type="dxa"/>
            <w:vAlign w:val="center"/>
          </w:tcPr>
          <w:p w14:paraId="34195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C9A6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经现场检查，有 2 次联系 人到联系点活动未记录， 扣 2 分。</w:t>
            </w:r>
          </w:p>
        </w:tc>
        <w:tc>
          <w:tcPr>
            <w:tcW w:w="1679" w:type="dxa"/>
            <w:vAlign w:val="center"/>
          </w:tcPr>
          <w:p w14:paraId="5D7B3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default"/>
                <w:spacing w:val="13"/>
                <w:sz w:val="18"/>
                <w:szCs w:val="18"/>
              </w:rPr>
              <w:t>已严格要求联系人对</w:t>
            </w:r>
            <w:r>
              <w:rPr>
                <w:rFonts w:hint="default"/>
                <w:spacing w:val="1"/>
                <w:sz w:val="18"/>
                <w:szCs w:val="18"/>
              </w:rPr>
              <w:t xml:space="preserve"> </w:t>
            </w:r>
            <w:r>
              <w:rPr>
                <w:rFonts w:hint="default"/>
                <w:spacing w:val="-5"/>
                <w:sz w:val="18"/>
                <w:szCs w:val="18"/>
              </w:rPr>
              <w:t>所负责的关键装置、重</w:t>
            </w:r>
            <w:r>
              <w:rPr>
                <w:rFonts w:hint="default"/>
                <w:spacing w:val="8"/>
                <w:sz w:val="18"/>
                <w:szCs w:val="18"/>
              </w:rPr>
              <w:t xml:space="preserve"> </w:t>
            </w:r>
            <w:r>
              <w:rPr>
                <w:rFonts w:hint="default"/>
                <w:spacing w:val="-5"/>
                <w:sz w:val="18"/>
                <w:szCs w:val="18"/>
              </w:rPr>
              <w:t>点部位进行监督指导，</w:t>
            </w:r>
            <w:r>
              <w:rPr>
                <w:rFonts w:hint="default"/>
                <w:spacing w:val="8"/>
                <w:sz w:val="18"/>
                <w:szCs w:val="18"/>
              </w:rPr>
              <w:t xml:space="preserve"> </w:t>
            </w:r>
            <w:r>
              <w:rPr>
                <w:rFonts w:hint="default"/>
                <w:spacing w:val="-2"/>
                <w:sz w:val="18"/>
                <w:szCs w:val="18"/>
              </w:rPr>
              <w:t>并签字确认。</w:t>
            </w:r>
          </w:p>
        </w:tc>
      </w:tr>
      <w:tr w14:paraId="52EE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2C2541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7853982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1EFC4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4.企业应建立关键装置、重点部位档案，建立企业、管理部门、基层单位及班组监控机制，明确各级组织、各专业的职责，定期进行监督检查，并形成记录。</w:t>
            </w:r>
          </w:p>
        </w:tc>
        <w:tc>
          <w:tcPr>
            <w:tcW w:w="654" w:type="dxa"/>
            <w:vAlign w:val="center"/>
          </w:tcPr>
          <w:p w14:paraId="5605F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5BE5A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1.建立了关键装置、重点部位台账。</w:t>
            </w:r>
          </w:p>
          <w:p w14:paraId="20D41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2.建立了四级承包制（公司级、部门/车间级、班组级、岗位级）。</w:t>
            </w:r>
          </w:p>
          <w:p w14:paraId="5687B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3.明确了各级组织、各专业职责；</w:t>
            </w:r>
          </w:p>
          <w:p w14:paraId="68E83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4.经检查，有 2 次监督检查未记录，扣 2 分。</w:t>
            </w:r>
          </w:p>
        </w:tc>
        <w:tc>
          <w:tcPr>
            <w:tcW w:w="1679" w:type="dxa"/>
            <w:vAlign w:val="center"/>
          </w:tcPr>
          <w:p w14:paraId="4D0FB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default"/>
                <w:spacing w:val="13"/>
                <w:sz w:val="18"/>
                <w:szCs w:val="18"/>
              </w:rPr>
              <w:t>已严格要求联系人对</w:t>
            </w:r>
            <w:r>
              <w:rPr>
                <w:rFonts w:hint="default"/>
                <w:spacing w:val="1"/>
                <w:sz w:val="18"/>
                <w:szCs w:val="18"/>
              </w:rPr>
              <w:t xml:space="preserve"> </w:t>
            </w:r>
            <w:r>
              <w:rPr>
                <w:rFonts w:hint="default"/>
                <w:spacing w:val="-5"/>
                <w:sz w:val="18"/>
                <w:szCs w:val="18"/>
              </w:rPr>
              <w:t>所负责的关键装置、重</w:t>
            </w:r>
            <w:r>
              <w:rPr>
                <w:rFonts w:hint="default"/>
                <w:spacing w:val="8"/>
                <w:sz w:val="18"/>
                <w:szCs w:val="18"/>
              </w:rPr>
              <w:t xml:space="preserve"> </w:t>
            </w:r>
            <w:r>
              <w:rPr>
                <w:rFonts w:hint="default"/>
                <w:spacing w:val="-5"/>
                <w:sz w:val="18"/>
                <w:szCs w:val="18"/>
              </w:rPr>
              <w:t>点部位进行监督指导，</w:t>
            </w:r>
            <w:r>
              <w:rPr>
                <w:rFonts w:hint="default"/>
                <w:spacing w:val="8"/>
                <w:sz w:val="18"/>
                <w:szCs w:val="18"/>
              </w:rPr>
              <w:t xml:space="preserve"> </w:t>
            </w:r>
            <w:r>
              <w:rPr>
                <w:rFonts w:hint="default"/>
                <w:spacing w:val="-2"/>
                <w:sz w:val="18"/>
                <w:szCs w:val="18"/>
              </w:rPr>
              <w:t>并签字确认。</w:t>
            </w:r>
          </w:p>
        </w:tc>
      </w:tr>
      <w:tr w14:paraId="1C54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873588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1234AD2F">
            <w:pPr>
              <w:keepNext w:val="0"/>
              <w:keepLines w:val="0"/>
              <w:suppressLineNumbers w:val="0"/>
              <w:spacing w:before="0" w:beforeAutospacing="0" w:after="0" w:afterAutospacing="0" w:line="280" w:lineRule="exact"/>
              <w:ind w:left="0" w:right="0"/>
              <w:rPr>
                <w:rFonts w:hint="eastAsia" w:ascii="仿宋" w:hAnsi="仿宋" w:eastAsia="仿宋" w:cs="仿宋"/>
                <w:b/>
                <w:bCs/>
                <w:color w:val="000000"/>
                <w:kern w:val="0"/>
                <w:sz w:val="21"/>
                <w:szCs w:val="21"/>
                <w:lang w:val="zh-CN"/>
              </w:rPr>
            </w:pPr>
            <w:r>
              <w:rPr>
                <w:rFonts w:hint="eastAsia" w:ascii="仿宋" w:hAnsi="仿宋" w:eastAsia="仿宋" w:cs="仿宋"/>
                <w:b/>
                <w:bCs/>
                <w:color w:val="000000"/>
                <w:kern w:val="0"/>
                <w:sz w:val="21"/>
                <w:szCs w:val="21"/>
                <w:lang w:val="zh-CN"/>
              </w:rPr>
              <w:t>6.7拆除和报废（10分）</w:t>
            </w:r>
          </w:p>
        </w:tc>
        <w:tc>
          <w:tcPr>
            <w:tcW w:w="3335" w:type="dxa"/>
            <w:vAlign w:val="center"/>
          </w:tcPr>
          <w:p w14:paraId="18EE6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严格执行生产设施拆除和报废管理制度。拆除作业前，拆除作业负责人应与需拆除设施的主管部门和使用单位共同到现场进行对接，作业人员进行危险、有害因素识别，制定拆除计划或方案，办理拆除设施交接手续。</w:t>
            </w:r>
          </w:p>
        </w:tc>
        <w:tc>
          <w:tcPr>
            <w:tcW w:w="654" w:type="dxa"/>
            <w:vAlign w:val="center"/>
          </w:tcPr>
          <w:p w14:paraId="29B79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58855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1.制定有生产设施拆除和报废管理制度，严格履行设备拆除手续，见《公司安全生产规章制度》</w:t>
            </w:r>
          </w:p>
          <w:p w14:paraId="5996B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2、未对拆除和报废作业进行风险分析并制定风险控制措施。扣1分。</w:t>
            </w:r>
          </w:p>
        </w:tc>
        <w:tc>
          <w:tcPr>
            <w:tcW w:w="1679" w:type="dxa"/>
            <w:vAlign w:val="center"/>
          </w:tcPr>
          <w:p w14:paraId="1CC6C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p>
        </w:tc>
      </w:tr>
      <w:tr w14:paraId="2F3B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vAlign w:val="top"/>
          </w:tcPr>
          <w:p w14:paraId="0593E510">
            <w:pPr>
              <w:keepNext w:val="0"/>
              <w:keepLines w:val="0"/>
              <w:suppressLineNumbers w:val="0"/>
              <w:spacing w:before="0" w:beforeAutospacing="0" w:after="0" w:afterAutospacing="0" w:line="280" w:lineRule="exact"/>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7 作业安全</w:t>
            </w:r>
          </w:p>
          <w:p w14:paraId="79A71424">
            <w:pPr>
              <w:keepNext w:val="0"/>
              <w:keepLines w:val="0"/>
              <w:suppressLineNumbers w:val="0"/>
              <w:tabs>
                <w:tab w:val="left" w:pos="372"/>
              </w:tabs>
              <w:spacing w:before="0" w:beforeAutospacing="0" w:after="0" w:afterAutospacing="0" w:line="280" w:lineRule="exact"/>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（100分）</w:t>
            </w:r>
          </w:p>
          <w:p w14:paraId="50F5EE1C">
            <w:pPr>
              <w:keepNext w:val="0"/>
              <w:keepLines w:val="0"/>
              <w:suppressLineNumbers w:val="0"/>
              <w:tabs>
                <w:tab w:val="left" w:pos="372"/>
              </w:tabs>
              <w:spacing w:before="0" w:beforeAutospacing="0" w:after="0" w:afterAutospacing="0" w:line="280" w:lineRule="exact"/>
              <w:ind w:left="0" w:right="0"/>
              <w:rPr>
                <w:rFonts w:hint="eastAsia" w:ascii="仿宋" w:hAnsi="仿宋" w:eastAsia="仿宋" w:cs="仿宋"/>
                <w:b/>
                <w:bCs/>
                <w:sz w:val="21"/>
                <w:szCs w:val="21"/>
                <w:vertAlign w:val="baseline"/>
              </w:rPr>
            </w:pPr>
          </w:p>
        </w:tc>
        <w:tc>
          <w:tcPr>
            <w:tcW w:w="1236" w:type="dxa"/>
            <w:vAlign w:val="top"/>
          </w:tcPr>
          <w:p w14:paraId="5F2FC99A">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7.2</w:t>
            </w:r>
          </w:p>
          <w:p w14:paraId="5A3BEDDB">
            <w:pPr>
              <w:keepNext w:val="0"/>
              <w:keepLines w:val="0"/>
              <w:suppressLineNumbers w:val="0"/>
              <w:spacing w:before="0" w:beforeAutospacing="0" w:after="0" w:afterAutospacing="0" w:line="280" w:lineRule="exact"/>
              <w:ind w:left="0" w:right="0"/>
              <w:jc w:val="center"/>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警示标志</w:t>
            </w:r>
          </w:p>
          <w:p w14:paraId="3205D865">
            <w:pPr>
              <w:keepNext w:val="0"/>
              <w:keepLines w:val="0"/>
              <w:suppressLineNumbers w:val="0"/>
              <w:spacing w:before="0" w:beforeAutospacing="0" w:after="0" w:afterAutospacing="0" w:line="280" w:lineRule="exact"/>
              <w:ind w:left="0" w:right="0"/>
              <w:jc w:val="center"/>
              <w:rPr>
                <w:rFonts w:hint="eastAsia" w:ascii="仿宋" w:hAnsi="仿宋" w:eastAsia="仿宋" w:cs="仿宋"/>
                <w:b/>
                <w:bCs/>
                <w:color w:val="000000"/>
                <w:kern w:val="0"/>
                <w:sz w:val="21"/>
                <w:szCs w:val="21"/>
                <w:lang w:val="zh-CN"/>
              </w:rPr>
            </w:pPr>
            <w:r>
              <w:rPr>
                <w:rStyle w:val="20"/>
                <w:rFonts w:hint="eastAsia" w:ascii="仿宋" w:hAnsi="仿宋" w:eastAsia="仿宋" w:cs="仿宋"/>
                <w:b/>
                <w:bCs/>
                <w:color w:val="000000"/>
                <w:sz w:val="21"/>
                <w:szCs w:val="21"/>
              </w:rPr>
              <w:t>（15分</w:t>
            </w:r>
          </w:p>
        </w:tc>
        <w:tc>
          <w:tcPr>
            <w:tcW w:w="3335" w:type="dxa"/>
            <w:vAlign w:val="center"/>
          </w:tcPr>
          <w:p w14:paraId="3D855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5.企业应在可能产生严重职业危害作业岗位的醒目位置，按照GBZ158设置职业危害警示标识，同时设置告知牌，告知产生职业危害的种类、后果、预防及应急救治措施、作业场所职业危害因素检测结果等。</w:t>
            </w:r>
          </w:p>
        </w:tc>
        <w:tc>
          <w:tcPr>
            <w:tcW w:w="654" w:type="dxa"/>
            <w:vAlign w:val="center"/>
          </w:tcPr>
          <w:p w14:paraId="1CB97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2C291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1.在可能产生严重职业危害作业岗位的醒目位置，按照GBZ158 设置有职业危害警示标识和告知牌。</w:t>
            </w:r>
          </w:p>
          <w:p w14:paraId="1F917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2.建立有警示标志和告知牌管理台账。</w:t>
            </w:r>
          </w:p>
          <w:p w14:paraId="688D3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3、现场无告知职业病危害因素检测结果，扣1分</w:t>
            </w:r>
          </w:p>
        </w:tc>
        <w:tc>
          <w:tcPr>
            <w:tcW w:w="1679" w:type="dxa"/>
            <w:vAlign w:val="center"/>
          </w:tcPr>
          <w:p w14:paraId="14860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已完成增加告知牌</w:t>
            </w:r>
          </w:p>
        </w:tc>
      </w:tr>
      <w:tr w14:paraId="1F27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306D23B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01889CAD">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7.3</w:t>
            </w:r>
          </w:p>
          <w:p w14:paraId="50A01ED0">
            <w:pPr>
              <w:keepNext w:val="0"/>
              <w:keepLines w:val="0"/>
              <w:suppressLineNumbers w:val="0"/>
              <w:spacing w:before="0" w:beforeAutospacing="0" w:after="0" w:afterAutospacing="0" w:line="280" w:lineRule="exact"/>
              <w:ind w:left="0" w:right="0"/>
              <w:jc w:val="center"/>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作业环节</w:t>
            </w:r>
          </w:p>
          <w:p w14:paraId="2A641E6B">
            <w:pPr>
              <w:keepNext w:val="0"/>
              <w:keepLines w:val="0"/>
              <w:suppressLineNumbers w:val="0"/>
              <w:spacing w:before="0" w:beforeAutospacing="0" w:after="0" w:afterAutospacing="0" w:line="280" w:lineRule="exact"/>
              <w:ind w:left="0" w:right="0"/>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（40分）</w:t>
            </w:r>
          </w:p>
          <w:p w14:paraId="490F999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4952D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5.企业应保持作业环境整洁。</w:t>
            </w:r>
          </w:p>
        </w:tc>
        <w:tc>
          <w:tcPr>
            <w:tcW w:w="654" w:type="dxa"/>
            <w:vAlign w:val="center"/>
          </w:tcPr>
          <w:p w14:paraId="4E605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7F26F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作业环境或工器具、材料等摆放不符合要求。扣1分。</w:t>
            </w:r>
          </w:p>
        </w:tc>
        <w:tc>
          <w:tcPr>
            <w:tcW w:w="1679" w:type="dxa"/>
            <w:vAlign w:val="center"/>
          </w:tcPr>
          <w:p w14:paraId="31D93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已对现场进行了5S治理。</w:t>
            </w:r>
          </w:p>
        </w:tc>
      </w:tr>
      <w:tr w14:paraId="4498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098D55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47F0B0F5">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7.4</w:t>
            </w:r>
          </w:p>
          <w:p w14:paraId="6EDC7CBF">
            <w:pPr>
              <w:keepNext w:val="0"/>
              <w:keepLines w:val="0"/>
              <w:suppressLineNumbers w:val="0"/>
              <w:spacing w:before="0" w:beforeAutospacing="0" w:after="0" w:afterAutospacing="0" w:line="280" w:lineRule="exact"/>
              <w:ind w:left="0" w:right="0"/>
              <w:jc w:val="center"/>
              <w:rPr>
                <w:rStyle w:val="20"/>
                <w:rFonts w:hint="eastAsia" w:ascii="仿宋" w:hAnsi="仿宋" w:eastAsia="仿宋" w:cs="仿宋"/>
                <w:b/>
                <w:bCs/>
                <w:color w:val="000000"/>
                <w:sz w:val="21"/>
                <w:szCs w:val="21"/>
              </w:rPr>
            </w:pPr>
            <w:r>
              <w:rPr>
                <w:rStyle w:val="20"/>
                <w:rFonts w:hint="eastAsia" w:ascii="仿宋" w:hAnsi="仿宋" w:eastAsia="仿宋" w:cs="仿宋"/>
                <w:b/>
                <w:bCs/>
                <w:color w:val="000000"/>
                <w:sz w:val="21"/>
                <w:szCs w:val="21"/>
              </w:rPr>
              <w:t>承包商</w:t>
            </w:r>
          </w:p>
          <w:p w14:paraId="19965389">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r>
              <w:rPr>
                <w:rStyle w:val="20"/>
                <w:rFonts w:hint="eastAsia" w:ascii="仿宋" w:hAnsi="仿宋" w:eastAsia="仿宋" w:cs="仿宋"/>
                <w:b/>
                <w:bCs/>
                <w:color w:val="000000"/>
                <w:sz w:val="21"/>
                <w:szCs w:val="21"/>
              </w:rPr>
              <w:t>（25分）</w:t>
            </w:r>
          </w:p>
        </w:tc>
        <w:tc>
          <w:tcPr>
            <w:tcW w:w="3335" w:type="dxa"/>
            <w:vAlign w:val="center"/>
          </w:tcPr>
          <w:p w14:paraId="2E2AE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企业应严格执行承包商管理制度，对承包商资格预审、选择、开工前准备、作业过程监督、表现评价、续用等过程进行管理，建立合格承包商名录和档案。企业应与选用的承包商签订安全协议书。</w:t>
            </w:r>
          </w:p>
        </w:tc>
        <w:tc>
          <w:tcPr>
            <w:tcW w:w="654" w:type="dxa"/>
            <w:vAlign w:val="center"/>
          </w:tcPr>
          <w:p w14:paraId="57064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1D493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承包商进行作业现场安全交底，对承包商的安全作业规程、施工方案和应急预案的审查存在缺失， 扣 5 分。</w:t>
            </w:r>
          </w:p>
        </w:tc>
        <w:tc>
          <w:tcPr>
            <w:tcW w:w="1679" w:type="dxa"/>
            <w:vAlign w:val="center"/>
          </w:tcPr>
          <w:p w14:paraId="0FAEB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w:t>
            </w:r>
            <w:r>
              <w:rPr>
                <w:rFonts w:hint="default"/>
                <w:spacing w:val="1"/>
                <w:sz w:val="18"/>
                <w:szCs w:val="18"/>
              </w:rPr>
              <w:t>计划于</w:t>
            </w:r>
            <w:r>
              <w:rPr>
                <w:rFonts w:hint="default"/>
                <w:spacing w:val="-22"/>
                <w:sz w:val="18"/>
                <w:szCs w:val="18"/>
              </w:rPr>
              <w:t xml:space="preserve"> </w:t>
            </w:r>
            <w:r>
              <w:rPr>
                <w:rFonts w:hint="default"/>
                <w:spacing w:val="1"/>
                <w:sz w:val="18"/>
                <w:szCs w:val="18"/>
              </w:rPr>
              <w:t>202</w:t>
            </w:r>
            <w:r>
              <w:rPr>
                <w:rFonts w:hint="eastAsia"/>
                <w:spacing w:val="1"/>
                <w:sz w:val="18"/>
                <w:szCs w:val="18"/>
                <w:lang w:val="en-US" w:eastAsia="zh-CN"/>
              </w:rPr>
              <w:t>4</w:t>
            </w:r>
            <w:r>
              <w:rPr>
                <w:rFonts w:hint="default"/>
                <w:spacing w:val="1"/>
                <w:sz w:val="18"/>
                <w:szCs w:val="18"/>
              </w:rPr>
              <w:t>年开始，</w:t>
            </w:r>
            <w:r>
              <w:rPr>
                <w:rFonts w:hint="default"/>
                <w:sz w:val="18"/>
                <w:szCs w:val="18"/>
              </w:rPr>
              <w:t xml:space="preserve"> </w:t>
            </w:r>
            <w:r>
              <w:rPr>
                <w:rFonts w:hint="default"/>
                <w:spacing w:val="10"/>
                <w:sz w:val="18"/>
                <w:szCs w:val="18"/>
              </w:rPr>
              <w:t>对厂区</w:t>
            </w:r>
            <w:r>
              <w:rPr>
                <w:rFonts w:hint="default"/>
                <w:spacing w:val="-41"/>
                <w:sz w:val="18"/>
                <w:szCs w:val="18"/>
              </w:rPr>
              <w:t xml:space="preserve"> </w:t>
            </w:r>
            <w:r>
              <w:rPr>
                <w:rFonts w:hint="default"/>
                <w:spacing w:val="10"/>
                <w:sz w:val="18"/>
                <w:szCs w:val="18"/>
              </w:rPr>
              <w:t>内所有承包商</w:t>
            </w:r>
            <w:r>
              <w:rPr>
                <w:rFonts w:hint="default"/>
                <w:sz w:val="18"/>
                <w:szCs w:val="18"/>
              </w:rPr>
              <w:t xml:space="preserve"> </w:t>
            </w:r>
            <w:r>
              <w:rPr>
                <w:rFonts w:hint="default"/>
                <w:spacing w:val="15"/>
                <w:sz w:val="18"/>
                <w:szCs w:val="18"/>
              </w:rPr>
              <w:t>进行作业现场安全交</w:t>
            </w:r>
            <w:r>
              <w:rPr>
                <w:rFonts w:hint="default"/>
                <w:spacing w:val="4"/>
                <w:sz w:val="18"/>
                <w:szCs w:val="18"/>
              </w:rPr>
              <w:t xml:space="preserve"> </w:t>
            </w:r>
            <w:r>
              <w:rPr>
                <w:rFonts w:hint="default"/>
                <w:spacing w:val="-4"/>
                <w:sz w:val="18"/>
                <w:szCs w:val="18"/>
              </w:rPr>
              <w:t>底，对承包商的安全作</w:t>
            </w:r>
            <w:r>
              <w:rPr>
                <w:rFonts w:hint="default"/>
                <w:sz w:val="18"/>
                <w:szCs w:val="18"/>
              </w:rPr>
              <w:t xml:space="preserve"> </w:t>
            </w:r>
            <w:r>
              <w:rPr>
                <w:rFonts w:hint="default"/>
                <w:spacing w:val="-4"/>
                <w:sz w:val="18"/>
                <w:szCs w:val="18"/>
              </w:rPr>
              <w:t>业规程、施工方案和应</w:t>
            </w:r>
            <w:r>
              <w:rPr>
                <w:rFonts w:hint="default"/>
                <w:sz w:val="18"/>
                <w:szCs w:val="18"/>
              </w:rPr>
              <w:t xml:space="preserve"> </w:t>
            </w:r>
            <w:r>
              <w:rPr>
                <w:rFonts w:hint="default"/>
                <w:spacing w:val="-1"/>
                <w:sz w:val="18"/>
                <w:szCs w:val="18"/>
              </w:rPr>
              <w:t>急预案进行审查。</w:t>
            </w:r>
          </w:p>
        </w:tc>
      </w:tr>
      <w:tr w14:paraId="1EDD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4EF40D9B">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8职业健康</w:t>
            </w:r>
          </w:p>
          <w:p w14:paraId="5ADF3CC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tcPr>
          <w:p w14:paraId="382960C1">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8.2</w:t>
            </w:r>
          </w:p>
          <w:p w14:paraId="08BFBDB2">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作业场所职业危害管理</w:t>
            </w:r>
          </w:p>
          <w:p w14:paraId="7F1203F7">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（50分）</w:t>
            </w:r>
          </w:p>
          <w:p w14:paraId="6ED22D29">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624B7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1.企业应制定职业危害防治计划和实施方案，建立健全职业卫生档案和从业人员健康监护档案。</w:t>
            </w:r>
          </w:p>
        </w:tc>
        <w:tc>
          <w:tcPr>
            <w:tcW w:w="654" w:type="dxa"/>
            <w:vAlign w:val="center"/>
          </w:tcPr>
          <w:p w14:paraId="6AF9F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7E34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1.制定有职业危害防治方案。</w:t>
            </w:r>
          </w:p>
          <w:p w14:paraId="23862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2.建立有职业卫生档案，包括职业危害防护设施台账、职业危害监测结果、健康监护报告等。</w:t>
            </w:r>
          </w:p>
          <w:p w14:paraId="520F0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3.建立了档案，但档案内容未完善扣2分。</w:t>
            </w:r>
          </w:p>
        </w:tc>
        <w:tc>
          <w:tcPr>
            <w:tcW w:w="1679" w:type="dxa"/>
            <w:vAlign w:val="center"/>
          </w:tcPr>
          <w:p w14:paraId="46C0E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已完善档案管理。</w:t>
            </w:r>
          </w:p>
        </w:tc>
      </w:tr>
      <w:tr w14:paraId="2634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D1E31E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7E89D2A5">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8.3</w:t>
            </w:r>
          </w:p>
          <w:p w14:paraId="75DB1267">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劳动防护用品</w:t>
            </w:r>
          </w:p>
          <w:p w14:paraId="09CE08EC">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（25分）</w:t>
            </w:r>
          </w:p>
          <w:p w14:paraId="20D05499">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79E1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3.企业应建立职业卫生防护设施及个体防护用品管理台账，加强对劳动防护用品使用情况的检查监督，凡不按规定使用劳动防护用品者不得上岗作业。</w:t>
            </w:r>
          </w:p>
        </w:tc>
        <w:tc>
          <w:tcPr>
            <w:tcW w:w="654" w:type="dxa"/>
            <w:vAlign w:val="center"/>
          </w:tcPr>
          <w:p w14:paraId="0F594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w:t>
            </w:r>
          </w:p>
        </w:tc>
        <w:tc>
          <w:tcPr>
            <w:tcW w:w="2656" w:type="dxa"/>
            <w:vAlign w:val="center"/>
          </w:tcPr>
          <w:p w14:paraId="6F338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1.建立有职业卫生防护设施台账。</w:t>
            </w:r>
          </w:p>
          <w:p w14:paraId="27B44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2.作业人员均按规定使用劳动防护用品。</w:t>
            </w:r>
          </w:p>
          <w:p w14:paraId="6001A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3.台帐不完善扣3分；台账内容不符合要求扣2分</w:t>
            </w:r>
          </w:p>
        </w:tc>
        <w:tc>
          <w:tcPr>
            <w:tcW w:w="1679" w:type="dxa"/>
            <w:vAlign w:val="center"/>
          </w:tcPr>
          <w:p w14:paraId="02A78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已完善台账管理。</w:t>
            </w:r>
          </w:p>
        </w:tc>
      </w:tr>
      <w:tr w14:paraId="3FF0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56A966B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9 危险化学品管理</w:t>
            </w:r>
          </w:p>
          <w:p w14:paraId="2935F8FF">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（100分）</w:t>
            </w:r>
          </w:p>
          <w:p w14:paraId="795BC189">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p>
          <w:p w14:paraId="13A16B84">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1EB003D8">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9.1</w:t>
            </w:r>
          </w:p>
          <w:p w14:paraId="3BB09331">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危险化学品档案</w:t>
            </w:r>
          </w:p>
          <w:p w14:paraId="2424713F">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r>
              <w:rPr>
                <w:rFonts w:hint="eastAsia" w:ascii="仿宋" w:hAnsi="仿宋" w:eastAsia="仿宋" w:cs="仿宋"/>
                <w:b/>
                <w:bCs/>
                <w:sz w:val="21"/>
                <w:szCs w:val="21"/>
              </w:rPr>
              <w:t>（10分）</w:t>
            </w:r>
          </w:p>
        </w:tc>
        <w:tc>
          <w:tcPr>
            <w:tcW w:w="3335" w:type="dxa"/>
            <w:vAlign w:val="center"/>
          </w:tcPr>
          <w:p w14:paraId="7C0D1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企业应对所有危险化学品，包括产品、原料和中间产品进行普查，建立危险化学品档案。</w:t>
            </w:r>
          </w:p>
        </w:tc>
        <w:tc>
          <w:tcPr>
            <w:tcW w:w="654" w:type="dxa"/>
            <w:vAlign w:val="center"/>
          </w:tcPr>
          <w:p w14:paraId="5B0A3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3E78F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1.对所有危险化学品进行普查，见化学品普查表。</w:t>
            </w:r>
          </w:p>
          <w:p w14:paraId="4F6D3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2.建立有危险化学品档案，档案内容包括危险化学品危险性分类和包装类别。</w:t>
            </w:r>
          </w:p>
          <w:p w14:paraId="177F9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3.缺出入库台，档案内容不全，扣2分。</w:t>
            </w:r>
          </w:p>
        </w:tc>
        <w:tc>
          <w:tcPr>
            <w:tcW w:w="1679" w:type="dxa"/>
            <w:vAlign w:val="center"/>
          </w:tcPr>
          <w:p w14:paraId="1B751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已完善化学品管理。</w:t>
            </w:r>
          </w:p>
        </w:tc>
      </w:tr>
      <w:tr w14:paraId="04B8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896" w:type="dxa"/>
            <w:vMerge w:val="continue"/>
          </w:tcPr>
          <w:p w14:paraId="08A89439">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5BDE12B">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9.3</w:t>
            </w:r>
          </w:p>
          <w:p w14:paraId="766B1F02">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化学品安全技术说明书和安全标签</w:t>
            </w:r>
          </w:p>
          <w:p w14:paraId="4EC4577C">
            <w:pPr>
              <w:keepNext w:val="0"/>
              <w:keepLines w:val="0"/>
              <w:suppressLineNumbers w:val="0"/>
              <w:spacing w:before="0" w:beforeAutospacing="0" w:after="0" w:afterAutospacing="0" w:line="280" w:lineRule="exact"/>
              <w:ind w:left="0" w:right="0"/>
              <w:jc w:val="center"/>
              <w:rPr>
                <w:rFonts w:hint="eastAsia" w:ascii="仿宋" w:hAnsi="仿宋" w:eastAsia="仿宋" w:cs="仿宋"/>
                <w:b/>
                <w:bCs/>
                <w:color w:val="000000"/>
                <w:kern w:val="0"/>
                <w:sz w:val="21"/>
                <w:szCs w:val="21"/>
                <w:lang w:val="zh-CN"/>
              </w:rPr>
            </w:pPr>
            <w:r>
              <w:rPr>
                <w:rFonts w:hint="eastAsia" w:ascii="仿宋" w:hAnsi="仿宋" w:eastAsia="仿宋" w:cs="仿宋"/>
                <w:b/>
                <w:bCs/>
                <w:sz w:val="21"/>
                <w:szCs w:val="21"/>
              </w:rPr>
              <w:t>（10分）</w:t>
            </w:r>
          </w:p>
        </w:tc>
        <w:tc>
          <w:tcPr>
            <w:tcW w:w="3335" w:type="dxa"/>
            <w:vAlign w:val="center"/>
          </w:tcPr>
          <w:p w14:paraId="356E5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1.生产企业的产品属危险化学品时，应按GB 16483和GB 15258编制产品安全技术说明书和安全标签，并提供给用户。</w:t>
            </w:r>
          </w:p>
        </w:tc>
        <w:tc>
          <w:tcPr>
            <w:tcW w:w="654" w:type="dxa"/>
            <w:vAlign w:val="center"/>
          </w:tcPr>
          <w:p w14:paraId="683F7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3438D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采购的盐酸、液氨、双氧水等向销售单位索取了“一书一签 ”。</w:t>
            </w:r>
          </w:p>
        </w:tc>
        <w:tc>
          <w:tcPr>
            <w:tcW w:w="1679" w:type="dxa"/>
            <w:vAlign w:val="center"/>
          </w:tcPr>
          <w:p w14:paraId="1AE9E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已收集完全并发放到相应的部门、车间。</w:t>
            </w:r>
          </w:p>
        </w:tc>
      </w:tr>
      <w:tr w14:paraId="362F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724E0A8">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1E38D4A5">
            <w:pPr>
              <w:keepNext w:val="0"/>
              <w:keepLines w:val="0"/>
              <w:suppressLineNumbers w:val="0"/>
              <w:spacing w:before="0" w:beforeAutospacing="0" w:after="0" w:afterAutospacing="0" w:line="280" w:lineRule="exact"/>
              <w:ind w:left="0" w:right="0"/>
              <w:rPr>
                <w:rFonts w:hint="eastAsia" w:ascii="仿宋" w:hAnsi="仿宋" w:eastAsia="仿宋" w:cs="仿宋"/>
                <w:b/>
                <w:bCs/>
                <w:color w:val="000000"/>
                <w:sz w:val="21"/>
                <w:szCs w:val="21"/>
              </w:rPr>
            </w:pPr>
            <w:r>
              <w:rPr>
                <w:rFonts w:hint="eastAsia" w:ascii="仿宋" w:hAnsi="仿宋" w:eastAsia="仿宋" w:cs="仿宋"/>
                <w:b/>
                <w:bCs/>
                <w:color w:val="000000"/>
                <w:sz w:val="21"/>
                <w:szCs w:val="21"/>
              </w:rPr>
              <w:t>9.7储存和运输</w:t>
            </w:r>
          </w:p>
          <w:p w14:paraId="6CABAE5F">
            <w:pPr>
              <w:keepNext w:val="0"/>
              <w:keepLines w:val="0"/>
              <w:suppressLineNumbers w:val="0"/>
              <w:spacing w:before="0" w:beforeAutospacing="0" w:after="0" w:afterAutospacing="0" w:line="280" w:lineRule="exact"/>
              <w:ind w:left="0" w:right="0"/>
              <w:jc w:val="center"/>
              <w:rPr>
                <w:rFonts w:hint="eastAsia" w:ascii="仿宋" w:hAnsi="仿宋" w:eastAsia="仿宋" w:cs="仿宋"/>
                <w:b/>
                <w:bCs/>
                <w:color w:val="000000"/>
                <w:kern w:val="0"/>
                <w:sz w:val="21"/>
                <w:szCs w:val="21"/>
                <w:lang w:val="zh-CN"/>
              </w:rPr>
            </w:pPr>
            <w:r>
              <w:rPr>
                <w:rFonts w:hint="eastAsia" w:ascii="仿宋" w:hAnsi="仿宋" w:eastAsia="仿宋" w:cs="仿宋"/>
                <w:b/>
                <w:bCs/>
                <w:color w:val="000000"/>
                <w:sz w:val="21"/>
                <w:szCs w:val="21"/>
              </w:rPr>
              <w:t>（25分）</w:t>
            </w:r>
          </w:p>
        </w:tc>
        <w:tc>
          <w:tcPr>
            <w:tcW w:w="3335" w:type="dxa"/>
            <w:vAlign w:val="center"/>
          </w:tcPr>
          <w:p w14:paraId="76C85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3.企业应严格执行危险化学品运输、装卸安全管理制度，规范运输、装卸人员行为。</w:t>
            </w:r>
          </w:p>
        </w:tc>
        <w:tc>
          <w:tcPr>
            <w:tcW w:w="654" w:type="dxa"/>
            <w:vAlign w:val="center"/>
          </w:tcPr>
          <w:p w14:paraId="5B95C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2C3F2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1.不涉及危险化学品运输，由有资质的第三方公司承运，装卸由本单位负责，严格执行制度要求。</w:t>
            </w:r>
          </w:p>
          <w:p w14:paraId="7912A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2.对运输车辆、人员资质 ，运输车辆 GPS 的安装、使用情况进行检查。</w:t>
            </w:r>
          </w:p>
          <w:p w14:paraId="65C96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3.经检查，1 人不清楚危险化学品运输、装卸安全管理要求，扣 1 分。</w:t>
            </w:r>
          </w:p>
        </w:tc>
        <w:tc>
          <w:tcPr>
            <w:tcW w:w="1679" w:type="dxa"/>
            <w:vAlign w:val="center"/>
          </w:tcPr>
          <w:p w14:paraId="1202D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w:t>
            </w:r>
          </w:p>
        </w:tc>
      </w:tr>
      <w:tr w14:paraId="6194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50CC7E51">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10事故与应急</w:t>
            </w:r>
          </w:p>
          <w:p w14:paraId="4264B8F8">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vertAlign w:val="baseline"/>
              </w:rPr>
            </w:pPr>
            <w:r>
              <w:rPr>
                <w:rFonts w:hint="eastAsia" w:ascii="仿宋" w:hAnsi="仿宋" w:eastAsia="仿宋" w:cs="仿宋"/>
                <w:b/>
                <w:bCs/>
                <w:sz w:val="21"/>
                <w:szCs w:val="21"/>
              </w:rPr>
              <w:t>（100分）</w:t>
            </w:r>
          </w:p>
        </w:tc>
        <w:tc>
          <w:tcPr>
            <w:tcW w:w="1236" w:type="dxa"/>
          </w:tcPr>
          <w:p w14:paraId="204D7FAD">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10.1</w:t>
            </w:r>
          </w:p>
          <w:p w14:paraId="3CF787FA">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应急指挥与救援系统</w:t>
            </w:r>
          </w:p>
          <w:p w14:paraId="05A20189">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r>
              <w:rPr>
                <w:rFonts w:hint="eastAsia" w:ascii="仿宋" w:hAnsi="仿宋" w:eastAsia="仿宋" w:cs="仿宋"/>
                <w:b/>
                <w:bCs/>
                <w:sz w:val="21"/>
                <w:szCs w:val="21"/>
              </w:rPr>
              <w:t>（10分）</w:t>
            </w:r>
          </w:p>
        </w:tc>
        <w:tc>
          <w:tcPr>
            <w:tcW w:w="3335" w:type="dxa"/>
            <w:vAlign w:val="center"/>
          </w:tcPr>
          <w:p w14:paraId="09385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1.企业应建立应急指挥系统，实行分级管理，即厂级、车间级管理。</w:t>
            </w:r>
          </w:p>
        </w:tc>
        <w:tc>
          <w:tcPr>
            <w:tcW w:w="654" w:type="dxa"/>
            <w:vAlign w:val="center"/>
          </w:tcPr>
          <w:p w14:paraId="01410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6C3BD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1.建立有公司级、车间级、班组级应急响应系统，见《达诺尔（湖北）微电子材料有限公司生产安全事故应急预案》。</w:t>
            </w:r>
          </w:p>
          <w:p w14:paraId="6D31E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2.经现场检查，1 人不清 楚应急指挥系统 ，扣 1 分。</w:t>
            </w:r>
          </w:p>
        </w:tc>
        <w:tc>
          <w:tcPr>
            <w:tcW w:w="1679" w:type="dxa"/>
            <w:vAlign w:val="center"/>
          </w:tcPr>
          <w:p w14:paraId="2C7BF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已组织相关的培训及演练。</w:t>
            </w:r>
          </w:p>
        </w:tc>
      </w:tr>
      <w:tr w14:paraId="36C3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51146662">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4CF9E6D5">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10.3</w:t>
            </w:r>
          </w:p>
          <w:p w14:paraId="2CBA4599">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应急救援预案与演练</w:t>
            </w:r>
          </w:p>
          <w:p w14:paraId="0B63CC64">
            <w:pPr>
              <w:keepNext w:val="0"/>
              <w:keepLines w:val="0"/>
              <w:suppressLineNumbers w:val="0"/>
              <w:spacing w:before="0" w:beforeAutospacing="0" w:after="0" w:afterAutospacing="0" w:line="280" w:lineRule="exact"/>
              <w:ind w:left="0" w:right="0" w:firstLine="103" w:firstLineChars="49"/>
              <w:rPr>
                <w:rFonts w:hint="eastAsia" w:ascii="仿宋" w:hAnsi="仿宋" w:eastAsia="仿宋" w:cs="仿宋"/>
                <w:b/>
                <w:bCs/>
                <w:sz w:val="21"/>
                <w:szCs w:val="21"/>
              </w:rPr>
            </w:pPr>
            <w:r>
              <w:rPr>
                <w:rFonts w:hint="eastAsia" w:ascii="仿宋" w:hAnsi="仿宋" w:eastAsia="仿宋" w:cs="仿宋"/>
                <w:b/>
                <w:bCs/>
                <w:sz w:val="21"/>
                <w:szCs w:val="21"/>
              </w:rPr>
              <w:t>（25分）</w:t>
            </w:r>
          </w:p>
          <w:p w14:paraId="42133572">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110F2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1.企业宜按照AQ/T 9002，根据风险评价的结果，针对潜在事件和突发事故，制定相应的事故应急救援预案。</w:t>
            </w:r>
          </w:p>
        </w:tc>
        <w:tc>
          <w:tcPr>
            <w:tcW w:w="654" w:type="dxa"/>
            <w:vAlign w:val="center"/>
          </w:tcPr>
          <w:p w14:paraId="2BCBD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3ACBE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1.编制有生产安全事故综合应急预案、专项应急预 案、现场处置方案，见《达诺尔（湖北）微电子材料有限公司生产安全事故应急预案》。</w:t>
            </w:r>
          </w:p>
          <w:p w14:paraId="59F57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2.事故救援预案人员未及时变更更新。扣1分</w:t>
            </w:r>
          </w:p>
        </w:tc>
        <w:tc>
          <w:tcPr>
            <w:tcW w:w="1679" w:type="dxa"/>
            <w:vAlign w:val="center"/>
          </w:tcPr>
          <w:p w14:paraId="0093F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已进行修订更新。</w:t>
            </w:r>
          </w:p>
        </w:tc>
      </w:tr>
      <w:tr w14:paraId="3132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099BAA0">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075B6B91">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p>
        </w:tc>
        <w:tc>
          <w:tcPr>
            <w:tcW w:w="3335" w:type="dxa"/>
            <w:vAlign w:val="center"/>
          </w:tcPr>
          <w:p w14:paraId="7C0D8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2.企业应组织从业人员进行应急救援预案的培训，定期演练，评价演练效果，评价应急救援预案的充分性和有效性，并形成记录。</w:t>
            </w:r>
          </w:p>
        </w:tc>
        <w:tc>
          <w:tcPr>
            <w:tcW w:w="654" w:type="dxa"/>
            <w:vAlign w:val="center"/>
          </w:tcPr>
          <w:p w14:paraId="184DD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475E4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1.对从业人员进行了应急救援预案培训，见安全培训记录。</w:t>
            </w:r>
          </w:p>
          <w:p w14:paraId="297C0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2.定期进行应急救援预 案演练，对预案演练进行效果评价，见应急预案演练记录。</w:t>
            </w:r>
          </w:p>
          <w:p w14:paraId="4E03B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3.演练后未对预案评审，扣 2 分。</w:t>
            </w:r>
          </w:p>
        </w:tc>
        <w:tc>
          <w:tcPr>
            <w:tcW w:w="1679" w:type="dxa"/>
            <w:vAlign w:val="center"/>
          </w:tcPr>
          <w:p w14:paraId="5134F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5E41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D135D5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0AC5D2F8">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10.4</w:t>
            </w:r>
          </w:p>
          <w:p w14:paraId="515E8AFA">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抢险与救护</w:t>
            </w:r>
          </w:p>
          <w:p w14:paraId="36FB5620">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0"/>
                <w:sz w:val="21"/>
                <w:szCs w:val="21"/>
                <w:lang w:val="zh-CN"/>
              </w:rPr>
            </w:pPr>
            <w:r>
              <w:rPr>
                <w:rFonts w:hint="eastAsia" w:ascii="仿宋" w:hAnsi="仿宋" w:eastAsia="仿宋" w:cs="仿宋"/>
                <w:b/>
                <w:bCs/>
                <w:sz w:val="21"/>
                <w:szCs w:val="21"/>
              </w:rPr>
              <w:t>（20分）</w:t>
            </w:r>
          </w:p>
        </w:tc>
        <w:tc>
          <w:tcPr>
            <w:tcW w:w="3335" w:type="dxa"/>
            <w:vAlign w:val="center"/>
          </w:tcPr>
          <w:p w14:paraId="54B01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发生生产安全事故后，应迅速启动应急救援预案，企业负责人直接指挥，积极组织抢救，妥善处理，以防止事故的蔓延扩大，减少人员伤亡和财产损失。安全、技术、设备、动力、生产、消防、保卫等部门应协助做好现场抢救和警戒工作，保护事故现场。</w:t>
            </w:r>
          </w:p>
        </w:tc>
        <w:tc>
          <w:tcPr>
            <w:tcW w:w="654" w:type="dxa"/>
            <w:vAlign w:val="center"/>
          </w:tcPr>
          <w:p w14:paraId="58960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41E54E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1.明确企业有关人员职责，建立有生产安全事故台账，有对应的事故处理报 告，见事故/事件统计台账。</w:t>
            </w:r>
          </w:p>
          <w:p w14:paraId="480B7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2.2#车间1名人员不了解应急职责，扣1分</w:t>
            </w:r>
          </w:p>
        </w:tc>
        <w:tc>
          <w:tcPr>
            <w:tcW w:w="1679" w:type="dxa"/>
            <w:vAlign w:val="center"/>
          </w:tcPr>
          <w:p w14:paraId="6D009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已组织相关的培训及演练。</w:t>
            </w:r>
          </w:p>
        </w:tc>
      </w:tr>
      <w:tr w14:paraId="7B35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97A837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2163D1B">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602249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3.企业抢救人员应佩戴好相应的防护器具，对伤亡人员及时进行抢救处理。</w:t>
            </w:r>
          </w:p>
        </w:tc>
        <w:tc>
          <w:tcPr>
            <w:tcW w:w="654" w:type="dxa"/>
            <w:vAlign w:val="center"/>
          </w:tcPr>
          <w:p w14:paraId="56C38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13083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相关人员部了解抢救知识。扣2分</w:t>
            </w:r>
          </w:p>
        </w:tc>
        <w:tc>
          <w:tcPr>
            <w:tcW w:w="1679" w:type="dxa"/>
            <w:vAlign w:val="center"/>
          </w:tcPr>
          <w:p w14:paraId="5160E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w:t>
            </w:r>
          </w:p>
        </w:tc>
      </w:tr>
      <w:tr w14:paraId="6145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29009F51">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5835DC0">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10.5</w:t>
            </w:r>
          </w:p>
          <w:p w14:paraId="433DD027">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事故报告</w:t>
            </w:r>
          </w:p>
          <w:p w14:paraId="57AE8775">
            <w:pPr>
              <w:keepNext w:val="0"/>
              <w:keepLines w:val="0"/>
              <w:suppressLineNumbers w:val="0"/>
              <w:spacing w:before="0" w:beforeAutospacing="0" w:after="0" w:afterAutospacing="0" w:line="280" w:lineRule="exact"/>
              <w:ind w:left="0" w:right="0" w:firstLine="101" w:firstLineChars="48"/>
              <w:rPr>
                <w:rFonts w:hint="eastAsia" w:ascii="仿宋" w:hAnsi="仿宋" w:eastAsia="仿宋" w:cs="仿宋"/>
                <w:b/>
                <w:bCs/>
                <w:sz w:val="21"/>
                <w:szCs w:val="21"/>
              </w:rPr>
            </w:pPr>
            <w:r>
              <w:rPr>
                <w:rFonts w:hint="eastAsia" w:ascii="仿宋" w:hAnsi="仿宋" w:eastAsia="仿宋" w:cs="仿宋"/>
                <w:b/>
                <w:bCs/>
                <w:sz w:val="21"/>
                <w:szCs w:val="21"/>
              </w:rPr>
              <w:t>（15分）</w:t>
            </w:r>
          </w:p>
          <w:p w14:paraId="69314BAB">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p>
          <w:p w14:paraId="104AC750">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067C5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明确事故报告程序。发生生产安全事故后，事故现场有关人员除立即采取应急措施外，应按规定和程序报告本单位负责人及有关部门。情况紧急时，事故现场有关人员可以直接向事故发生地县级以上人民政府安全生产监督管理部门和负有安全生产监督管理职责的有关部门报告。</w:t>
            </w:r>
          </w:p>
        </w:tc>
        <w:tc>
          <w:tcPr>
            <w:tcW w:w="654" w:type="dxa"/>
            <w:vAlign w:val="center"/>
          </w:tcPr>
          <w:p w14:paraId="643E0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62BBD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有关人员部了解事故现场应采取的措施。扣2分</w:t>
            </w:r>
          </w:p>
        </w:tc>
        <w:tc>
          <w:tcPr>
            <w:tcW w:w="1679" w:type="dxa"/>
            <w:vAlign w:val="center"/>
          </w:tcPr>
          <w:p w14:paraId="19EFF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已组织相关的培训及演练。</w:t>
            </w:r>
          </w:p>
        </w:tc>
      </w:tr>
      <w:tr w14:paraId="2EB2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4DA64C0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20569629">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10.6</w:t>
            </w:r>
          </w:p>
          <w:p w14:paraId="368CCD95">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事故调查</w:t>
            </w:r>
          </w:p>
          <w:p w14:paraId="64988B9F">
            <w:pPr>
              <w:keepNext w:val="0"/>
              <w:keepLines w:val="0"/>
              <w:suppressLineNumbers w:val="0"/>
              <w:spacing w:before="0" w:beforeAutospacing="0" w:after="0" w:afterAutospacing="0" w:line="280" w:lineRule="exact"/>
              <w:ind w:left="0" w:right="0" w:firstLine="103" w:firstLineChars="49"/>
              <w:rPr>
                <w:rFonts w:hint="eastAsia" w:ascii="仿宋" w:hAnsi="仿宋" w:eastAsia="仿宋" w:cs="仿宋"/>
                <w:b/>
                <w:bCs/>
                <w:sz w:val="21"/>
                <w:szCs w:val="21"/>
              </w:rPr>
            </w:pPr>
            <w:r>
              <w:rPr>
                <w:rFonts w:hint="eastAsia" w:ascii="仿宋" w:hAnsi="仿宋" w:eastAsia="仿宋" w:cs="仿宋"/>
                <w:b/>
                <w:bCs/>
                <w:sz w:val="21"/>
                <w:szCs w:val="21"/>
              </w:rPr>
              <w:t>（15分）</w:t>
            </w:r>
          </w:p>
          <w:p w14:paraId="51E0529D">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p>
          <w:p w14:paraId="130A43EF">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05B4E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3.企业应落实事故整改和预防措施，防止事故再次发生。整改和预防措施应包括：</w:t>
            </w:r>
          </w:p>
          <w:p w14:paraId="6A818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（1）工程技术措施；</w:t>
            </w:r>
          </w:p>
          <w:p w14:paraId="6B536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（2）培训教育措施；</w:t>
            </w:r>
          </w:p>
          <w:p w14:paraId="637D9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（3）管理措施。</w:t>
            </w:r>
          </w:p>
        </w:tc>
        <w:tc>
          <w:tcPr>
            <w:tcW w:w="654" w:type="dxa"/>
            <w:vAlign w:val="center"/>
          </w:tcPr>
          <w:p w14:paraId="52FC7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65F20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事故整改、预防措施不具体，缺乏针对性和可操作性，扣1分。</w:t>
            </w:r>
          </w:p>
        </w:tc>
        <w:tc>
          <w:tcPr>
            <w:tcW w:w="1679" w:type="dxa"/>
            <w:vAlign w:val="center"/>
          </w:tcPr>
          <w:p w14:paraId="1FE23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657B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restart"/>
          </w:tcPr>
          <w:p w14:paraId="18634067">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11检查与自评</w:t>
            </w:r>
          </w:p>
          <w:p w14:paraId="562ACA20">
            <w:pPr>
              <w:keepNext w:val="0"/>
              <w:keepLines w:val="0"/>
              <w:suppressLineNumbers w:val="0"/>
              <w:spacing w:before="0" w:beforeAutospacing="0" w:after="0" w:afterAutospacing="0" w:line="280" w:lineRule="exact"/>
              <w:ind w:left="0" w:right="0"/>
              <w:rPr>
                <w:rFonts w:hint="eastAsia" w:ascii="仿宋" w:hAnsi="仿宋" w:eastAsia="仿宋" w:cs="仿宋"/>
                <w:b/>
                <w:bCs/>
                <w:sz w:val="21"/>
                <w:szCs w:val="21"/>
              </w:rPr>
            </w:pPr>
            <w:r>
              <w:rPr>
                <w:rFonts w:hint="eastAsia" w:ascii="仿宋" w:hAnsi="仿宋" w:eastAsia="仿宋" w:cs="仿宋"/>
                <w:b/>
                <w:bCs/>
                <w:sz w:val="21"/>
                <w:szCs w:val="21"/>
              </w:rPr>
              <w:t>（100分）</w:t>
            </w:r>
          </w:p>
          <w:p w14:paraId="6582BCF2">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restart"/>
          </w:tcPr>
          <w:p w14:paraId="0736A7CE">
            <w:pPr>
              <w:keepNext w:val="0"/>
              <w:keepLines w:val="0"/>
              <w:suppressLineNumbers w:val="0"/>
              <w:spacing w:before="0" w:beforeAutospacing="0" w:after="0" w:afterAutospacing="0" w:line="280" w:lineRule="exact"/>
              <w:ind w:left="0" w:right="0" w:firstLine="207" w:firstLineChars="98"/>
              <w:rPr>
                <w:rFonts w:hint="eastAsia" w:ascii="仿宋" w:hAnsi="仿宋" w:eastAsia="仿宋" w:cs="仿宋"/>
                <w:b/>
                <w:bCs/>
                <w:sz w:val="21"/>
                <w:szCs w:val="21"/>
              </w:rPr>
            </w:pPr>
            <w:r>
              <w:rPr>
                <w:rFonts w:hint="eastAsia" w:ascii="仿宋" w:hAnsi="仿宋" w:eastAsia="仿宋" w:cs="仿宋"/>
                <w:b/>
                <w:bCs/>
                <w:sz w:val="21"/>
                <w:szCs w:val="21"/>
              </w:rPr>
              <w:t>11.1安全检查（25分）</w:t>
            </w:r>
          </w:p>
          <w:p w14:paraId="1D3F5C49">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53C25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1.企业应严格执行安全检查管理制度，定期或不定期进行安全检查，保证安全标准化有效实施。</w:t>
            </w:r>
          </w:p>
          <w:p w14:paraId="7C8EA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654" w:type="dxa"/>
            <w:vAlign w:val="center"/>
          </w:tcPr>
          <w:p w14:paraId="2A0B5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2656" w:type="dxa"/>
            <w:vAlign w:val="center"/>
          </w:tcPr>
          <w:p w14:paraId="64D5B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未明确各种安全检查的内容、频次和要求，扣1分；</w:t>
            </w:r>
          </w:p>
        </w:tc>
        <w:tc>
          <w:tcPr>
            <w:tcW w:w="1679" w:type="dxa"/>
            <w:vAlign w:val="center"/>
          </w:tcPr>
          <w:p w14:paraId="22E73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已在制度中明确要求。</w:t>
            </w:r>
          </w:p>
        </w:tc>
      </w:tr>
      <w:tr w14:paraId="0C4E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63F659D0">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16EDDCD0">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6CA79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2.企业安全检查应有明确的目的、要求、内容和计划。各种安全检查均应编制安全检查表，安全检查表应包括检查项目、检查内容、检查标准或依据、检查结果等内容。</w:t>
            </w:r>
          </w:p>
          <w:p w14:paraId="03B61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654" w:type="dxa"/>
            <w:vAlign w:val="center"/>
          </w:tcPr>
          <w:p w14:paraId="40C87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2E994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安全检查表不全，扣2分；</w:t>
            </w:r>
          </w:p>
        </w:tc>
        <w:tc>
          <w:tcPr>
            <w:tcW w:w="1679" w:type="dxa"/>
            <w:vAlign w:val="center"/>
          </w:tcPr>
          <w:p w14:paraId="77D54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229A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0C7B89D5">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vMerge w:val="continue"/>
          </w:tcPr>
          <w:p w14:paraId="2DC23CEE">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4FAB9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3.企业各种安全检查表应作为企业有效文件，并在实际应用中不断完善。</w:t>
            </w:r>
          </w:p>
        </w:tc>
        <w:tc>
          <w:tcPr>
            <w:tcW w:w="654" w:type="dxa"/>
            <w:vAlign w:val="center"/>
          </w:tcPr>
          <w:p w14:paraId="6C0E3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6" w:type="dxa"/>
            <w:vAlign w:val="center"/>
          </w:tcPr>
          <w:p w14:paraId="5939F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安全检查表未定期评审修订，扣2分；</w:t>
            </w:r>
          </w:p>
        </w:tc>
        <w:tc>
          <w:tcPr>
            <w:tcW w:w="1679" w:type="dxa"/>
            <w:vAlign w:val="center"/>
          </w:tcPr>
          <w:p w14:paraId="22A3C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75B7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1ADCEA7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7A0ADF62">
            <w:pPr>
              <w:keepNext w:val="0"/>
              <w:keepLines w:val="0"/>
              <w:suppressLineNumbers w:val="0"/>
              <w:spacing w:before="0" w:beforeAutospacing="0" w:after="0" w:afterAutospacing="0" w:line="280" w:lineRule="exact"/>
              <w:ind w:left="0" w:right="0"/>
              <w:jc w:val="both"/>
              <w:rPr>
                <w:rFonts w:hint="eastAsia" w:ascii="仿宋" w:hAnsi="仿宋" w:eastAsia="仿宋" w:cs="仿宋"/>
                <w:b/>
                <w:bCs/>
                <w:sz w:val="21"/>
                <w:szCs w:val="21"/>
              </w:rPr>
            </w:pPr>
            <w:r>
              <w:rPr>
                <w:rFonts w:hint="eastAsia" w:ascii="仿宋" w:hAnsi="仿宋" w:eastAsia="仿宋" w:cs="仿宋"/>
                <w:b/>
                <w:bCs/>
                <w:sz w:val="21"/>
                <w:szCs w:val="21"/>
              </w:rPr>
              <w:t>11.2安全检查形式与内容（25分）</w:t>
            </w:r>
          </w:p>
          <w:p w14:paraId="7C7B17FD">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p>
        </w:tc>
        <w:tc>
          <w:tcPr>
            <w:tcW w:w="3335" w:type="dxa"/>
            <w:vAlign w:val="center"/>
          </w:tcPr>
          <w:p w14:paraId="55C17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1.企业应根据安全检查计划，开展综合性检查、专业性检查、季节性检查、日常检查和节假日检查；各种安全检查均应按相应的安全检查表逐项检查，建立安全检查台账，并与责任制挂钩。</w:t>
            </w:r>
          </w:p>
        </w:tc>
        <w:tc>
          <w:tcPr>
            <w:tcW w:w="654" w:type="dxa"/>
            <w:vAlign w:val="center"/>
          </w:tcPr>
          <w:p w14:paraId="612EA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2656" w:type="dxa"/>
            <w:vAlign w:val="center"/>
          </w:tcPr>
          <w:p w14:paraId="525AB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未按规定开展安全检查，扣2分；</w:t>
            </w:r>
          </w:p>
          <w:p w14:paraId="35280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安全检查结果未与责任制挂钩，扣1分；</w:t>
            </w:r>
          </w:p>
        </w:tc>
        <w:tc>
          <w:tcPr>
            <w:tcW w:w="1679" w:type="dxa"/>
            <w:vAlign w:val="center"/>
          </w:tcPr>
          <w:p w14:paraId="702DA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已补充完善，年度目标有检查指标要求。</w:t>
            </w:r>
          </w:p>
        </w:tc>
      </w:tr>
      <w:tr w14:paraId="2C21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79DB4D2E">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6828CBBA">
            <w:pPr>
              <w:keepNext w:val="0"/>
              <w:keepLines w:val="0"/>
              <w:suppressLineNumbers w:val="0"/>
              <w:spacing w:before="0" w:beforeAutospacing="0" w:after="0" w:afterAutospacing="0" w:line="280" w:lineRule="exact"/>
              <w:ind w:left="0" w:right="0"/>
              <w:jc w:val="both"/>
              <w:rPr>
                <w:rFonts w:hint="eastAsia" w:ascii="仿宋" w:hAnsi="仿宋" w:eastAsia="仿宋" w:cs="仿宋"/>
                <w:b/>
                <w:bCs/>
                <w:sz w:val="21"/>
                <w:szCs w:val="21"/>
              </w:rPr>
            </w:pPr>
            <w:r>
              <w:rPr>
                <w:rFonts w:hint="eastAsia" w:ascii="仿宋" w:hAnsi="仿宋" w:eastAsia="仿宋" w:cs="仿宋"/>
                <w:b/>
                <w:bCs/>
                <w:sz w:val="21"/>
                <w:szCs w:val="21"/>
              </w:rPr>
              <w:t>11.3整改（20分）</w:t>
            </w:r>
          </w:p>
        </w:tc>
        <w:tc>
          <w:tcPr>
            <w:tcW w:w="3335" w:type="dxa"/>
            <w:vAlign w:val="center"/>
          </w:tcPr>
          <w:p w14:paraId="749D7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1.企业应对安全检查所查出的问题进行原因分析，制定整改措施，落实整改时间、责任人，并对整改情况进行验证，保存相应记录。</w:t>
            </w:r>
          </w:p>
        </w:tc>
        <w:tc>
          <w:tcPr>
            <w:tcW w:w="654" w:type="dxa"/>
            <w:vAlign w:val="center"/>
          </w:tcPr>
          <w:p w14:paraId="069F9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w:t>
            </w:r>
          </w:p>
        </w:tc>
        <w:tc>
          <w:tcPr>
            <w:tcW w:w="2656" w:type="dxa"/>
            <w:vAlign w:val="center"/>
          </w:tcPr>
          <w:p w14:paraId="2CB1F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1.未对安全检查所查出的 问题进行原因分析，扣 10 分。</w:t>
            </w:r>
          </w:p>
          <w:p w14:paraId="31359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2.对安全检查所查出的问题进行了整改，且对整改情况进行了验证，见隐患台账。</w:t>
            </w:r>
          </w:p>
        </w:tc>
        <w:tc>
          <w:tcPr>
            <w:tcW w:w="1679" w:type="dxa"/>
            <w:vAlign w:val="center"/>
          </w:tcPr>
          <w:p w14:paraId="5D0BCA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default"/>
                <w:spacing w:val="8"/>
                <w:sz w:val="18"/>
                <w:szCs w:val="18"/>
              </w:rPr>
              <w:t>已对安全检查所查</w:t>
            </w:r>
            <w:r>
              <w:rPr>
                <w:rFonts w:hint="default"/>
                <w:spacing w:val="-41"/>
                <w:sz w:val="18"/>
                <w:szCs w:val="18"/>
              </w:rPr>
              <w:t xml:space="preserve"> </w:t>
            </w:r>
            <w:r>
              <w:rPr>
                <w:rFonts w:hint="default"/>
                <w:spacing w:val="8"/>
                <w:sz w:val="18"/>
                <w:szCs w:val="18"/>
              </w:rPr>
              <w:t>出</w:t>
            </w:r>
            <w:r>
              <w:rPr>
                <w:rFonts w:hint="default"/>
                <w:spacing w:val="5"/>
                <w:sz w:val="18"/>
                <w:szCs w:val="18"/>
              </w:rPr>
              <w:t>的</w:t>
            </w:r>
            <w:r>
              <w:rPr>
                <w:rFonts w:hint="default"/>
                <w:spacing w:val="-39"/>
                <w:sz w:val="18"/>
                <w:szCs w:val="18"/>
              </w:rPr>
              <w:t xml:space="preserve"> </w:t>
            </w:r>
            <w:r>
              <w:rPr>
                <w:rFonts w:hint="default"/>
                <w:spacing w:val="5"/>
                <w:sz w:val="18"/>
                <w:szCs w:val="18"/>
              </w:rPr>
              <w:t>问题进行</w:t>
            </w:r>
            <w:r>
              <w:rPr>
                <w:rFonts w:hint="default"/>
                <w:spacing w:val="-47"/>
                <w:sz w:val="18"/>
                <w:szCs w:val="18"/>
              </w:rPr>
              <w:t xml:space="preserve"> </w:t>
            </w:r>
            <w:r>
              <w:rPr>
                <w:rFonts w:hint="default"/>
                <w:spacing w:val="5"/>
                <w:sz w:val="18"/>
                <w:szCs w:val="18"/>
              </w:rPr>
              <w:t>了原因分</w:t>
            </w:r>
            <w:r>
              <w:rPr>
                <w:rFonts w:hint="default"/>
                <w:spacing w:val="-5"/>
                <w:sz w:val="18"/>
                <w:szCs w:val="18"/>
              </w:rPr>
              <w:t>析。</w:t>
            </w:r>
          </w:p>
        </w:tc>
      </w:tr>
      <w:tr w14:paraId="319B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vMerge w:val="continue"/>
          </w:tcPr>
          <w:p w14:paraId="0BFF3137">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p>
        </w:tc>
        <w:tc>
          <w:tcPr>
            <w:tcW w:w="1236" w:type="dxa"/>
          </w:tcPr>
          <w:p w14:paraId="2912B86A">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11.4</w:t>
            </w:r>
          </w:p>
          <w:p w14:paraId="74886F42">
            <w:pPr>
              <w:keepNext w:val="0"/>
              <w:keepLines w:val="0"/>
              <w:suppressLineNumbers w:val="0"/>
              <w:spacing w:before="0" w:beforeAutospacing="0" w:after="0" w:afterAutospacing="0" w:line="280" w:lineRule="exact"/>
              <w:ind w:left="0" w:right="0"/>
              <w:jc w:val="center"/>
              <w:rPr>
                <w:rFonts w:hint="eastAsia" w:ascii="仿宋" w:hAnsi="仿宋" w:eastAsia="仿宋" w:cs="仿宋"/>
                <w:b/>
                <w:bCs/>
                <w:sz w:val="21"/>
                <w:szCs w:val="21"/>
              </w:rPr>
            </w:pPr>
            <w:r>
              <w:rPr>
                <w:rFonts w:hint="eastAsia" w:ascii="仿宋" w:hAnsi="仿宋" w:eastAsia="仿宋" w:cs="仿宋"/>
                <w:b/>
                <w:bCs/>
                <w:sz w:val="21"/>
                <w:szCs w:val="21"/>
              </w:rPr>
              <w:t>自评</w:t>
            </w:r>
          </w:p>
          <w:p w14:paraId="1444EB3E">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（30分）</w:t>
            </w:r>
          </w:p>
        </w:tc>
        <w:tc>
          <w:tcPr>
            <w:tcW w:w="3335" w:type="dxa"/>
            <w:vAlign w:val="center"/>
          </w:tcPr>
          <w:p w14:paraId="03240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企业应每年至少1次对安全标准化运行进行自评，提出进一步完善安全标准化的计划和措施。</w:t>
            </w:r>
          </w:p>
        </w:tc>
        <w:tc>
          <w:tcPr>
            <w:tcW w:w="654" w:type="dxa"/>
            <w:vAlign w:val="center"/>
          </w:tcPr>
          <w:p w14:paraId="6A114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p>
        </w:tc>
        <w:tc>
          <w:tcPr>
            <w:tcW w:w="2656" w:type="dxa"/>
            <w:vAlign w:val="center"/>
          </w:tcPr>
          <w:p w14:paraId="019DB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自评文件不全，一项不符合扣1分；</w:t>
            </w:r>
          </w:p>
        </w:tc>
        <w:tc>
          <w:tcPr>
            <w:tcW w:w="1679" w:type="dxa"/>
            <w:vAlign w:val="center"/>
          </w:tcPr>
          <w:p w14:paraId="12FA8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仿宋" w:hAnsi="仿宋" w:eastAsia="仿宋" w:cs="仿宋"/>
                <w:sz w:val="18"/>
                <w:szCs w:val="18"/>
                <w:lang w:val="en-US" w:eastAsia="zh-CN"/>
              </w:rPr>
            </w:pPr>
            <w:r>
              <w:rPr>
                <w:rFonts w:hint="eastAsia" w:ascii="仿宋" w:hAnsi="仿宋" w:cs="仿宋"/>
                <w:sz w:val="18"/>
                <w:szCs w:val="18"/>
                <w:lang w:val="en-US" w:eastAsia="zh-CN"/>
              </w:rPr>
              <w:t>已补充完善。</w:t>
            </w:r>
          </w:p>
        </w:tc>
      </w:tr>
      <w:tr w14:paraId="4850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6" w:type="dxa"/>
          </w:tcPr>
          <w:p w14:paraId="1D2CC06C">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rPr>
            </w:pPr>
            <w:r>
              <w:rPr>
                <w:rFonts w:hint="eastAsia" w:ascii="仿宋" w:hAnsi="仿宋" w:eastAsia="仿宋" w:cs="仿宋"/>
                <w:b/>
                <w:bCs/>
                <w:sz w:val="21"/>
                <w:szCs w:val="21"/>
              </w:rPr>
              <w:t>12本地区的要求（100分）</w:t>
            </w:r>
          </w:p>
        </w:tc>
        <w:tc>
          <w:tcPr>
            <w:tcW w:w="9560" w:type="dxa"/>
            <w:gridSpan w:val="5"/>
            <w:vAlign w:val="center"/>
          </w:tcPr>
          <w:p w14:paraId="15E1B044">
            <w:pPr>
              <w:keepNext w:val="0"/>
              <w:keepLines w:val="0"/>
              <w:numPr>
                <w:ilvl w:val="0"/>
                <w:numId w:val="0"/>
              </w:numPr>
              <w:suppressLineNumbers w:val="0"/>
              <w:spacing w:before="0" w:beforeAutospacing="0" w:after="0" w:afterAutospacing="0" w:line="280" w:lineRule="exact"/>
              <w:ind w:left="0" w:right="0"/>
              <w:jc w:val="center"/>
              <w:rPr>
                <w:rFonts w:hint="default" w:ascii="宋体" w:hAnsi="宋体"/>
                <w:sz w:val="21"/>
                <w:szCs w:val="21"/>
                <w:lang w:val="en-US" w:eastAsia="zh-CN"/>
              </w:rPr>
            </w:pPr>
            <w:r>
              <w:rPr>
                <w:rFonts w:hint="eastAsia" w:ascii="宋体" w:hAnsi="宋体"/>
                <w:b/>
                <w:bCs/>
                <w:sz w:val="21"/>
                <w:szCs w:val="21"/>
                <w:lang w:val="en-US" w:eastAsia="zh-CN"/>
              </w:rPr>
              <w:t>全部符合要求</w:t>
            </w:r>
          </w:p>
        </w:tc>
      </w:tr>
    </w:tbl>
    <w:p w14:paraId="714C96FA">
      <w:pPr>
        <w:widowControl/>
        <w:numPr>
          <w:ilvl w:val="0"/>
          <w:numId w:val="0"/>
        </w:numPr>
        <w:spacing w:line="540" w:lineRule="exact"/>
        <w:ind w:leftChars="0"/>
        <w:outlineLvl w:val="9"/>
        <w:rPr>
          <w:rFonts w:hint="eastAsia" w:ascii="宋体" w:hAnsi="宋体"/>
          <w:b/>
          <w:bCs/>
          <w:kern w:val="0"/>
          <w:sz w:val="28"/>
          <w:szCs w:val="28"/>
        </w:rPr>
      </w:pPr>
    </w:p>
    <w:p w14:paraId="43F4F3A4">
      <w:pPr>
        <w:widowControl/>
        <w:numPr>
          <w:ilvl w:val="1"/>
          <w:numId w:val="1"/>
        </w:numPr>
        <w:spacing w:line="540" w:lineRule="exact"/>
        <w:ind w:left="567" w:leftChars="0" w:hanging="567" w:firstLineChars="0"/>
        <w:rPr>
          <w:rFonts w:hint="eastAsia" w:ascii="宋体" w:hAnsi="宋体"/>
          <w:b/>
          <w:bCs/>
          <w:kern w:val="0"/>
          <w:sz w:val="28"/>
          <w:szCs w:val="28"/>
        </w:rPr>
      </w:pPr>
      <w:r>
        <w:rPr>
          <w:rFonts w:hint="eastAsia" w:ascii="宋体" w:hAnsi="宋体"/>
          <w:b/>
          <w:bCs/>
          <w:kern w:val="0"/>
          <w:sz w:val="28"/>
          <w:szCs w:val="28"/>
        </w:rPr>
        <w:t>自评综述</w:t>
      </w:r>
    </w:p>
    <w:p w14:paraId="219AFC75">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rPr>
        <w:t>文件自评综述</w:t>
      </w:r>
    </w:p>
    <w:p w14:paraId="7D0AD420">
      <w:pPr>
        <w:spacing w:line="348" w:lineRule="auto"/>
        <w:ind w:firstLine="480" w:firstLineChars="200"/>
        <w:jc w:val="left"/>
        <w:rPr>
          <w:rFonts w:ascii="Times New Roman" w:hAnsi="Times New Roman"/>
          <w:sz w:val="24"/>
        </w:rPr>
      </w:pPr>
      <w:r>
        <w:rPr>
          <w:rFonts w:ascii="Times New Roman" w:hAnsi="Times New Roman"/>
          <w:sz w:val="24"/>
        </w:rPr>
        <w:t>经自评：本</w:t>
      </w:r>
      <w:r>
        <w:rPr>
          <w:rFonts w:hint="eastAsia" w:ascii="Times New Roman" w:hAnsi="Times New Roman"/>
          <w:sz w:val="24"/>
        </w:rPr>
        <w:t>公司</w:t>
      </w:r>
      <w:r>
        <w:rPr>
          <w:rFonts w:ascii="Times New Roman" w:hAnsi="Times New Roman"/>
          <w:sz w:val="24"/>
        </w:rPr>
        <w:t>完善了安全生产机构和人员、安全责任制、安全管理制度等 12项安全标准化管理体系文件。根据</w:t>
      </w:r>
      <w:r>
        <w:rPr>
          <w:rFonts w:hint="eastAsia" w:ascii="Times New Roman" w:hAnsi="Times New Roman"/>
          <w:sz w:val="24"/>
        </w:rPr>
        <w:t>危险化学品从业单位安全生产标准</w:t>
      </w:r>
      <w:r>
        <w:rPr>
          <w:rFonts w:ascii="Times New Roman" w:hAnsi="Times New Roman"/>
          <w:sz w:val="24"/>
        </w:rPr>
        <w:t>评定标准的12大要素要求，完善了12个档案盒，并搜集整理了部分档案资料。</w:t>
      </w:r>
    </w:p>
    <w:p w14:paraId="4C48F81C">
      <w:pPr>
        <w:spacing w:line="348" w:lineRule="auto"/>
        <w:ind w:firstLine="480" w:firstLineChars="200"/>
        <w:jc w:val="left"/>
        <w:rPr>
          <w:rFonts w:ascii="Times New Roman" w:hAnsi="Times New Roman"/>
          <w:sz w:val="24"/>
        </w:rPr>
      </w:pPr>
      <w:r>
        <w:rPr>
          <w:rFonts w:ascii="Times New Roman" w:hAnsi="Times New Roman"/>
          <w:sz w:val="24"/>
        </w:rPr>
        <w:t>但是，还存在一些不足，主要表现在以下方面：</w:t>
      </w:r>
    </w:p>
    <w:p w14:paraId="7D383B1C">
      <w:pPr>
        <w:spacing w:line="348" w:lineRule="auto"/>
        <w:ind w:firstLine="480" w:firstLineChars="200"/>
        <w:rPr>
          <w:rFonts w:hint="eastAsia" w:ascii="Times New Roman" w:hAnsi="Times New Roman" w:eastAsiaTheme="minorEastAsia"/>
          <w:sz w:val="24"/>
          <w:lang w:eastAsia="zh-CN"/>
        </w:rPr>
      </w:pPr>
      <w:r>
        <w:rPr>
          <w:rFonts w:ascii="Times New Roman" w:hAnsi="Times New Roman"/>
          <w:sz w:val="24"/>
        </w:rPr>
        <w:t>（1）识别的</w:t>
      </w:r>
      <w:r>
        <w:rPr>
          <w:rFonts w:hint="eastAsia" w:ascii="Times New Roman" w:hAnsi="Times New Roman"/>
          <w:sz w:val="24"/>
        </w:rPr>
        <w:t>部分法规标准</w:t>
      </w:r>
      <w:r>
        <w:rPr>
          <w:rFonts w:hint="eastAsia" w:ascii="Times New Roman" w:hAnsi="Times New Roman"/>
          <w:sz w:val="24"/>
          <w:lang w:val="en-US" w:eastAsia="zh-CN"/>
        </w:rPr>
        <w:t>不全</w:t>
      </w:r>
      <w:r>
        <w:rPr>
          <w:rFonts w:hint="eastAsia" w:ascii="Times New Roman" w:hAnsi="Times New Roman"/>
          <w:sz w:val="24"/>
        </w:rPr>
        <w:t>；法规标准等符合性评估报告不完善</w:t>
      </w:r>
      <w:r>
        <w:rPr>
          <w:rFonts w:hint="eastAsia" w:ascii="Times New Roman" w:hAnsi="Times New Roman"/>
          <w:sz w:val="24"/>
          <w:lang w:eastAsia="zh-CN"/>
        </w:rPr>
        <w:t>；</w:t>
      </w:r>
    </w:p>
    <w:p w14:paraId="7AF12377">
      <w:pPr>
        <w:spacing w:line="348" w:lineRule="auto"/>
        <w:ind w:firstLine="480" w:firstLineChars="200"/>
        <w:rPr>
          <w:rFonts w:hint="eastAsia" w:ascii="Times New Roman" w:hAnsi="Times New Roman" w:eastAsiaTheme="minorEastAsia"/>
          <w:sz w:val="24"/>
          <w:lang w:eastAsia="zh-CN"/>
        </w:rPr>
      </w:pPr>
      <w:r>
        <w:rPr>
          <w:rFonts w:ascii="Times New Roman" w:hAnsi="Times New Roman"/>
          <w:sz w:val="24"/>
        </w:rPr>
        <w:t>（2）</w:t>
      </w:r>
      <w:r>
        <w:rPr>
          <w:rFonts w:hint="eastAsia" w:ascii="Times New Roman" w:hAnsi="Times New Roman"/>
          <w:sz w:val="24"/>
          <w:lang w:val="en-US" w:eastAsia="zh-CN"/>
        </w:rPr>
        <w:t>人员对自己的</w:t>
      </w:r>
      <w:r>
        <w:rPr>
          <w:rFonts w:hint="eastAsia" w:ascii="Times New Roman" w:hAnsi="Times New Roman"/>
          <w:sz w:val="24"/>
        </w:rPr>
        <w:t>安全生产</w:t>
      </w:r>
      <w:r>
        <w:rPr>
          <w:rFonts w:hint="eastAsia" w:ascii="Times New Roman" w:hAnsi="Times New Roman"/>
          <w:sz w:val="24"/>
          <w:lang w:val="en-US" w:eastAsia="zh-CN"/>
        </w:rPr>
        <w:t>责任制不清楚，未开展安全文化建设</w:t>
      </w:r>
      <w:r>
        <w:rPr>
          <w:rFonts w:hint="eastAsia" w:ascii="Times New Roman" w:hAnsi="Times New Roman"/>
          <w:sz w:val="24"/>
          <w:lang w:eastAsia="zh-CN"/>
        </w:rPr>
        <w:t>；</w:t>
      </w:r>
    </w:p>
    <w:p w14:paraId="1A31394B">
      <w:pPr>
        <w:spacing w:line="348" w:lineRule="auto"/>
        <w:ind w:firstLine="480" w:firstLineChars="200"/>
        <w:rPr>
          <w:rFonts w:hint="eastAsia" w:ascii="Times New Roman" w:hAnsi="Times New Roman" w:eastAsiaTheme="minorEastAsia"/>
          <w:sz w:val="24"/>
          <w:lang w:eastAsia="zh-CN"/>
        </w:rPr>
      </w:pPr>
      <w:r>
        <w:rPr>
          <w:rFonts w:ascii="Times New Roman" w:hAnsi="Times New Roman"/>
          <w:sz w:val="24"/>
        </w:rPr>
        <w:t>（3）</w:t>
      </w:r>
      <w:r>
        <w:rPr>
          <w:rFonts w:hint="eastAsia" w:ascii="Times New Roman" w:hAnsi="Times New Roman"/>
          <w:sz w:val="24"/>
          <w:lang w:val="en-US" w:eastAsia="zh-CN"/>
        </w:rPr>
        <w:t>无</w:t>
      </w:r>
      <w:r>
        <w:rPr>
          <w:rFonts w:hint="eastAsia" w:ascii="Times New Roman" w:hAnsi="Times New Roman"/>
          <w:sz w:val="24"/>
        </w:rPr>
        <w:t>领导带班情况的考核记录</w:t>
      </w:r>
      <w:r>
        <w:rPr>
          <w:rFonts w:hint="eastAsia" w:ascii="Times New Roman" w:hAnsi="Times New Roman"/>
          <w:sz w:val="24"/>
          <w:lang w:eastAsia="zh-CN"/>
        </w:rPr>
        <w:t>；</w:t>
      </w:r>
    </w:p>
    <w:p w14:paraId="2DE906F8">
      <w:pPr>
        <w:spacing w:line="348" w:lineRule="auto"/>
        <w:ind w:firstLine="480" w:firstLineChars="200"/>
        <w:rPr>
          <w:rFonts w:ascii="Times New Roman" w:hAnsi="Times New Roman"/>
          <w:sz w:val="24"/>
        </w:rPr>
      </w:pPr>
      <w:r>
        <w:rPr>
          <w:rFonts w:ascii="Times New Roman" w:hAnsi="Times New Roman"/>
          <w:sz w:val="24"/>
        </w:rPr>
        <w:t>（4）</w:t>
      </w:r>
      <w:r>
        <w:rPr>
          <w:rFonts w:hint="eastAsia" w:ascii="Times New Roman" w:hAnsi="Times New Roman"/>
          <w:sz w:val="24"/>
          <w:lang w:val="en-US" w:eastAsia="zh-CN"/>
        </w:rPr>
        <w:t>人员职责培训不足不清楚；</w:t>
      </w:r>
    </w:p>
    <w:p w14:paraId="1452989B">
      <w:pPr>
        <w:spacing w:line="348" w:lineRule="auto"/>
        <w:ind w:firstLine="480" w:firstLineChars="200"/>
        <w:rPr>
          <w:rFonts w:ascii="Times New Roman" w:hAnsi="Times New Roman"/>
          <w:sz w:val="24"/>
        </w:rPr>
      </w:pPr>
      <w:r>
        <w:rPr>
          <w:rFonts w:ascii="Times New Roman" w:hAnsi="Times New Roman"/>
          <w:sz w:val="24"/>
        </w:rPr>
        <w:t>（5）</w:t>
      </w:r>
      <w:r>
        <w:rPr>
          <w:rFonts w:hint="eastAsia" w:ascii="Times New Roman" w:hAnsi="Times New Roman"/>
          <w:sz w:val="24"/>
          <w:lang w:val="en-US" w:eastAsia="zh-CN"/>
        </w:rPr>
        <w:t>安全</w:t>
      </w:r>
      <w:r>
        <w:rPr>
          <w:rFonts w:hint="eastAsia" w:ascii="Times New Roman" w:hAnsi="Times New Roman"/>
          <w:sz w:val="24"/>
        </w:rPr>
        <w:t>检查</w:t>
      </w:r>
      <w:r>
        <w:rPr>
          <w:rFonts w:hint="eastAsia" w:ascii="Times New Roman" w:hAnsi="Times New Roman"/>
          <w:sz w:val="24"/>
          <w:lang w:val="en-US" w:eastAsia="zh-CN"/>
        </w:rPr>
        <w:t>表不完善</w:t>
      </w:r>
      <w:r>
        <w:rPr>
          <w:rFonts w:hint="eastAsia" w:ascii="Times New Roman" w:hAnsi="Times New Roman"/>
          <w:sz w:val="24"/>
        </w:rPr>
        <w:t>，</w:t>
      </w:r>
      <w:r>
        <w:rPr>
          <w:rFonts w:hint="eastAsia" w:ascii="Times New Roman" w:hAnsi="Times New Roman"/>
          <w:sz w:val="24"/>
          <w:lang w:val="en-US" w:eastAsia="zh-CN"/>
        </w:rPr>
        <w:t>对</w:t>
      </w:r>
      <w:r>
        <w:rPr>
          <w:rFonts w:hint="eastAsia" w:ascii="Times New Roman" w:hAnsi="Times New Roman"/>
          <w:sz w:val="24"/>
        </w:rPr>
        <w:t>隐患</w:t>
      </w:r>
      <w:r>
        <w:rPr>
          <w:rFonts w:hint="eastAsia" w:ascii="Times New Roman" w:hAnsi="Times New Roman"/>
          <w:sz w:val="24"/>
          <w:lang w:val="en-US" w:eastAsia="zh-CN"/>
        </w:rPr>
        <w:t>原因未进行全面分析</w:t>
      </w:r>
      <w:r>
        <w:rPr>
          <w:rFonts w:hint="eastAsia" w:ascii="Times New Roman" w:hAnsi="Times New Roman"/>
          <w:sz w:val="24"/>
        </w:rPr>
        <w:t>。</w:t>
      </w:r>
    </w:p>
    <w:p w14:paraId="34EAB3DC">
      <w:pPr>
        <w:spacing w:line="348" w:lineRule="auto"/>
        <w:ind w:firstLine="480" w:firstLineChars="200"/>
        <w:rPr>
          <w:rFonts w:ascii="Times New Roman" w:hAnsi="Times New Roman"/>
          <w:sz w:val="24"/>
        </w:rPr>
      </w:pPr>
      <w:r>
        <w:rPr>
          <w:rFonts w:ascii="Times New Roman" w:hAnsi="Times New Roman"/>
          <w:sz w:val="24"/>
        </w:rPr>
        <w:t>（6）</w:t>
      </w:r>
      <w:r>
        <w:rPr>
          <w:rFonts w:hint="eastAsia" w:ascii="Times New Roman" w:hAnsi="Times New Roman"/>
          <w:sz w:val="24"/>
        </w:rPr>
        <w:t>无培训效果评估记录，无转岗员工安全培训记录，部分班组安全活动记录填写不规范，频次不符合</w:t>
      </w:r>
      <w:r>
        <w:rPr>
          <w:rFonts w:ascii="Times New Roman" w:hAnsi="Times New Roman"/>
          <w:sz w:val="24"/>
        </w:rPr>
        <w:t>。</w:t>
      </w:r>
    </w:p>
    <w:p w14:paraId="58264819">
      <w:pPr>
        <w:spacing w:line="348" w:lineRule="auto"/>
        <w:ind w:firstLine="480" w:firstLineChars="200"/>
        <w:rPr>
          <w:rFonts w:hint="eastAsia" w:ascii="Times New Roman" w:hAnsi="Times New Roman"/>
          <w:sz w:val="24"/>
          <w:lang w:val="en-US" w:eastAsia="zh-CN"/>
        </w:rPr>
      </w:pPr>
      <w:r>
        <w:rPr>
          <w:rFonts w:ascii="Times New Roman" w:hAnsi="Times New Roman"/>
          <w:sz w:val="24"/>
        </w:rPr>
        <w:t>（7）</w:t>
      </w:r>
      <w:r>
        <w:rPr>
          <w:rFonts w:hint="eastAsia" w:ascii="Times New Roman" w:hAnsi="Times New Roman"/>
          <w:sz w:val="24"/>
          <w:lang w:val="en-US" w:eastAsia="zh-CN"/>
        </w:rPr>
        <w:t>工艺安全管理不足</w:t>
      </w:r>
      <w:r>
        <w:rPr>
          <w:rFonts w:hint="eastAsia" w:ascii="Times New Roman" w:hAnsi="Times New Roman"/>
          <w:sz w:val="24"/>
        </w:rPr>
        <w:t>关键装置重点部位清单不完善</w:t>
      </w:r>
      <w:r>
        <w:rPr>
          <w:rFonts w:hint="eastAsia" w:ascii="Times New Roman" w:hAnsi="Times New Roman"/>
          <w:sz w:val="24"/>
          <w:lang w:val="en-US" w:eastAsia="zh-CN"/>
        </w:rPr>
        <w:t>,未建立安全设施台账，检修计划无；</w:t>
      </w:r>
    </w:p>
    <w:p w14:paraId="62294E5D">
      <w:pPr>
        <w:spacing w:line="348" w:lineRule="auto"/>
        <w:ind w:firstLine="480" w:firstLineChars="200"/>
        <w:rPr>
          <w:rFonts w:hint="eastAsia" w:ascii="Times New Roman" w:hAnsi="Times New Roman"/>
          <w:sz w:val="24"/>
          <w:lang w:val="en-US" w:eastAsia="zh-CN"/>
        </w:rPr>
      </w:pPr>
      <w:r>
        <w:rPr>
          <w:rFonts w:ascii="Times New Roman" w:hAnsi="Times New Roman"/>
          <w:sz w:val="24"/>
        </w:rPr>
        <w:t>（</w:t>
      </w:r>
      <w:r>
        <w:rPr>
          <w:rFonts w:hint="eastAsia" w:ascii="Times New Roman" w:hAnsi="Times New Roman"/>
          <w:sz w:val="24"/>
          <w:lang w:val="en-US" w:eastAsia="zh-CN"/>
        </w:rPr>
        <w:t>8</w:t>
      </w:r>
      <w:r>
        <w:rPr>
          <w:rFonts w:ascii="Times New Roman" w:hAnsi="Times New Roman"/>
          <w:sz w:val="24"/>
        </w:rPr>
        <w:t>）</w:t>
      </w:r>
      <w:r>
        <w:rPr>
          <w:rFonts w:hint="eastAsia" w:ascii="Times New Roman" w:hAnsi="Times New Roman"/>
          <w:sz w:val="24"/>
          <w:lang w:val="en-US" w:eastAsia="zh-CN"/>
        </w:rPr>
        <w:t>安全警示标志不足；</w:t>
      </w:r>
    </w:p>
    <w:p w14:paraId="540C1A48">
      <w:pPr>
        <w:spacing w:line="348" w:lineRule="auto"/>
        <w:ind w:firstLine="480" w:firstLineChars="200"/>
        <w:rPr>
          <w:rFonts w:hint="default" w:ascii="Times New Roman" w:hAnsi="Times New Roman" w:eastAsiaTheme="minorEastAsia"/>
          <w:sz w:val="24"/>
          <w:lang w:val="en-US" w:eastAsia="zh-CN"/>
        </w:rPr>
      </w:pPr>
      <w:r>
        <w:rPr>
          <w:rFonts w:ascii="Times New Roman" w:hAnsi="Times New Roman"/>
          <w:sz w:val="24"/>
        </w:rPr>
        <w:t>（</w:t>
      </w:r>
      <w:r>
        <w:rPr>
          <w:rFonts w:hint="eastAsia" w:ascii="Times New Roman" w:hAnsi="Times New Roman"/>
          <w:sz w:val="24"/>
          <w:lang w:val="en-US" w:eastAsia="zh-CN"/>
        </w:rPr>
        <w:t>9</w:t>
      </w:r>
      <w:r>
        <w:rPr>
          <w:rFonts w:ascii="Times New Roman" w:hAnsi="Times New Roman"/>
          <w:sz w:val="24"/>
        </w:rPr>
        <w:t>）</w:t>
      </w:r>
      <w:r>
        <w:rPr>
          <w:rFonts w:hint="eastAsia" w:ascii="Times New Roman" w:hAnsi="Times New Roman"/>
          <w:sz w:val="24"/>
          <w:lang w:val="en-US" w:eastAsia="zh-CN"/>
        </w:rPr>
        <w:t>应急培训及演练不足；</w:t>
      </w:r>
    </w:p>
    <w:p w14:paraId="1B514D20">
      <w:pPr>
        <w:spacing w:line="348" w:lineRule="auto"/>
        <w:ind w:firstLine="480" w:firstLineChars="200"/>
        <w:rPr>
          <w:rFonts w:hint="eastAsia" w:ascii="Times New Roman" w:hAnsi="Times New Roman"/>
          <w:sz w:val="24"/>
          <w:lang w:eastAsia="zh-CN"/>
        </w:rPr>
      </w:pPr>
      <w:r>
        <w:rPr>
          <w:rFonts w:ascii="Times New Roman" w:hAnsi="Times New Roman"/>
          <w:sz w:val="24"/>
        </w:rPr>
        <w:t>（</w:t>
      </w:r>
      <w:r>
        <w:rPr>
          <w:rFonts w:hint="eastAsia" w:ascii="Times New Roman" w:hAnsi="Times New Roman"/>
          <w:sz w:val="24"/>
          <w:lang w:val="en-US" w:eastAsia="zh-CN"/>
        </w:rPr>
        <w:t>10</w:t>
      </w:r>
      <w:r>
        <w:rPr>
          <w:rFonts w:ascii="Times New Roman" w:hAnsi="Times New Roman"/>
          <w:sz w:val="24"/>
        </w:rPr>
        <w:t>）</w:t>
      </w:r>
      <w:r>
        <w:rPr>
          <w:rFonts w:hint="eastAsia" w:ascii="Times New Roman" w:hAnsi="Times New Roman"/>
          <w:sz w:val="24"/>
          <w:lang w:val="en-US" w:eastAsia="zh-CN"/>
        </w:rPr>
        <w:t>变更管理程序未开展风险分析</w:t>
      </w:r>
    </w:p>
    <w:p w14:paraId="796CF078">
      <w:pPr>
        <w:spacing w:line="348" w:lineRule="auto"/>
        <w:ind w:firstLine="480" w:firstLineChars="200"/>
        <w:rPr>
          <w:rFonts w:ascii="Times New Roman" w:hAnsi="Times New Roman"/>
          <w:sz w:val="24"/>
        </w:rPr>
      </w:pPr>
      <w:r>
        <w:rPr>
          <w:rFonts w:hint="eastAsia" w:ascii="Times New Roman" w:hAnsi="Times New Roman"/>
          <w:sz w:val="24"/>
        </w:rPr>
        <w:t>（</w:t>
      </w:r>
      <w:r>
        <w:rPr>
          <w:rFonts w:hint="eastAsia" w:ascii="Times New Roman" w:hAnsi="Times New Roman"/>
          <w:sz w:val="24"/>
          <w:lang w:val="en-US" w:eastAsia="zh-CN"/>
        </w:rPr>
        <w:t>11</w:t>
      </w:r>
      <w:r>
        <w:rPr>
          <w:rFonts w:hint="eastAsia" w:ascii="Times New Roman" w:hAnsi="Times New Roman"/>
          <w:sz w:val="24"/>
        </w:rPr>
        <w:t>）承包商档案不完善</w:t>
      </w:r>
    </w:p>
    <w:p w14:paraId="7924CF1E">
      <w:pPr>
        <w:widowControl/>
        <w:numPr>
          <w:ilvl w:val="2"/>
          <w:numId w:val="1"/>
        </w:numPr>
        <w:spacing w:line="540" w:lineRule="exact"/>
        <w:ind w:left="545" w:leftChars="0" w:hanging="545" w:firstLineChars="0"/>
        <w:rPr>
          <w:rFonts w:hint="eastAsia" w:ascii="宋体" w:hAnsi="宋体"/>
          <w:b/>
          <w:bCs/>
          <w:kern w:val="0"/>
          <w:sz w:val="28"/>
          <w:szCs w:val="28"/>
        </w:rPr>
      </w:pPr>
      <w:r>
        <w:rPr>
          <w:rFonts w:hint="eastAsia" w:ascii="宋体" w:hAnsi="宋体"/>
          <w:b/>
          <w:bCs/>
          <w:kern w:val="0"/>
          <w:sz w:val="28"/>
          <w:szCs w:val="28"/>
        </w:rPr>
        <w:t>现场自评综述</w:t>
      </w:r>
    </w:p>
    <w:p w14:paraId="5E1015D3">
      <w:pPr>
        <w:widowControl/>
        <w:numPr>
          <w:ilvl w:val="0"/>
          <w:numId w:val="0"/>
        </w:numPr>
        <w:spacing w:line="540" w:lineRule="exact"/>
        <w:ind w:leftChars="0" w:firstLine="480" w:firstLineChars="200"/>
        <w:rPr>
          <w:rFonts w:hint="eastAsia" w:ascii="宋体" w:hAnsi="宋体"/>
          <w:b w:val="0"/>
          <w:bCs w:val="0"/>
          <w:kern w:val="0"/>
          <w:sz w:val="24"/>
          <w:szCs w:val="24"/>
        </w:rPr>
      </w:pPr>
      <w:r>
        <w:rPr>
          <w:rFonts w:hint="eastAsia" w:ascii="宋体" w:hAnsi="宋体"/>
          <w:b w:val="0"/>
          <w:bCs w:val="0"/>
          <w:kern w:val="0"/>
          <w:sz w:val="24"/>
          <w:szCs w:val="24"/>
        </w:rPr>
        <w:t>经自评，公司在现场安全管理方面还存在一些安全隐患，主要表现在以下方面：</w:t>
      </w:r>
    </w:p>
    <w:p w14:paraId="1DD00423">
      <w:pPr>
        <w:widowControl/>
        <w:numPr>
          <w:ilvl w:val="0"/>
          <w:numId w:val="0"/>
        </w:numPr>
        <w:spacing w:line="540" w:lineRule="exact"/>
        <w:ind w:leftChars="0"/>
        <w:rPr>
          <w:rFonts w:hint="eastAsia" w:ascii="宋体" w:hAnsi="宋体"/>
          <w:b w:val="0"/>
          <w:bCs w:val="0"/>
          <w:kern w:val="0"/>
          <w:sz w:val="24"/>
          <w:szCs w:val="24"/>
        </w:rPr>
      </w:pPr>
      <w:r>
        <w:rPr>
          <w:rFonts w:hint="eastAsia" w:ascii="宋体" w:hAnsi="宋体"/>
          <w:b w:val="0"/>
          <w:bCs w:val="0"/>
          <w:kern w:val="0"/>
          <w:sz w:val="24"/>
          <w:szCs w:val="24"/>
        </w:rPr>
        <w:t>（1）安全</w:t>
      </w:r>
      <w:r>
        <w:rPr>
          <w:rFonts w:hint="eastAsia" w:ascii="宋体" w:hAnsi="宋体"/>
          <w:b w:val="0"/>
          <w:bCs w:val="0"/>
          <w:kern w:val="0"/>
          <w:sz w:val="24"/>
          <w:szCs w:val="24"/>
          <w:lang w:val="en-US" w:eastAsia="zh-CN"/>
        </w:rPr>
        <w:t>警示</w:t>
      </w:r>
      <w:r>
        <w:rPr>
          <w:rFonts w:hint="eastAsia" w:ascii="宋体" w:hAnsi="宋体"/>
          <w:b w:val="0"/>
          <w:bCs w:val="0"/>
          <w:kern w:val="0"/>
          <w:sz w:val="24"/>
          <w:szCs w:val="24"/>
        </w:rPr>
        <w:t>标志</w:t>
      </w:r>
      <w:r>
        <w:rPr>
          <w:rFonts w:hint="eastAsia" w:ascii="宋体" w:hAnsi="宋体"/>
          <w:b w:val="0"/>
          <w:bCs w:val="0"/>
          <w:kern w:val="0"/>
          <w:sz w:val="24"/>
          <w:szCs w:val="24"/>
          <w:lang w:val="en-US" w:eastAsia="zh-CN"/>
        </w:rPr>
        <w:t>不足</w:t>
      </w:r>
      <w:r>
        <w:rPr>
          <w:rFonts w:hint="eastAsia" w:ascii="宋体" w:hAnsi="宋体"/>
          <w:b w:val="0"/>
          <w:bCs w:val="0"/>
          <w:kern w:val="0"/>
          <w:sz w:val="24"/>
          <w:szCs w:val="24"/>
        </w:rPr>
        <w:t>；</w:t>
      </w:r>
    </w:p>
    <w:p w14:paraId="22B59144">
      <w:pPr>
        <w:widowControl/>
        <w:numPr>
          <w:ilvl w:val="0"/>
          <w:numId w:val="0"/>
        </w:numPr>
        <w:spacing w:line="540" w:lineRule="exact"/>
        <w:ind w:leftChars="0"/>
        <w:rPr>
          <w:rFonts w:hint="default" w:ascii="宋体" w:hAnsi="宋体" w:eastAsiaTheme="minorEastAsia"/>
          <w:b w:val="0"/>
          <w:bCs w:val="0"/>
          <w:kern w:val="0"/>
          <w:sz w:val="24"/>
          <w:szCs w:val="24"/>
          <w:lang w:val="en-US" w:eastAsia="zh-CN"/>
        </w:rPr>
      </w:pPr>
      <w:r>
        <w:rPr>
          <w:rFonts w:hint="eastAsia" w:ascii="宋体" w:hAnsi="宋体"/>
          <w:b w:val="0"/>
          <w:bCs w:val="0"/>
          <w:kern w:val="0"/>
          <w:sz w:val="24"/>
          <w:szCs w:val="24"/>
        </w:rPr>
        <w:t>（2）</w:t>
      </w:r>
      <w:r>
        <w:rPr>
          <w:rFonts w:hint="eastAsia" w:ascii="宋体" w:hAnsi="宋体"/>
          <w:b w:val="0"/>
          <w:bCs w:val="0"/>
          <w:kern w:val="0"/>
          <w:sz w:val="24"/>
          <w:szCs w:val="24"/>
          <w:lang w:val="en-US" w:eastAsia="zh-CN"/>
        </w:rPr>
        <w:t>现场5S管理弱；</w:t>
      </w:r>
    </w:p>
    <w:p w14:paraId="0A405088">
      <w:pPr>
        <w:widowControl/>
        <w:numPr>
          <w:ilvl w:val="0"/>
          <w:numId w:val="0"/>
        </w:numPr>
        <w:spacing w:line="540" w:lineRule="exact"/>
        <w:ind w:leftChars="0"/>
        <w:rPr>
          <w:rFonts w:hint="default" w:ascii="宋体" w:hAnsi="宋体" w:eastAsiaTheme="minorEastAsia"/>
          <w:b w:val="0"/>
          <w:bCs w:val="0"/>
          <w:kern w:val="0"/>
          <w:sz w:val="24"/>
          <w:szCs w:val="24"/>
          <w:lang w:val="en-US" w:eastAsia="zh-CN"/>
        </w:rPr>
      </w:pPr>
      <w:r>
        <w:rPr>
          <w:rFonts w:hint="eastAsia" w:ascii="宋体" w:hAnsi="宋体"/>
          <w:b w:val="0"/>
          <w:bCs w:val="0"/>
          <w:kern w:val="0"/>
          <w:sz w:val="24"/>
          <w:szCs w:val="24"/>
        </w:rPr>
        <w:t>（3）</w:t>
      </w:r>
      <w:r>
        <w:rPr>
          <w:rFonts w:hint="eastAsia" w:ascii="宋体" w:hAnsi="宋体"/>
          <w:b w:val="0"/>
          <w:bCs w:val="0"/>
          <w:kern w:val="0"/>
          <w:sz w:val="24"/>
          <w:szCs w:val="24"/>
          <w:lang w:val="en-US" w:eastAsia="zh-CN"/>
        </w:rPr>
        <w:t>现场临时管线较多；</w:t>
      </w:r>
    </w:p>
    <w:p w14:paraId="6273C06D">
      <w:pPr>
        <w:widowControl/>
        <w:numPr>
          <w:ilvl w:val="0"/>
          <w:numId w:val="0"/>
        </w:numPr>
        <w:spacing w:line="540" w:lineRule="exact"/>
        <w:ind w:leftChars="0"/>
        <w:rPr>
          <w:rFonts w:hint="eastAsia" w:ascii="宋体" w:hAnsi="宋体"/>
          <w:b w:val="0"/>
          <w:bCs w:val="0"/>
          <w:kern w:val="0"/>
          <w:sz w:val="24"/>
          <w:szCs w:val="24"/>
          <w:lang w:val="en-US" w:eastAsia="zh-CN"/>
        </w:rPr>
      </w:pPr>
      <w:r>
        <w:rPr>
          <w:rFonts w:hint="eastAsia" w:ascii="宋体" w:hAnsi="宋体"/>
          <w:b w:val="0"/>
          <w:bCs w:val="0"/>
          <w:kern w:val="0"/>
          <w:sz w:val="24"/>
          <w:szCs w:val="24"/>
        </w:rPr>
        <w:t>（4）</w:t>
      </w:r>
      <w:r>
        <w:rPr>
          <w:rFonts w:hint="eastAsia" w:ascii="宋体" w:hAnsi="宋体"/>
          <w:b w:val="0"/>
          <w:bCs w:val="0"/>
          <w:kern w:val="0"/>
          <w:sz w:val="24"/>
          <w:szCs w:val="24"/>
          <w:lang w:val="en-US" w:eastAsia="zh-CN"/>
        </w:rPr>
        <w:t>部分静电接地及电气接地不符合要求。</w:t>
      </w:r>
    </w:p>
    <w:p w14:paraId="54457897">
      <w:pPr>
        <w:widowControl/>
        <w:numPr>
          <w:ilvl w:val="0"/>
          <w:numId w:val="0"/>
        </w:numPr>
        <w:spacing w:line="540" w:lineRule="exact"/>
        <w:ind w:leftChars="0"/>
        <w:rPr>
          <w:rFonts w:hint="eastAsia" w:ascii="宋体" w:hAnsi="宋体"/>
          <w:b/>
          <w:bCs/>
          <w:kern w:val="0"/>
          <w:sz w:val="28"/>
          <w:szCs w:val="28"/>
        </w:rPr>
      </w:pPr>
      <w:r>
        <w:rPr>
          <w:rFonts w:hint="eastAsia" w:ascii="宋体" w:hAnsi="宋体"/>
          <w:b w:val="0"/>
          <w:bCs w:val="0"/>
          <w:kern w:val="0"/>
          <w:sz w:val="24"/>
          <w:szCs w:val="24"/>
        </w:rPr>
        <w:t>（</w:t>
      </w:r>
      <w:r>
        <w:rPr>
          <w:rFonts w:hint="eastAsia" w:ascii="宋体" w:hAnsi="宋体"/>
          <w:b w:val="0"/>
          <w:bCs w:val="0"/>
          <w:kern w:val="0"/>
          <w:sz w:val="24"/>
          <w:szCs w:val="24"/>
          <w:lang w:val="en-US" w:eastAsia="zh-CN"/>
        </w:rPr>
        <w:t>5</w:t>
      </w:r>
      <w:r>
        <w:rPr>
          <w:rFonts w:hint="eastAsia" w:ascii="宋体" w:hAnsi="宋体"/>
          <w:b w:val="0"/>
          <w:bCs w:val="0"/>
          <w:kern w:val="0"/>
          <w:sz w:val="24"/>
          <w:szCs w:val="24"/>
        </w:rPr>
        <w:t>）</w:t>
      </w:r>
      <w:r>
        <w:rPr>
          <w:rFonts w:hint="eastAsia" w:ascii="宋体" w:hAnsi="宋体"/>
          <w:b w:val="0"/>
          <w:bCs w:val="0"/>
          <w:kern w:val="0"/>
          <w:sz w:val="24"/>
          <w:szCs w:val="24"/>
          <w:lang w:val="en-US" w:eastAsia="zh-CN"/>
        </w:rPr>
        <w:t>人员接触危险化学品作业时PPE穿戴不齐全。</w:t>
      </w:r>
    </w:p>
    <w:p w14:paraId="4D694A96">
      <w:pPr>
        <w:widowControl/>
        <w:numPr>
          <w:ilvl w:val="0"/>
          <w:numId w:val="1"/>
        </w:numPr>
        <w:spacing w:line="540" w:lineRule="exact"/>
        <w:ind w:left="425" w:leftChars="0" w:hanging="425" w:firstLineChars="0"/>
        <w:outlineLvl w:val="0"/>
        <w:rPr>
          <w:rFonts w:hint="eastAsia" w:ascii="宋体" w:hAnsi="宋体"/>
          <w:b/>
          <w:kern w:val="0"/>
          <w:sz w:val="28"/>
          <w:szCs w:val="28"/>
        </w:rPr>
      </w:pPr>
      <w:bookmarkStart w:id="7" w:name="_Toc26160"/>
      <w:r>
        <w:rPr>
          <w:rFonts w:hint="eastAsia" w:ascii="宋体" w:hAnsi="宋体"/>
          <w:b/>
          <w:bCs/>
          <w:kern w:val="0"/>
          <w:sz w:val="28"/>
          <w:szCs w:val="28"/>
        </w:rPr>
        <w:t>自评评分表</w:t>
      </w:r>
      <w:bookmarkEnd w:id="7"/>
    </w:p>
    <w:tbl>
      <w:tblPr>
        <w:tblStyle w:val="21"/>
        <w:tblpPr w:leftFromText="180" w:rightFromText="180" w:vertAnchor="text" w:horzAnchor="page" w:tblpXSpec="center" w:tblpY="481"/>
        <w:tblOverlap w:val="neve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59"/>
        <w:gridCol w:w="2664"/>
        <w:gridCol w:w="975"/>
        <w:gridCol w:w="993"/>
        <w:gridCol w:w="849"/>
        <w:gridCol w:w="1055"/>
        <w:gridCol w:w="1361"/>
      </w:tblGrid>
      <w:tr w14:paraId="0BDA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9356" w:type="dxa"/>
            <w:gridSpan w:val="7"/>
            <w:shd w:val="clear" w:color="auto" w:fill="auto"/>
            <w:vAlign w:val="center"/>
          </w:tcPr>
          <w:p w14:paraId="63796CDB">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b/>
                <w:bCs/>
                <w:spacing w:val="0"/>
                <w:sz w:val="28"/>
                <w:szCs w:val="28"/>
              </w:rPr>
              <w:t>危险化学品企业安全标准化考核评级表</w:t>
            </w:r>
          </w:p>
        </w:tc>
      </w:tr>
      <w:tr w14:paraId="2F19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459" w:type="dxa"/>
            <w:shd w:val="clear" w:color="auto" w:fill="auto"/>
            <w:vAlign w:val="center"/>
          </w:tcPr>
          <w:p w14:paraId="5242B7C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企业名称</w:t>
            </w:r>
          </w:p>
        </w:tc>
        <w:tc>
          <w:tcPr>
            <w:tcW w:w="7897" w:type="dxa"/>
            <w:gridSpan w:val="6"/>
            <w:shd w:val="clear" w:color="auto" w:fill="auto"/>
            <w:vAlign w:val="center"/>
          </w:tcPr>
          <w:p w14:paraId="667CA2D1">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达诺尔（湖北）微电子材料有限公司</w:t>
            </w:r>
          </w:p>
        </w:tc>
      </w:tr>
      <w:tr w14:paraId="5C84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459" w:type="dxa"/>
            <w:shd w:val="clear" w:color="auto" w:fill="auto"/>
            <w:vAlign w:val="center"/>
          </w:tcPr>
          <w:p w14:paraId="5D09D129">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p>
        </w:tc>
        <w:tc>
          <w:tcPr>
            <w:tcW w:w="7897" w:type="dxa"/>
            <w:gridSpan w:val="6"/>
            <w:shd w:val="clear" w:color="auto" w:fill="auto"/>
            <w:vAlign w:val="center"/>
          </w:tcPr>
          <w:p w14:paraId="77967A15">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     一级企业</w:t>
            </w:r>
          </w:p>
        </w:tc>
      </w:tr>
      <w:tr w14:paraId="23AA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4" w:hRule="atLeast"/>
          <w:jc w:val="center"/>
        </w:trPr>
        <w:tc>
          <w:tcPr>
            <w:tcW w:w="1459" w:type="dxa"/>
            <w:shd w:val="clear" w:color="auto" w:fill="auto"/>
            <w:vAlign w:val="center"/>
          </w:tcPr>
          <w:p w14:paraId="11E9142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申请考</w:t>
            </w:r>
          </w:p>
        </w:tc>
        <w:tc>
          <w:tcPr>
            <w:tcW w:w="2664" w:type="dxa"/>
            <w:shd w:val="clear" w:color="auto" w:fill="auto"/>
            <w:vAlign w:val="center"/>
          </w:tcPr>
          <w:p w14:paraId="4978FD1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     二级企业</w:t>
            </w:r>
          </w:p>
        </w:tc>
        <w:tc>
          <w:tcPr>
            <w:tcW w:w="5233" w:type="dxa"/>
            <w:gridSpan w:val="5"/>
            <w:shd w:val="clear" w:color="auto" w:fill="auto"/>
            <w:vAlign w:val="center"/>
          </w:tcPr>
          <w:p w14:paraId="3054F602">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p>
        </w:tc>
      </w:tr>
      <w:tr w14:paraId="5044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459" w:type="dxa"/>
            <w:shd w:val="clear" w:color="auto" w:fill="auto"/>
            <w:vAlign w:val="center"/>
          </w:tcPr>
          <w:p w14:paraId="430108ED">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评等级</w:t>
            </w:r>
          </w:p>
        </w:tc>
        <w:tc>
          <w:tcPr>
            <w:tcW w:w="2664" w:type="dxa"/>
            <w:shd w:val="clear" w:color="auto" w:fill="auto"/>
            <w:vAlign w:val="center"/>
          </w:tcPr>
          <w:p w14:paraId="36095F7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     三级企业</w:t>
            </w:r>
          </w:p>
        </w:tc>
        <w:tc>
          <w:tcPr>
            <w:tcW w:w="5233" w:type="dxa"/>
            <w:gridSpan w:val="5"/>
            <w:shd w:val="clear" w:color="auto" w:fill="auto"/>
            <w:vAlign w:val="center"/>
          </w:tcPr>
          <w:p w14:paraId="78C9920A">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p>
        </w:tc>
      </w:tr>
      <w:tr w14:paraId="0CE9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9" w:hRule="atLeast"/>
          <w:jc w:val="center"/>
        </w:trPr>
        <w:tc>
          <w:tcPr>
            <w:tcW w:w="1459" w:type="dxa"/>
            <w:vMerge w:val="restart"/>
            <w:shd w:val="clear" w:color="auto" w:fill="auto"/>
            <w:vAlign w:val="top"/>
          </w:tcPr>
          <w:p w14:paraId="506B959A">
            <w:pPr>
              <w:keepNext w:val="0"/>
              <w:keepLines w:val="0"/>
              <w:widowControl/>
              <w:suppressLineNumbers w:val="0"/>
              <w:spacing w:before="0" w:beforeAutospacing="0" w:after="0" w:afterAutospacing="0"/>
              <w:ind w:left="0" w:right="0"/>
              <w:jc w:val="both"/>
              <w:rPr>
                <w:rFonts w:hint="eastAsia" w:ascii="仿宋" w:hAnsi="仿宋" w:eastAsia="仿宋" w:cs="仿宋"/>
                <w:kern w:val="2"/>
                <w:sz w:val="28"/>
                <w:szCs w:val="28"/>
              </w:rPr>
            </w:pPr>
          </w:p>
          <w:p w14:paraId="3516E7FB">
            <w:pPr>
              <w:keepNext w:val="0"/>
              <w:keepLines w:val="0"/>
              <w:suppressLineNumbers w:val="0"/>
              <w:spacing w:before="0" w:beforeAutospacing="0" w:after="0" w:afterAutospacing="0"/>
              <w:ind w:left="0" w:right="0"/>
              <w:jc w:val="both"/>
              <w:rPr>
                <w:rFonts w:hint="eastAsia" w:ascii="仿宋" w:hAnsi="仿宋" w:eastAsia="仿宋" w:cs="仿宋"/>
                <w:spacing w:val="0"/>
                <w:sz w:val="28"/>
                <w:szCs w:val="28"/>
              </w:rPr>
            </w:pPr>
          </w:p>
          <w:p w14:paraId="6E2B2D34">
            <w:pPr>
              <w:keepNext w:val="0"/>
              <w:keepLines w:val="0"/>
              <w:suppressLineNumbers w:val="0"/>
              <w:spacing w:before="0" w:beforeAutospacing="0" w:after="0" w:afterAutospacing="0"/>
              <w:ind w:left="0" w:right="0"/>
              <w:jc w:val="both"/>
              <w:rPr>
                <w:rFonts w:hint="eastAsia" w:ascii="仿宋" w:hAnsi="仿宋" w:eastAsia="仿宋" w:cs="仿宋"/>
                <w:spacing w:val="0"/>
                <w:sz w:val="28"/>
                <w:szCs w:val="28"/>
              </w:rPr>
            </w:pPr>
          </w:p>
          <w:p w14:paraId="79EC5158">
            <w:pPr>
              <w:keepNext w:val="0"/>
              <w:keepLines w:val="0"/>
              <w:suppressLineNumbers w:val="0"/>
              <w:spacing w:before="0" w:beforeAutospacing="0" w:after="0" w:afterAutospacing="0"/>
              <w:ind w:left="0" w:right="0"/>
              <w:jc w:val="both"/>
              <w:rPr>
                <w:rFonts w:hint="eastAsia" w:ascii="仿宋" w:hAnsi="仿宋" w:eastAsia="仿宋" w:cs="仿宋"/>
                <w:spacing w:val="0"/>
                <w:sz w:val="28"/>
                <w:szCs w:val="28"/>
              </w:rPr>
            </w:pPr>
          </w:p>
          <w:p w14:paraId="72172AEA">
            <w:pPr>
              <w:keepNext w:val="0"/>
              <w:keepLines w:val="0"/>
              <w:suppressLineNumbers w:val="0"/>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bCs/>
                <w:spacing w:val="0"/>
                <w:sz w:val="28"/>
                <w:szCs w:val="28"/>
              </w:rPr>
              <w:t>12项A级要素企业自评得分</w:t>
            </w:r>
          </w:p>
        </w:tc>
        <w:tc>
          <w:tcPr>
            <w:tcW w:w="2664" w:type="dxa"/>
            <w:shd w:val="clear" w:color="auto" w:fill="auto"/>
            <w:vAlign w:val="center"/>
          </w:tcPr>
          <w:p w14:paraId="1F4A5F74">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kern w:val="2"/>
                <w:sz w:val="28"/>
                <w:szCs w:val="28"/>
              </w:rPr>
            </w:pPr>
          </w:p>
          <w:p w14:paraId="0FCA21AD">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A 级要素</w:t>
            </w:r>
          </w:p>
        </w:tc>
        <w:tc>
          <w:tcPr>
            <w:tcW w:w="975" w:type="dxa"/>
            <w:shd w:val="clear" w:color="auto" w:fill="auto"/>
            <w:vAlign w:val="center"/>
          </w:tcPr>
          <w:p w14:paraId="40FDB287">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权重</w:t>
            </w:r>
            <w:r>
              <w:rPr>
                <w:rFonts w:hint="eastAsia" w:ascii="仿宋" w:hAnsi="仿宋" w:eastAsia="仿宋" w:cs="仿宋"/>
                <w:sz w:val="28"/>
                <w:szCs w:val="28"/>
              </w:rPr>
              <w:t xml:space="preserve"> </w:t>
            </w:r>
            <w:r>
              <w:rPr>
                <w:rFonts w:hint="eastAsia" w:ascii="仿宋" w:hAnsi="仿宋" w:eastAsia="仿宋" w:cs="仿宋"/>
                <w:spacing w:val="0"/>
                <w:sz w:val="28"/>
                <w:szCs w:val="28"/>
              </w:rPr>
              <w:t>系数</w:t>
            </w:r>
          </w:p>
        </w:tc>
        <w:tc>
          <w:tcPr>
            <w:tcW w:w="993" w:type="dxa"/>
            <w:shd w:val="clear" w:color="auto" w:fill="auto"/>
            <w:vAlign w:val="center"/>
          </w:tcPr>
          <w:p w14:paraId="123DDAD8">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kern w:val="2"/>
                <w:sz w:val="28"/>
                <w:szCs w:val="28"/>
              </w:rPr>
            </w:pPr>
          </w:p>
          <w:p w14:paraId="751C7BC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空项分</w:t>
            </w:r>
          </w:p>
        </w:tc>
        <w:tc>
          <w:tcPr>
            <w:tcW w:w="849" w:type="dxa"/>
            <w:shd w:val="clear" w:color="auto" w:fill="auto"/>
            <w:vAlign w:val="center"/>
          </w:tcPr>
          <w:p w14:paraId="384D2E5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自评</w:t>
            </w:r>
            <w:r>
              <w:rPr>
                <w:rFonts w:hint="eastAsia" w:ascii="仿宋" w:hAnsi="仿宋" w:eastAsia="仿宋" w:cs="仿宋"/>
                <w:sz w:val="28"/>
                <w:szCs w:val="28"/>
              </w:rPr>
              <w:t xml:space="preserve"> </w:t>
            </w:r>
            <w:r>
              <w:rPr>
                <w:rFonts w:hint="eastAsia" w:ascii="仿宋" w:hAnsi="仿宋" w:eastAsia="仿宋" w:cs="仿宋"/>
                <w:spacing w:val="0"/>
                <w:sz w:val="28"/>
                <w:szCs w:val="28"/>
              </w:rPr>
              <w:t>打分</w:t>
            </w:r>
          </w:p>
        </w:tc>
        <w:tc>
          <w:tcPr>
            <w:tcW w:w="1055" w:type="dxa"/>
            <w:shd w:val="clear" w:color="auto" w:fill="auto"/>
            <w:vAlign w:val="center"/>
          </w:tcPr>
          <w:p w14:paraId="22963D6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扣除空</w:t>
            </w:r>
            <w:r>
              <w:rPr>
                <w:rFonts w:hint="eastAsia" w:ascii="仿宋" w:hAnsi="仿宋" w:eastAsia="仿宋" w:cs="仿宋"/>
                <w:sz w:val="28"/>
                <w:szCs w:val="28"/>
              </w:rPr>
              <w:t xml:space="preserve"> </w:t>
            </w:r>
            <w:r>
              <w:rPr>
                <w:rFonts w:hint="eastAsia" w:ascii="仿宋" w:hAnsi="仿宋" w:eastAsia="仿宋" w:cs="仿宋"/>
                <w:spacing w:val="0"/>
                <w:sz w:val="28"/>
                <w:szCs w:val="28"/>
              </w:rPr>
              <w:t>项后实</w:t>
            </w:r>
            <w:r>
              <w:rPr>
                <w:rFonts w:hint="eastAsia" w:ascii="仿宋" w:hAnsi="仿宋" w:eastAsia="仿宋" w:cs="仿宋"/>
                <w:sz w:val="28"/>
                <w:szCs w:val="28"/>
              </w:rPr>
              <w:t xml:space="preserve"> </w:t>
            </w:r>
            <w:r>
              <w:rPr>
                <w:rFonts w:hint="eastAsia" w:ascii="仿宋" w:hAnsi="仿宋" w:eastAsia="仿宋" w:cs="仿宋"/>
                <w:spacing w:val="0"/>
                <w:sz w:val="28"/>
                <w:szCs w:val="28"/>
              </w:rPr>
              <w:t>际得分</w:t>
            </w:r>
          </w:p>
        </w:tc>
        <w:tc>
          <w:tcPr>
            <w:tcW w:w="1361" w:type="dxa"/>
            <w:shd w:val="clear" w:color="auto" w:fill="auto"/>
            <w:vAlign w:val="center"/>
          </w:tcPr>
          <w:p w14:paraId="3B0B3C4C">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kern w:val="2"/>
                <w:sz w:val="28"/>
                <w:szCs w:val="28"/>
              </w:rPr>
            </w:pPr>
          </w:p>
          <w:p w14:paraId="5D01B161">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权重分</w:t>
            </w:r>
          </w:p>
        </w:tc>
      </w:tr>
      <w:tr w14:paraId="46E5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6166C099">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38BCEA4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法律法规和标准</w:t>
            </w:r>
          </w:p>
        </w:tc>
        <w:tc>
          <w:tcPr>
            <w:tcW w:w="975" w:type="dxa"/>
            <w:shd w:val="clear" w:color="auto" w:fill="auto"/>
            <w:vAlign w:val="center"/>
          </w:tcPr>
          <w:p w14:paraId="3C9FED2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0.05</w:t>
            </w:r>
          </w:p>
        </w:tc>
        <w:tc>
          <w:tcPr>
            <w:tcW w:w="993" w:type="dxa"/>
            <w:shd w:val="clear" w:color="auto" w:fill="auto"/>
            <w:vAlign w:val="center"/>
          </w:tcPr>
          <w:p w14:paraId="15287FB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6377DCCF">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81</w:t>
            </w:r>
          </w:p>
        </w:tc>
        <w:tc>
          <w:tcPr>
            <w:tcW w:w="1055" w:type="dxa"/>
            <w:shd w:val="clear" w:color="auto" w:fill="FFFFFF"/>
            <w:vAlign w:val="center"/>
          </w:tcPr>
          <w:p w14:paraId="2259558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81</w:t>
            </w:r>
          </w:p>
        </w:tc>
        <w:tc>
          <w:tcPr>
            <w:tcW w:w="1361" w:type="dxa"/>
            <w:shd w:val="clear" w:color="auto" w:fill="FFFFFF"/>
            <w:vAlign w:val="center"/>
          </w:tcPr>
          <w:p w14:paraId="26C738F7">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4.05</w:t>
            </w:r>
          </w:p>
        </w:tc>
      </w:tr>
      <w:tr w14:paraId="5E64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7DA2A507">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7A60F7DC">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机构和职责</w:t>
            </w:r>
          </w:p>
        </w:tc>
        <w:tc>
          <w:tcPr>
            <w:tcW w:w="975" w:type="dxa"/>
            <w:shd w:val="clear" w:color="auto" w:fill="auto"/>
            <w:vAlign w:val="center"/>
          </w:tcPr>
          <w:p w14:paraId="0E17D34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0.06</w:t>
            </w:r>
          </w:p>
        </w:tc>
        <w:tc>
          <w:tcPr>
            <w:tcW w:w="993" w:type="dxa"/>
            <w:shd w:val="clear" w:color="auto" w:fill="auto"/>
            <w:vAlign w:val="center"/>
          </w:tcPr>
          <w:p w14:paraId="3F550255">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24E6CDAC">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75</w:t>
            </w:r>
          </w:p>
        </w:tc>
        <w:tc>
          <w:tcPr>
            <w:tcW w:w="1055" w:type="dxa"/>
            <w:shd w:val="clear" w:color="auto" w:fill="FFFFFF"/>
            <w:vAlign w:val="center"/>
          </w:tcPr>
          <w:p w14:paraId="7E50C0C9">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75</w:t>
            </w:r>
          </w:p>
        </w:tc>
        <w:tc>
          <w:tcPr>
            <w:tcW w:w="1361" w:type="dxa"/>
            <w:shd w:val="clear" w:color="auto" w:fill="FFFFFF"/>
            <w:vAlign w:val="center"/>
          </w:tcPr>
          <w:p w14:paraId="02859784">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4.5</w:t>
            </w:r>
          </w:p>
        </w:tc>
      </w:tr>
      <w:tr w14:paraId="0722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41CC22CC">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3C5975B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风险管理</w:t>
            </w:r>
          </w:p>
        </w:tc>
        <w:tc>
          <w:tcPr>
            <w:tcW w:w="975" w:type="dxa"/>
            <w:shd w:val="clear" w:color="auto" w:fill="auto"/>
            <w:vAlign w:val="center"/>
          </w:tcPr>
          <w:p w14:paraId="3F8464CB">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0.12</w:t>
            </w:r>
          </w:p>
        </w:tc>
        <w:tc>
          <w:tcPr>
            <w:tcW w:w="993" w:type="dxa"/>
            <w:shd w:val="clear" w:color="auto" w:fill="auto"/>
            <w:vAlign w:val="center"/>
          </w:tcPr>
          <w:p w14:paraId="576317E7">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10</w:t>
            </w:r>
          </w:p>
        </w:tc>
        <w:tc>
          <w:tcPr>
            <w:tcW w:w="849" w:type="dxa"/>
            <w:shd w:val="clear" w:color="auto" w:fill="FFFFFF"/>
            <w:vAlign w:val="center"/>
          </w:tcPr>
          <w:p w14:paraId="41AC545E">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78</w:t>
            </w:r>
          </w:p>
        </w:tc>
        <w:tc>
          <w:tcPr>
            <w:tcW w:w="1055" w:type="dxa"/>
            <w:shd w:val="clear" w:color="auto" w:fill="FFFFFF"/>
            <w:vAlign w:val="center"/>
          </w:tcPr>
          <w:p w14:paraId="3E753E89">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78</w:t>
            </w:r>
          </w:p>
        </w:tc>
        <w:tc>
          <w:tcPr>
            <w:tcW w:w="1361" w:type="dxa"/>
            <w:shd w:val="clear" w:color="auto" w:fill="FFFFFF"/>
            <w:vAlign w:val="center"/>
          </w:tcPr>
          <w:p w14:paraId="51BD1399">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9.36</w:t>
            </w:r>
          </w:p>
        </w:tc>
      </w:tr>
      <w:tr w14:paraId="3FC3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3A50149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4A409F5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管理制度</w:t>
            </w:r>
          </w:p>
        </w:tc>
        <w:tc>
          <w:tcPr>
            <w:tcW w:w="975" w:type="dxa"/>
            <w:shd w:val="clear" w:color="auto" w:fill="auto"/>
            <w:vAlign w:val="center"/>
          </w:tcPr>
          <w:p w14:paraId="075DE5D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0.05</w:t>
            </w:r>
          </w:p>
        </w:tc>
        <w:tc>
          <w:tcPr>
            <w:tcW w:w="993" w:type="dxa"/>
            <w:shd w:val="clear" w:color="auto" w:fill="auto"/>
            <w:vAlign w:val="center"/>
          </w:tcPr>
          <w:p w14:paraId="2A66028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4F210FCE">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82</w:t>
            </w:r>
          </w:p>
        </w:tc>
        <w:tc>
          <w:tcPr>
            <w:tcW w:w="1055" w:type="dxa"/>
            <w:shd w:val="clear" w:color="auto" w:fill="FFFFFF"/>
            <w:vAlign w:val="center"/>
          </w:tcPr>
          <w:p w14:paraId="1C62298F">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82</w:t>
            </w:r>
          </w:p>
        </w:tc>
        <w:tc>
          <w:tcPr>
            <w:tcW w:w="1361" w:type="dxa"/>
            <w:shd w:val="clear" w:color="auto" w:fill="FFFFFF"/>
            <w:vAlign w:val="center"/>
          </w:tcPr>
          <w:p w14:paraId="77605CB8">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4.1</w:t>
            </w:r>
          </w:p>
        </w:tc>
      </w:tr>
      <w:tr w14:paraId="22B7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77D57B5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25238D2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培训教育</w:t>
            </w:r>
          </w:p>
        </w:tc>
        <w:tc>
          <w:tcPr>
            <w:tcW w:w="975" w:type="dxa"/>
            <w:shd w:val="clear" w:color="auto" w:fill="auto"/>
            <w:vAlign w:val="center"/>
          </w:tcPr>
          <w:p w14:paraId="32EFDF3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0.10</w:t>
            </w:r>
          </w:p>
        </w:tc>
        <w:tc>
          <w:tcPr>
            <w:tcW w:w="993" w:type="dxa"/>
            <w:shd w:val="clear" w:color="auto" w:fill="auto"/>
            <w:vAlign w:val="center"/>
          </w:tcPr>
          <w:p w14:paraId="1E8F6F7C">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52BB1FC9">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69</w:t>
            </w:r>
          </w:p>
        </w:tc>
        <w:tc>
          <w:tcPr>
            <w:tcW w:w="1055" w:type="dxa"/>
            <w:shd w:val="clear" w:color="auto" w:fill="FFFFFF"/>
            <w:vAlign w:val="center"/>
          </w:tcPr>
          <w:p w14:paraId="23783201">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69</w:t>
            </w:r>
          </w:p>
        </w:tc>
        <w:tc>
          <w:tcPr>
            <w:tcW w:w="1361" w:type="dxa"/>
            <w:shd w:val="clear" w:color="auto" w:fill="FFFFFF"/>
            <w:vAlign w:val="center"/>
          </w:tcPr>
          <w:p w14:paraId="158AA113">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6.9</w:t>
            </w:r>
          </w:p>
        </w:tc>
      </w:tr>
      <w:tr w14:paraId="23A9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3DEE22E2">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7B96A18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生产设施及工艺安全</w:t>
            </w:r>
          </w:p>
        </w:tc>
        <w:tc>
          <w:tcPr>
            <w:tcW w:w="975" w:type="dxa"/>
            <w:shd w:val="clear" w:color="auto" w:fill="auto"/>
            <w:vAlign w:val="center"/>
          </w:tcPr>
          <w:p w14:paraId="159F9FA2">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0.20</w:t>
            </w:r>
          </w:p>
        </w:tc>
        <w:tc>
          <w:tcPr>
            <w:tcW w:w="993" w:type="dxa"/>
            <w:shd w:val="clear" w:color="auto" w:fill="auto"/>
            <w:vAlign w:val="center"/>
          </w:tcPr>
          <w:p w14:paraId="74C27489">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30D3A257">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62</w:t>
            </w:r>
          </w:p>
        </w:tc>
        <w:tc>
          <w:tcPr>
            <w:tcW w:w="1055" w:type="dxa"/>
            <w:shd w:val="clear" w:color="auto" w:fill="FFFFFF"/>
            <w:vAlign w:val="center"/>
          </w:tcPr>
          <w:p w14:paraId="0493BB6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62</w:t>
            </w:r>
          </w:p>
        </w:tc>
        <w:tc>
          <w:tcPr>
            <w:tcW w:w="1361" w:type="dxa"/>
            <w:shd w:val="clear" w:color="auto" w:fill="FFFFFF"/>
            <w:vAlign w:val="center"/>
          </w:tcPr>
          <w:p w14:paraId="7E388050">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12.4</w:t>
            </w:r>
          </w:p>
        </w:tc>
      </w:tr>
      <w:tr w14:paraId="6E4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6EDBD1AC">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799DA43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作业安全</w:t>
            </w:r>
          </w:p>
        </w:tc>
        <w:tc>
          <w:tcPr>
            <w:tcW w:w="975" w:type="dxa"/>
            <w:shd w:val="clear" w:color="auto" w:fill="auto"/>
            <w:vAlign w:val="center"/>
          </w:tcPr>
          <w:p w14:paraId="3E77224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0.15</w:t>
            </w:r>
          </w:p>
        </w:tc>
        <w:tc>
          <w:tcPr>
            <w:tcW w:w="993" w:type="dxa"/>
            <w:shd w:val="clear" w:color="auto" w:fill="auto"/>
            <w:vAlign w:val="center"/>
          </w:tcPr>
          <w:p w14:paraId="1DFC58A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5</w:t>
            </w:r>
          </w:p>
        </w:tc>
        <w:tc>
          <w:tcPr>
            <w:tcW w:w="849" w:type="dxa"/>
            <w:shd w:val="clear" w:color="auto" w:fill="FFFFFF"/>
            <w:vAlign w:val="center"/>
          </w:tcPr>
          <w:p w14:paraId="44E182D0">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88</w:t>
            </w:r>
          </w:p>
        </w:tc>
        <w:tc>
          <w:tcPr>
            <w:tcW w:w="1055" w:type="dxa"/>
            <w:shd w:val="clear" w:color="auto" w:fill="FFFFFF"/>
            <w:vAlign w:val="center"/>
          </w:tcPr>
          <w:p w14:paraId="07CF1E76">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93</w:t>
            </w:r>
          </w:p>
        </w:tc>
        <w:tc>
          <w:tcPr>
            <w:tcW w:w="1361" w:type="dxa"/>
            <w:shd w:val="clear" w:color="auto" w:fill="FFFFFF"/>
            <w:vAlign w:val="center"/>
          </w:tcPr>
          <w:p w14:paraId="1EF0B88B">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13.95</w:t>
            </w:r>
          </w:p>
        </w:tc>
      </w:tr>
      <w:tr w14:paraId="573A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57AB0F8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06FA01B9">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职业健康</w:t>
            </w:r>
          </w:p>
        </w:tc>
        <w:tc>
          <w:tcPr>
            <w:tcW w:w="975" w:type="dxa"/>
            <w:shd w:val="clear" w:color="auto" w:fill="auto"/>
            <w:vAlign w:val="center"/>
          </w:tcPr>
          <w:p w14:paraId="4EC1844F">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0.05</w:t>
            </w:r>
          </w:p>
        </w:tc>
        <w:tc>
          <w:tcPr>
            <w:tcW w:w="993" w:type="dxa"/>
            <w:shd w:val="clear" w:color="auto" w:fill="auto"/>
            <w:vAlign w:val="center"/>
          </w:tcPr>
          <w:p w14:paraId="3A4D8E6D">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4806FAAD">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93</w:t>
            </w:r>
          </w:p>
        </w:tc>
        <w:tc>
          <w:tcPr>
            <w:tcW w:w="1055" w:type="dxa"/>
            <w:shd w:val="clear" w:color="auto" w:fill="FFFFFF"/>
            <w:vAlign w:val="center"/>
          </w:tcPr>
          <w:p w14:paraId="47816196">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93</w:t>
            </w:r>
          </w:p>
        </w:tc>
        <w:tc>
          <w:tcPr>
            <w:tcW w:w="1361" w:type="dxa"/>
            <w:shd w:val="clear" w:color="auto" w:fill="FFFFFF"/>
            <w:vAlign w:val="center"/>
          </w:tcPr>
          <w:p w14:paraId="5F7E3C47">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4.65</w:t>
            </w:r>
          </w:p>
        </w:tc>
      </w:tr>
      <w:tr w14:paraId="630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068A731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1292D747">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危险化学品管理</w:t>
            </w:r>
          </w:p>
        </w:tc>
        <w:tc>
          <w:tcPr>
            <w:tcW w:w="975" w:type="dxa"/>
            <w:shd w:val="clear" w:color="auto" w:fill="auto"/>
            <w:vAlign w:val="center"/>
          </w:tcPr>
          <w:p w14:paraId="1E96E78D">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0.05</w:t>
            </w:r>
          </w:p>
        </w:tc>
        <w:tc>
          <w:tcPr>
            <w:tcW w:w="993" w:type="dxa"/>
            <w:shd w:val="clear" w:color="auto" w:fill="auto"/>
            <w:vAlign w:val="center"/>
          </w:tcPr>
          <w:p w14:paraId="17FF3674">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12</w:t>
            </w:r>
          </w:p>
        </w:tc>
        <w:tc>
          <w:tcPr>
            <w:tcW w:w="849" w:type="dxa"/>
            <w:shd w:val="clear" w:color="auto" w:fill="FFFFFF"/>
            <w:vAlign w:val="center"/>
          </w:tcPr>
          <w:p w14:paraId="49C96388">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81</w:t>
            </w:r>
          </w:p>
        </w:tc>
        <w:tc>
          <w:tcPr>
            <w:tcW w:w="1055" w:type="dxa"/>
            <w:shd w:val="clear" w:color="auto" w:fill="FFFFFF"/>
            <w:vAlign w:val="center"/>
          </w:tcPr>
          <w:p w14:paraId="3078CAAB">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93</w:t>
            </w:r>
          </w:p>
        </w:tc>
        <w:tc>
          <w:tcPr>
            <w:tcW w:w="1361" w:type="dxa"/>
            <w:shd w:val="clear" w:color="auto" w:fill="FFFFFF"/>
            <w:vAlign w:val="center"/>
          </w:tcPr>
          <w:p w14:paraId="2952A2B6">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4.65</w:t>
            </w:r>
          </w:p>
        </w:tc>
      </w:tr>
      <w:tr w14:paraId="6B9E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1DD9C25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5F9C0E2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事故与应急</w:t>
            </w:r>
          </w:p>
        </w:tc>
        <w:tc>
          <w:tcPr>
            <w:tcW w:w="975" w:type="dxa"/>
            <w:shd w:val="clear" w:color="auto" w:fill="auto"/>
            <w:vAlign w:val="center"/>
          </w:tcPr>
          <w:p w14:paraId="282A2E8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0.06</w:t>
            </w:r>
          </w:p>
        </w:tc>
        <w:tc>
          <w:tcPr>
            <w:tcW w:w="993" w:type="dxa"/>
            <w:shd w:val="clear" w:color="auto" w:fill="auto"/>
            <w:vAlign w:val="center"/>
          </w:tcPr>
          <w:p w14:paraId="6992990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6B354674">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90</w:t>
            </w:r>
          </w:p>
        </w:tc>
        <w:tc>
          <w:tcPr>
            <w:tcW w:w="1055" w:type="dxa"/>
            <w:shd w:val="clear" w:color="auto" w:fill="FFFFFF"/>
            <w:vAlign w:val="center"/>
          </w:tcPr>
          <w:p w14:paraId="4F69227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90</w:t>
            </w:r>
          </w:p>
        </w:tc>
        <w:tc>
          <w:tcPr>
            <w:tcW w:w="1361" w:type="dxa"/>
            <w:shd w:val="clear" w:color="auto" w:fill="FFFFFF"/>
            <w:vAlign w:val="center"/>
          </w:tcPr>
          <w:p w14:paraId="71ECA8DA">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5.4</w:t>
            </w:r>
          </w:p>
        </w:tc>
      </w:tr>
      <w:tr w14:paraId="63E1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12B3003C">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5D8E8E9E">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检查与自评</w:t>
            </w:r>
          </w:p>
        </w:tc>
        <w:tc>
          <w:tcPr>
            <w:tcW w:w="975" w:type="dxa"/>
            <w:shd w:val="clear" w:color="auto" w:fill="auto"/>
            <w:vAlign w:val="center"/>
          </w:tcPr>
          <w:p w14:paraId="0B69715F">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0.06</w:t>
            </w:r>
          </w:p>
        </w:tc>
        <w:tc>
          <w:tcPr>
            <w:tcW w:w="993" w:type="dxa"/>
            <w:shd w:val="clear" w:color="auto" w:fill="auto"/>
            <w:vAlign w:val="center"/>
          </w:tcPr>
          <w:p w14:paraId="26B1B531">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7DAC6764">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80</w:t>
            </w:r>
          </w:p>
        </w:tc>
        <w:tc>
          <w:tcPr>
            <w:tcW w:w="1055" w:type="dxa"/>
            <w:shd w:val="clear" w:color="auto" w:fill="FFFFFF"/>
            <w:vAlign w:val="center"/>
          </w:tcPr>
          <w:p w14:paraId="40F36CBF">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80</w:t>
            </w:r>
          </w:p>
        </w:tc>
        <w:tc>
          <w:tcPr>
            <w:tcW w:w="1361" w:type="dxa"/>
            <w:shd w:val="clear" w:color="auto" w:fill="FFFFFF"/>
            <w:vAlign w:val="center"/>
          </w:tcPr>
          <w:p w14:paraId="376B09F7">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4.8</w:t>
            </w:r>
          </w:p>
        </w:tc>
      </w:tr>
      <w:tr w14:paraId="67A0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5" w:hRule="atLeast"/>
          <w:jc w:val="center"/>
        </w:trPr>
        <w:tc>
          <w:tcPr>
            <w:tcW w:w="1459" w:type="dxa"/>
            <w:vMerge w:val="continue"/>
            <w:shd w:val="clear" w:color="auto" w:fill="auto"/>
            <w:vAlign w:val="center"/>
          </w:tcPr>
          <w:p w14:paraId="52BB3A90">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04CD6B7A">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本地区的要求</w:t>
            </w:r>
          </w:p>
        </w:tc>
        <w:tc>
          <w:tcPr>
            <w:tcW w:w="975" w:type="dxa"/>
            <w:shd w:val="clear" w:color="auto" w:fill="auto"/>
            <w:vAlign w:val="center"/>
          </w:tcPr>
          <w:p w14:paraId="2CB6ED36">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0.05</w:t>
            </w:r>
          </w:p>
        </w:tc>
        <w:tc>
          <w:tcPr>
            <w:tcW w:w="993" w:type="dxa"/>
            <w:shd w:val="clear" w:color="auto" w:fill="auto"/>
            <w:vAlign w:val="center"/>
          </w:tcPr>
          <w:p w14:paraId="1C97BE0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z w:val="28"/>
                <w:szCs w:val="28"/>
              </w:rPr>
              <w:t>0</w:t>
            </w:r>
          </w:p>
        </w:tc>
        <w:tc>
          <w:tcPr>
            <w:tcW w:w="849" w:type="dxa"/>
            <w:shd w:val="clear" w:color="auto" w:fill="FFFFFF"/>
            <w:vAlign w:val="center"/>
          </w:tcPr>
          <w:p w14:paraId="60B7D348">
            <w:pPr>
              <w:keepNext w:val="0"/>
              <w:keepLines w:val="0"/>
              <w:widowControl/>
              <w:suppressLineNumbers w:val="0"/>
              <w:spacing w:before="0" w:beforeAutospacing="0" w:after="0" w:afterAutospacing="0"/>
              <w:ind w:left="0" w:right="0"/>
              <w:jc w:val="center"/>
              <w:rPr>
                <w:rFonts w:hint="eastAsia" w:ascii="仿宋" w:hAnsi="仿宋" w:eastAsia="仿宋" w:cs="仿宋"/>
                <w:kern w:val="2"/>
                <w:sz w:val="28"/>
                <w:szCs w:val="28"/>
              </w:rPr>
            </w:pPr>
            <w:r>
              <w:rPr>
                <w:rFonts w:hint="eastAsia" w:ascii="仿宋" w:hAnsi="仿宋" w:eastAsia="仿宋" w:cs="仿宋"/>
                <w:kern w:val="2"/>
                <w:sz w:val="28"/>
                <w:szCs w:val="28"/>
                <w:lang w:val="en-US" w:eastAsia="zh-CN" w:bidi="ar"/>
              </w:rPr>
              <w:t>100</w:t>
            </w:r>
          </w:p>
        </w:tc>
        <w:tc>
          <w:tcPr>
            <w:tcW w:w="1055" w:type="dxa"/>
            <w:shd w:val="clear" w:color="auto" w:fill="FFFFFF"/>
            <w:vAlign w:val="center"/>
          </w:tcPr>
          <w:p w14:paraId="06D7A9C3">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100</w:t>
            </w:r>
          </w:p>
        </w:tc>
        <w:tc>
          <w:tcPr>
            <w:tcW w:w="1361" w:type="dxa"/>
            <w:shd w:val="clear" w:color="auto" w:fill="FFFFFF"/>
            <w:vAlign w:val="center"/>
          </w:tcPr>
          <w:p w14:paraId="7FB6A4AC">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val="0"/>
                <w:bCs w:val="0"/>
                <w:kern w:val="2"/>
                <w:sz w:val="28"/>
                <w:szCs w:val="28"/>
              </w:rPr>
            </w:pPr>
            <w:r>
              <w:rPr>
                <w:rFonts w:hint="eastAsia" w:ascii="仿宋" w:hAnsi="仿宋" w:eastAsia="仿宋" w:cs="仿宋"/>
                <w:b w:val="0"/>
                <w:bCs w:val="0"/>
                <w:kern w:val="2"/>
                <w:sz w:val="28"/>
                <w:szCs w:val="28"/>
                <w:lang w:val="en-US" w:eastAsia="zh-CN" w:bidi="ar"/>
              </w:rPr>
              <w:t>5</w:t>
            </w:r>
          </w:p>
        </w:tc>
      </w:tr>
      <w:tr w14:paraId="2479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459" w:type="dxa"/>
            <w:vMerge w:val="continue"/>
            <w:shd w:val="clear" w:color="auto" w:fill="auto"/>
            <w:vAlign w:val="center"/>
          </w:tcPr>
          <w:p w14:paraId="46CB8E65">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p>
        </w:tc>
        <w:tc>
          <w:tcPr>
            <w:tcW w:w="2664" w:type="dxa"/>
            <w:shd w:val="clear" w:color="auto" w:fill="auto"/>
            <w:vAlign w:val="center"/>
          </w:tcPr>
          <w:p w14:paraId="5AC489F8">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自评总得分</w:t>
            </w:r>
          </w:p>
        </w:tc>
        <w:tc>
          <w:tcPr>
            <w:tcW w:w="5233" w:type="dxa"/>
            <w:gridSpan w:val="5"/>
            <w:shd w:val="clear" w:color="auto" w:fill="FFFFFF"/>
            <w:vAlign w:val="center"/>
          </w:tcPr>
          <w:p w14:paraId="39D9E512">
            <w:pPr>
              <w:keepNext w:val="0"/>
              <w:keepLines w:val="0"/>
              <w:suppressLineNumbers w:val="0"/>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spacing w:val="0"/>
                <w:sz w:val="28"/>
                <w:szCs w:val="28"/>
              </w:rPr>
              <w:t>79.76（无 B 级否决项，无 A 级否决项）</w:t>
            </w:r>
          </w:p>
        </w:tc>
      </w:tr>
    </w:tbl>
    <w:p w14:paraId="5DF9239E">
      <w:pPr>
        <w:widowControl/>
        <w:numPr>
          <w:ilvl w:val="0"/>
          <w:numId w:val="0"/>
        </w:numPr>
        <w:spacing w:line="540" w:lineRule="exact"/>
        <w:ind w:leftChars="0"/>
        <w:rPr>
          <w:rFonts w:hint="eastAsia" w:ascii="宋体" w:hAnsi="宋体"/>
          <w:b/>
          <w:kern w:val="0"/>
          <w:sz w:val="28"/>
          <w:szCs w:val="28"/>
        </w:rPr>
      </w:pPr>
    </w:p>
    <w:p w14:paraId="7A91D26A">
      <w:pPr>
        <w:snapToGrid w:val="0"/>
        <w:jc w:val="center"/>
        <w:rPr>
          <w:rFonts w:hint="eastAsia" w:ascii="Times New Roman" w:hAnsi="Times New Roman"/>
          <w:b/>
          <w:sz w:val="24"/>
          <w:szCs w:val="24"/>
        </w:rPr>
      </w:pPr>
      <w:r>
        <w:rPr>
          <w:rFonts w:ascii="Times New Roman" w:hAnsi="Times New Roman"/>
          <w:b/>
          <w:sz w:val="24"/>
          <w:szCs w:val="24"/>
        </w:rPr>
        <w:t>表6-2不参评项汇总表</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4114"/>
        <w:gridCol w:w="2472"/>
        <w:gridCol w:w="772"/>
      </w:tblGrid>
      <w:tr w14:paraId="20B12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42" w:type="dxa"/>
            <w:noWrap w:val="0"/>
            <w:vAlign w:val="center"/>
          </w:tcPr>
          <w:p w14:paraId="2F5FC109">
            <w:pPr>
              <w:snapToGrid w:val="0"/>
              <w:jc w:val="center"/>
              <w:rPr>
                <w:rFonts w:ascii="Times New Roman" w:hAnsi="Times New Roman"/>
                <w:szCs w:val="21"/>
              </w:rPr>
            </w:pPr>
            <w:r>
              <w:rPr>
                <w:rFonts w:ascii="Times New Roman" w:hAnsi="Times New Roman"/>
                <w:szCs w:val="21"/>
              </w:rPr>
              <w:t>要素</w:t>
            </w:r>
          </w:p>
        </w:tc>
        <w:tc>
          <w:tcPr>
            <w:tcW w:w="4536" w:type="dxa"/>
            <w:noWrap w:val="0"/>
            <w:vAlign w:val="center"/>
          </w:tcPr>
          <w:p w14:paraId="4A0D926A">
            <w:pPr>
              <w:snapToGrid w:val="0"/>
              <w:jc w:val="center"/>
              <w:rPr>
                <w:rFonts w:ascii="Times New Roman" w:hAnsi="Times New Roman"/>
                <w:szCs w:val="21"/>
              </w:rPr>
            </w:pPr>
            <w:r>
              <w:rPr>
                <w:rFonts w:ascii="Times New Roman" w:hAnsi="Times New Roman"/>
                <w:szCs w:val="21"/>
              </w:rPr>
              <w:t>标准化要求</w:t>
            </w:r>
          </w:p>
        </w:tc>
        <w:tc>
          <w:tcPr>
            <w:tcW w:w="2694" w:type="dxa"/>
            <w:noWrap w:val="0"/>
            <w:vAlign w:val="center"/>
          </w:tcPr>
          <w:p w14:paraId="288B1CA4">
            <w:pPr>
              <w:snapToGrid w:val="0"/>
              <w:jc w:val="center"/>
              <w:rPr>
                <w:rFonts w:ascii="Times New Roman" w:hAnsi="Times New Roman"/>
                <w:szCs w:val="21"/>
              </w:rPr>
            </w:pPr>
            <w:r>
              <w:rPr>
                <w:rFonts w:ascii="Times New Roman" w:hAnsi="Times New Roman"/>
                <w:szCs w:val="21"/>
              </w:rPr>
              <w:t>不参评原因说明</w:t>
            </w:r>
          </w:p>
        </w:tc>
        <w:tc>
          <w:tcPr>
            <w:tcW w:w="814" w:type="dxa"/>
            <w:noWrap w:val="0"/>
            <w:vAlign w:val="center"/>
          </w:tcPr>
          <w:p w14:paraId="11BDAE41">
            <w:pPr>
              <w:snapToGrid w:val="0"/>
              <w:jc w:val="center"/>
              <w:rPr>
                <w:rFonts w:ascii="Times New Roman" w:hAnsi="Times New Roman"/>
                <w:szCs w:val="21"/>
              </w:rPr>
            </w:pPr>
            <w:r>
              <w:rPr>
                <w:rFonts w:hint="eastAsia" w:ascii="Times New Roman" w:hAnsi="Times New Roman"/>
                <w:szCs w:val="21"/>
              </w:rPr>
              <w:t>分</w:t>
            </w:r>
            <w:r>
              <w:rPr>
                <w:rFonts w:ascii="Times New Roman" w:hAnsi="Times New Roman"/>
                <w:szCs w:val="21"/>
              </w:rPr>
              <w:t>值</w:t>
            </w:r>
          </w:p>
        </w:tc>
      </w:tr>
      <w:tr w14:paraId="2A7F8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1242" w:type="dxa"/>
            <w:noWrap w:val="0"/>
            <w:vAlign w:val="center"/>
          </w:tcPr>
          <w:p w14:paraId="7B2E3290">
            <w:pPr>
              <w:snapToGrid w:val="0"/>
              <w:rPr>
                <w:rFonts w:ascii="Times New Roman" w:hAnsi="Times New Roman"/>
                <w:bCs/>
                <w:szCs w:val="21"/>
              </w:rPr>
            </w:pPr>
            <w:r>
              <w:rPr>
                <w:rFonts w:ascii="Times New Roman" w:hAnsi="Times New Roman"/>
                <w:kern w:val="0"/>
                <w:szCs w:val="21"/>
                <w:lang w:val="zh-CN"/>
              </w:rPr>
              <w:t>12.2工艺安全</w:t>
            </w:r>
          </w:p>
        </w:tc>
        <w:tc>
          <w:tcPr>
            <w:tcW w:w="4536" w:type="dxa"/>
            <w:noWrap w:val="0"/>
            <w:vAlign w:val="center"/>
          </w:tcPr>
          <w:p w14:paraId="70749BD6">
            <w:pPr>
              <w:snapToGrid w:val="0"/>
              <w:rPr>
                <w:rFonts w:ascii="Times New Roman" w:hAnsi="Times New Roman"/>
                <w:kern w:val="0"/>
                <w:szCs w:val="21"/>
              </w:rPr>
            </w:pPr>
            <w:r>
              <w:rPr>
                <w:rFonts w:ascii="Times New Roman" w:hAnsi="Times New Roman"/>
                <w:spacing w:val="2"/>
                <w:szCs w:val="21"/>
              </w:rPr>
              <w:t>第三类压力容器、储存火灾危险性为甲、乙类物品的球形储罐必须</w:t>
            </w:r>
            <w:r>
              <w:rPr>
                <w:rFonts w:ascii="Times New Roman" w:hAnsi="Times New Roman"/>
                <w:kern w:val="0"/>
                <w:szCs w:val="21"/>
              </w:rPr>
              <w:t>保证运行安全。</w:t>
            </w:r>
          </w:p>
        </w:tc>
        <w:tc>
          <w:tcPr>
            <w:tcW w:w="2694" w:type="dxa"/>
            <w:noWrap w:val="0"/>
            <w:vAlign w:val="center"/>
          </w:tcPr>
          <w:p w14:paraId="3E61F0CF">
            <w:pPr>
              <w:snapToGrid w:val="0"/>
              <w:jc w:val="center"/>
              <w:rPr>
                <w:rFonts w:ascii="Times New Roman" w:hAnsi="Times New Roman"/>
                <w:szCs w:val="21"/>
              </w:rPr>
            </w:pPr>
            <w:r>
              <w:rPr>
                <w:rFonts w:ascii="Times New Roman" w:hAnsi="Times New Roman"/>
                <w:spacing w:val="2"/>
                <w:szCs w:val="21"/>
              </w:rPr>
              <w:t>无第三类压力容器、球形储罐</w:t>
            </w:r>
          </w:p>
        </w:tc>
        <w:tc>
          <w:tcPr>
            <w:tcW w:w="814" w:type="dxa"/>
            <w:noWrap w:val="0"/>
            <w:vAlign w:val="center"/>
          </w:tcPr>
          <w:p w14:paraId="5B2E50E8">
            <w:pPr>
              <w:snapToGrid w:val="0"/>
              <w:jc w:val="center"/>
              <w:rPr>
                <w:rFonts w:ascii="Times New Roman" w:hAnsi="Times New Roman"/>
                <w:szCs w:val="21"/>
              </w:rPr>
            </w:pPr>
            <w:r>
              <w:rPr>
                <w:rFonts w:hint="eastAsia" w:ascii="Times New Roman" w:hAnsi="Times New Roman"/>
                <w:szCs w:val="21"/>
              </w:rPr>
              <w:t>3</w:t>
            </w:r>
            <w:r>
              <w:rPr>
                <w:rFonts w:ascii="Times New Roman" w:hAnsi="Times New Roman"/>
                <w:szCs w:val="21"/>
              </w:rPr>
              <w:t>0</w:t>
            </w:r>
          </w:p>
        </w:tc>
      </w:tr>
    </w:tbl>
    <w:p w14:paraId="0132D75A">
      <w:pPr>
        <w:widowControl/>
        <w:numPr>
          <w:ilvl w:val="0"/>
          <w:numId w:val="0"/>
        </w:numPr>
        <w:spacing w:line="540" w:lineRule="exact"/>
        <w:ind w:leftChars="0"/>
        <w:rPr>
          <w:rFonts w:hint="eastAsia" w:ascii="宋体" w:hAnsi="宋体"/>
          <w:b/>
          <w:kern w:val="0"/>
          <w:sz w:val="28"/>
          <w:szCs w:val="28"/>
        </w:rPr>
        <w:sectPr>
          <w:pgSz w:w="11906" w:h="16838"/>
          <w:pgMar w:top="1559" w:right="1797" w:bottom="1440" w:left="1797" w:header="851" w:footer="992" w:gutter="0"/>
          <w:cols w:space="720" w:num="1"/>
          <w:titlePg/>
          <w:docGrid w:type="lines" w:linePitch="312" w:charSpace="0"/>
        </w:sectPr>
      </w:pPr>
    </w:p>
    <w:p w14:paraId="2D784238">
      <w:pPr>
        <w:widowControl/>
        <w:numPr>
          <w:ilvl w:val="0"/>
          <w:numId w:val="1"/>
        </w:numPr>
        <w:spacing w:line="540" w:lineRule="exact"/>
        <w:ind w:left="425" w:leftChars="0" w:hanging="425" w:firstLineChars="0"/>
        <w:outlineLvl w:val="0"/>
        <w:rPr>
          <w:rFonts w:hint="eastAsia" w:ascii="宋体" w:hAnsi="宋体"/>
          <w:b/>
          <w:kern w:val="0"/>
          <w:sz w:val="28"/>
          <w:szCs w:val="28"/>
        </w:rPr>
      </w:pPr>
      <w:bookmarkStart w:id="8" w:name="_Toc15596"/>
      <w:r>
        <w:rPr>
          <w:rFonts w:hint="eastAsia" w:ascii="宋体" w:hAnsi="宋体"/>
          <w:b/>
          <w:kern w:val="0"/>
          <w:sz w:val="28"/>
          <w:szCs w:val="28"/>
        </w:rPr>
        <w:t>整改及核查</w:t>
      </w:r>
      <w:bookmarkEnd w:id="8"/>
    </w:p>
    <w:p w14:paraId="4381DBD9">
      <w:pPr>
        <w:pStyle w:val="3"/>
        <w:spacing w:before="0" w:after="0" w:line="348" w:lineRule="auto"/>
        <w:rPr>
          <w:rFonts w:hint="eastAsia" w:ascii="宋体" w:hAnsi="宋体"/>
          <w:b/>
          <w:kern w:val="0"/>
          <w:sz w:val="28"/>
          <w:szCs w:val="28"/>
        </w:rPr>
      </w:pPr>
      <w:bookmarkStart w:id="9" w:name="_Toc149559172"/>
      <w:r>
        <w:rPr>
          <w:rFonts w:hint="eastAsia" w:ascii="Times New Roman" w:hAnsi="Times New Roman" w:eastAsia="宋体"/>
          <w:sz w:val="28"/>
          <w:lang w:val="en-US" w:eastAsia="zh-CN"/>
        </w:rPr>
        <w:t>8</w:t>
      </w:r>
      <w:r>
        <w:rPr>
          <w:rFonts w:ascii="Times New Roman" w:hAnsi="Times New Roman" w:eastAsia="宋体"/>
          <w:sz w:val="28"/>
        </w:rPr>
        <w:t>.1“五落实”整改情况</w:t>
      </w:r>
      <w:bookmarkEnd w:id="9"/>
    </w:p>
    <w:p w14:paraId="0858BC18">
      <w:pPr>
        <w:spacing w:line="360" w:lineRule="auto"/>
        <w:ind w:firstLine="480" w:firstLineChars="200"/>
        <w:rPr>
          <w:rFonts w:ascii="Times New Roman" w:hAnsi="Times New Roman"/>
          <w:sz w:val="24"/>
        </w:rPr>
      </w:pPr>
      <w:r>
        <w:rPr>
          <w:rFonts w:ascii="Times New Roman" w:hAnsi="Times New Roman"/>
          <w:kern w:val="0"/>
          <w:sz w:val="24"/>
        </w:rPr>
        <w:t>根据自评情况，对不符合项提出整改措施，并</w:t>
      </w:r>
      <w:r>
        <w:rPr>
          <w:rFonts w:ascii="Times New Roman" w:hAnsi="Times New Roman"/>
          <w:sz w:val="24"/>
        </w:rPr>
        <w:t>按照“五落实”（整改措施落实、资金落实、时限落实、责任落实、应急预案落实）的原则进行整改。</w:t>
      </w:r>
    </w:p>
    <w:p w14:paraId="48F885C4">
      <w:pPr>
        <w:adjustRightInd w:val="0"/>
        <w:snapToGrid w:val="0"/>
        <w:spacing w:line="300" w:lineRule="auto"/>
        <w:ind w:firstLine="537" w:firstLineChars="224"/>
        <w:jc w:val="left"/>
        <w:rPr>
          <w:rFonts w:ascii="Times New Roman" w:hAnsi="Times New Roman"/>
          <w:kern w:val="0"/>
          <w:sz w:val="24"/>
        </w:rPr>
      </w:pPr>
      <w:r>
        <w:rPr>
          <w:rFonts w:ascii="Times New Roman" w:hAnsi="Times New Roman"/>
          <w:kern w:val="0"/>
          <w:sz w:val="24"/>
        </w:rPr>
        <w:t>本次自评列入“立即整改”的21项，公司及时组织整改，并对整改结果进行了复核，复核结果表明“立即整改”项都已完成整改。</w:t>
      </w:r>
    </w:p>
    <w:p w14:paraId="6F8A2464">
      <w:pPr>
        <w:jc w:val="center"/>
        <w:rPr>
          <w:rFonts w:ascii="Times New Roman" w:hAnsi="Times New Roman"/>
          <w:b/>
          <w:szCs w:val="21"/>
        </w:rPr>
      </w:pPr>
      <w:r>
        <w:rPr>
          <w:rFonts w:ascii="Times New Roman" w:hAnsi="Times New Roman"/>
          <w:b/>
          <w:szCs w:val="21"/>
        </w:rPr>
        <w:t>表7-1  公司自评不符合项“五落实”整改情况表</w:t>
      </w:r>
    </w:p>
    <w:tbl>
      <w:tblPr>
        <w:tblStyle w:val="13"/>
        <w:tblW w:w="53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513"/>
        <w:gridCol w:w="850"/>
        <w:gridCol w:w="3544"/>
        <w:gridCol w:w="2410"/>
        <w:gridCol w:w="1417"/>
        <w:gridCol w:w="1134"/>
        <w:gridCol w:w="1418"/>
        <w:gridCol w:w="1021"/>
        <w:gridCol w:w="1147"/>
      </w:tblGrid>
      <w:tr w14:paraId="0F88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46" w:type="dxa"/>
            <w:noWrap w:val="0"/>
            <w:tcMar>
              <w:left w:w="28" w:type="dxa"/>
              <w:right w:w="28" w:type="dxa"/>
            </w:tcMar>
            <w:vAlign w:val="center"/>
          </w:tcPr>
          <w:p w14:paraId="69097FDC">
            <w:pPr>
              <w:snapToGrid w:val="0"/>
              <w:jc w:val="center"/>
              <w:rPr>
                <w:rFonts w:ascii="Times New Roman" w:hAnsi="Times New Roman"/>
                <w:b/>
                <w:szCs w:val="21"/>
              </w:rPr>
            </w:pPr>
            <w:r>
              <w:rPr>
                <w:rFonts w:ascii="Times New Roman" w:hAnsi="Times New Roman"/>
                <w:b/>
                <w:szCs w:val="21"/>
              </w:rPr>
              <w:t>序号</w:t>
            </w:r>
          </w:p>
        </w:tc>
        <w:tc>
          <w:tcPr>
            <w:tcW w:w="1513" w:type="dxa"/>
            <w:noWrap w:val="0"/>
            <w:tcMar>
              <w:left w:w="28" w:type="dxa"/>
              <w:right w:w="28" w:type="dxa"/>
            </w:tcMar>
            <w:vAlign w:val="center"/>
          </w:tcPr>
          <w:p w14:paraId="732160A4">
            <w:pPr>
              <w:snapToGrid w:val="0"/>
              <w:jc w:val="center"/>
              <w:rPr>
                <w:rFonts w:ascii="Times New Roman" w:hAnsi="Times New Roman"/>
                <w:b/>
                <w:szCs w:val="21"/>
              </w:rPr>
            </w:pPr>
            <w:r>
              <w:rPr>
                <w:rFonts w:ascii="Times New Roman" w:hAnsi="Times New Roman"/>
                <w:b/>
                <w:szCs w:val="21"/>
              </w:rPr>
              <w:t>A级要素</w:t>
            </w:r>
          </w:p>
        </w:tc>
        <w:tc>
          <w:tcPr>
            <w:tcW w:w="850" w:type="dxa"/>
            <w:noWrap w:val="0"/>
            <w:tcMar>
              <w:left w:w="28" w:type="dxa"/>
              <w:right w:w="28" w:type="dxa"/>
            </w:tcMar>
            <w:vAlign w:val="center"/>
          </w:tcPr>
          <w:p w14:paraId="0DF78C58">
            <w:pPr>
              <w:snapToGrid w:val="0"/>
              <w:jc w:val="center"/>
              <w:rPr>
                <w:rFonts w:ascii="Times New Roman" w:hAnsi="Times New Roman"/>
                <w:b/>
                <w:szCs w:val="21"/>
              </w:rPr>
            </w:pPr>
            <w:r>
              <w:rPr>
                <w:rFonts w:ascii="Times New Roman" w:hAnsi="Times New Roman"/>
                <w:b/>
                <w:szCs w:val="21"/>
              </w:rPr>
              <w:t>B级</w:t>
            </w:r>
          </w:p>
          <w:p w14:paraId="6D01EFAD">
            <w:pPr>
              <w:snapToGrid w:val="0"/>
              <w:jc w:val="center"/>
              <w:rPr>
                <w:rFonts w:ascii="Times New Roman" w:hAnsi="Times New Roman"/>
                <w:b/>
                <w:szCs w:val="21"/>
              </w:rPr>
            </w:pPr>
            <w:r>
              <w:rPr>
                <w:rFonts w:ascii="Times New Roman" w:hAnsi="Times New Roman"/>
                <w:b/>
                <w:szCs w:val="21"/>
              </w:rPr>
              <w:t>要素</w:t>
            </w:r>
          </w:p>
        </w:tc>
        <w:tc>
          <w:tcPr>
            <w:tcW w:w="3544" w:type="dxa"/>
            <w:noWrap w:val="0"/>
            <w:tcMar>
              <w:left w:w="28" w:type="dxa"/>
              <w:right w:w="28" w:type="dxa"/>
            </w:tcMar>
            <w:vAlign w:val="center"/>
          </w:tcPr>
          <w:p w14:paraId="6B0AA02A">
            <w:pPr>
              <w:snapToGrid w:val="0"/>
              <w:jc w:val="center"/>
              <w:rPr>
                <w:rFonts w:ascii="Times New Roman" w:hAnsi="Times New Roman"/>
                <w:b/>
                <w:szCs w:val="21"/>
              </w:rPr>
            </w:pPr>
            <w:r>
              <w:rPr>
                <w:rFonts w:ascii="Times New Roman" w:hAnsi="Times New Roman"/>
                <w:b/>
                <w:szCs w:val="21"/>
              </w:rPr>
              <w:t>不符合项（扣分原因）</w:t>
            </w:r>
          </w:p>
        </w:tc>
        <w:tc>
          <w:tcPr>
            <w:tcW w:w="2410" w:type="dxa"/>
            <w:noWrap w:val="0"/>
            <w:tcMar>
              <w:left w:w="28" w:type="dxa"/>
              <w:right w:w="28" w:type="dxa"/>
            </w:tcMar>
            <w:vAlign w:val="center"/>
          </w:tcPr>
          <w:p w14:paraId="3B5ECA61">
            <w:pPr>
              <w:snapToGrid w:val="0"/>
              <w:jc w:val="center"/>
              <w:rPr>
                <w:rFonts w:ascii="Times New Roman" w:hAnsi="Times New Roman"/>
                <w:b/>
                <w:szCs w:val="21"/>
              </w:rPr>
            </w:pPr>
            <w:r>
              <w:rPr>
                <w:rFonts w:ascii="Times New Roman" w:hAnsi="Times New Roman"/>
                <w:b/>
                <w:szCs w:val="21"/>
              </w:rPr>
              <w:t>整改措施</w:t>
            </w:r>
          </w:p>
        </w:tc>
        <w:tc>
          <w:tcPr>
            <w:tcW w:w="1417" w:type="dxa"/>
            <w:noWrap w:val="0"/>
            <w:tcMar>
              <w:left w:w="28" w:type="dxa"/>
              <w:right w:w="28" w:type="dxa"/>
            </w:tcMar>
            <w:vAlign w:val="center"/>
          </w:tcPr>
          <w:p w14:paraId="50A18ABC">
            <w:pPr>
              <w:snapToGrid w:val="0"/>
              <w:jc w:val="center"/>
              <w:rPr>
                <w:rFonts w:ascii="Times New Roman" w:hAnsi="Times New Roman"/>
                <w:b/>
                <w:szCs w:val="21"/>
              </w:rPr>
            </w:pPr>
            <w:r>
              <w:rPr>
                <w:rFonts w:ascii="Times New Roman" w:hAnsi="Times New Roman"/>
                <w:b/>
                <w:szCs w:val="21"/>
              </w:rPr>
              <w:t>整改责任单位</w:t>
            </w:r>
          </w:p>
        </w:tc>
        <w:tc>
          <w:tcPr>
            <w:tcW w:w="1134" w:type="dxa"/>
            <w:noWrap w:val="0"/>
            <w:tcMar>
              <w:left w:w="28" w:type="dxa"/>
              <w:right w:w="28" w:type="dxa"/>
            </w:tcMar>
            <w:vAlign w:val="center"/>
          </w:tcPr>
          <w:p w14:paraId="256779F4">
            <w:pPr>
              <w:snapToGrid w:val="0"/>
              <w:jc w:val="center"/>
              <w:rPr>
                <w:rFonts w:ascii="Times New Roman" w:hAnsi="Times New Roman"/>
                <w:b/>
                <w:szCs w:val="21"/>
              </w:rPr>
            </w:pPr>
            <w:r>
              <w:rPr>
                <w:rFonts w:ascii="Times New Roman" w:hAnsi="Times New Roman"/>
                <w:b/>
                <w:szCs w:val="21"/>
              </w:rPr>
              <w:t>整改类别</w:t>
            </w:r>
          </w:p>
        </w:tc>
        <w:tc>
          <w:tcPr>
            <w:tcW w:w="1418" w:type="dxa"/>
            <w:noWrap w:val="0"/>
            <w:tcMar>
              <w:left w:w="28" w:type="dxa"/>
              <w:right w:w="28" w:type="dxa"/>
            </w:tcMar>
            <w:vAlign w:val="center"/>
          </w:tcPr>
          <w:p w14:paraId="6B7499F2">
            <w:pPr>
              <w:snapToGrid w:val="0"/>
              <w:jc w:val="center"/>
              <w:rPr>
                <w:rFonts w:hint="eastAsia" w:ascii="Times New Roman" w:hAnsi="Times New Roman"/>
                <w:b/>
                <w:szCs w:val="21"/>
              </w:rPr>
            </w:pPr>
            <w:r>
              <w:rPr>
                <w:rFonts w:ascii="Times New Roman" w:hAnsi="Times New Roman"/>
                <w:b/>
                <w:szCs w:val="21"/>
              </w:rPr>
              <w:t>整改</w:t>
            </w:r>
            <w:r>
              <w:rPr>
                <w:rFonts w:hint="eastAsia" w:ascii="Times New Roman" w:hAnsi="Times New Roman"/>
                <w:b/>
                <w:szCs w:val="21"/>
              </w:rPr>
              <w:t>时限</w:t>
            </w:r>
          </w:p>
        </w:tc>
        <w:tc>
          <w:tcPr>
            <w:tcW w:w="1021" w:type="dxa"/>
            <w:noWrap w:val="0"/>
            <w:tcMar>
              <w:left w:w="28" w:type="dxa"/>
              <w:right w:w="28" w:type="dxa"/>
            </w:tcMar>
            <w:vAlign w:val="center"/>
          </w:tcPr>
          <w:p w14:paraId="6B4E66BB">
            <w:pPr>
              <w:snapToGrid w:val="0"/>
              <w:jc w:val="center"/>
              <w:rPr>
                <w:rFonts w:ascii="Times New Roman" w:hAnsi="Times New Roman"/>
                <w:b/>
                <w:bCs/>
                <w:szCs w:val="21"/>
              </w:rPr>
            </w:pPr>
            <w:r>
              <w:rPr>
                <w:rFonts w:ascii="Times New Roman" w:hAnsi="Times New Roman"/>
                <w:b/>
                <w:bCs/>
                <w:szCs w:val="21"/>
              </w:rPr>
              <w:t>预计整改</w:t>
            </w:r>
          </w:p>
          <w:p w14:paraId="2BCF7E97">
            <w:pPr>
              <w:snapToGrid w:val="0"/>
              <w:jc w:val="center"/>
              <w:rPr>
                <w:rFonts w:ascii="Times New Roman" w:hAnsi="Times New Roman"/>
                <w:szCs w:val="21"/>
              </w:rPr>
            </w:pPr>
            <w:r>
              <w:rPr>
                <w:rFonts w:ascii="Times New Roman" w:hAnsi="Times New Roman"/>
                <w:b/>
                <w:bCs/>
                <w:szCs w:val="21"/>
              </w:rPr>
              <w:t>资金（元）</w:t>
            </w:r>
          </w:p>
        </w:tc>
        <w:tc>
          <w:tcPr>
            <w:tcW w:w="1147" w:type="dxa"/>
            <w:noWrap w:val="0"/>
            <w:tcMar>
              <w:left w:w="28" w:type="dxa"/>
              <w:right w:w="28" w:type="dxa"/>
            </w:tcMar>
            <w:vAlign w:val="center"/>
          </w:tcPr>
          <w:p w14:paraId="4234E46C">
            <w:pPr>
              <w:snapToGrid w:val="0"/>
              <w:jc w:val="center"/>
              <w:rPr>
                <w:rFonts w:ascii="Times New Roman" w:hAnsi="Times New Roman"/>
                <w:b/>
                <w:szCs w:val="21"/>
              </w:rPr>
            </w:pPr>
            <w:r>
              <w:rPr>
                <w:rFonts w:ascii="Times New Roman" w:hAnsi="Times New Roman"/>
                <w:b/>
                <w:szCs w:val="21"/>
              </w:rPr>
              <w:t>应急措施</w:t>
            </w:r>
          </w:p>
        </w:tc>
      </w:tr>
      <w:tr w14:paraId="2B41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1873FF5A">
            <w:pPr>
              <w:snapToGrid w:val="0"/>
              <w:jc w:val="center"/>
              <w:rPr>
                <w:rFonts w:ascii="Times New Roman" w:hAnsi="Times New Roman"/>
                <w:szCs w:val="21"/>
              </w:rPr>
            </w:pPr>
            <w:r>
              <w:rPr>
                <w:rFonts w:ascii="Times New Roman" w:hAnsi="Times New Roman"/>
                <w:szCs w:val="21"/>
              </w:rPr>
              <w:t>1</w:t>
            </w:r>
          </w:p>
        </w:tc>
        <w:tc>
          <w:tcPr>
            <w:tcW w:w="1513" w:type="dxa"/>
            <w:vMerge w:val="restart"/>
            <w:noWrap w:val="0"/>
            <w:tcMar>
              <w:left w:w="28" w:type="dxa"/>
              <w:right w:w="28" w:type="dxa"/>
            </w:tcMar>
            <w:vAlign w:val="center"/>
          </w:tcPr>
          <w:p w14:paraId="0E3BBE02">
            <w:pPr>
              <w:snapToGrid w:val="0"/>
              <w:jc w:val="left"/>
              <w:rPr>
                <w:rFonts w:ascii="Times New Roman" w:hAnsi="Times New Roman"/>
                <w:bCs/>
                <w:szCs w:val="21"/>
              </w:rPr>
            </w:pPr>
            <w:r>
              <w:rPr>
                <w:rFonts w:ascii="Times New Roman" w:hAnsi="Times New Roman"/>
                <w:bCs/>
                <w:szCs w:val="21"/>
              </w:rPr>
              <w:t>1 法律、法规和标准</w:t>
            </w:r>
          </w:p>
        </w:tc>
        <w:tc>
          <w:tcPr>
            <w:tcW w:w="850" w:type="dxa"/>
            <w:noWrap w:val="0"/>
            <w:tcMar>
              <w:left w:w="28" w:type="dxa"/>
              <w:right w:w="28" w:type="dxa"/>
            </w:tcMar>
            <w:vAlign w:val="center"/>
          </w:tcPr>
          <w:p w14:paraId="200FD76E">
            <w:pPr>
              <w:snapToGrid w:val="0"/>
              <w:jc w:val="center"/>
              <w:rPr>
                <w:rFonts w:ascii="Times New Roman" w:hAnsi="Times New Roman"/>
                <w:szCs w:val="21"/>
              </w:rPr>
            </w:pPr>
            <w:r>
              <w:rPr>
                <w:rFonts w:ascii="Times New Roman" w:hAnsi="Times New Roman"/>
                <w:bCs/>
                <w:szCs w:val="21"/>
              </w:rPr>
              <w:t>1.1</w:t>
            </w:r>
          </w:p>
        </w:tc>
        <w:tc>
          <w:tcPr>
            <w:tcW w:w="3544" w:type="dxa"/>
            <w:noWrap w:val="0"/>
            <w:tcMar>
              <w:left w:w="28" w:type="dxa"/>
              <w:right w:w="28" w:type="dxa"/>
            </w:tcMar>
            <w:vAlign w:val="center"/>
          </w:tcPr>
          <w:p w14:paraId="3F1BE175">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法律法规标准规范识别不全，未传达到承包商</w:t>
            </w:r>
          </w:p>
        </w:tc>
        <w:tc>
          <w:tcPr>
            <w:tcW w:w="2410" w:type="dxa"/>
            <w:noWrap w:val="0"/>
            <w:tcMar>
              <w:left w:w="28" w:type="dxa"/>
              <w:right w:w="28" w:type="dxa"/>
            </w:tcMar>
            <w:vAlign w:val="center"/>
          </w:tcPr>
          <w:p w14:paraId="7134A2F5">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补充完善识别清单</w:t>
            </w:r>
          </w:p>
        </w:tc>
        <w:tc>
          <w:tcPr>
            <w:tcW w:w="1417" w:type="dxa"/>
            <w:noWrap w:val="0"/>
            <w:tcMar>
              <w:left w:w="28" w:type="dxa"/>
              <w:right w:w="28" w:type="dxa"/>
            </w:tcMar>
            <w:vAlign w:val="center"/>
          </w:tcPr>
          <w:p w14:paraId="5256881F">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3A2DD94E">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64C3B9A1">
            <w:pPr>
              <w:snapToGrid w:val="0"/>
              <w:jc w:val="center"/>
              <w:rPr>
                <w:rFonts w:ascii="Times New Roman" w:hAnsi="Times New Roman"/>
                <w:szCs w:val="21"/>
              </w:rPr>
            </w:pPr>
            <w:r>
              <w:rPr>
                <w:rFonts w:hint="eastAsia" w:ascii="Times New Roman" w:hAnsi="Times New Roman"/>
                <w:szCs w:val="21"/>
              </w:rPr>
              <w:t>2</w:t>
            </w:r>
            <w:r>
              <w:rPr>
                <w:rFonts w:ascii="Times New Roman" w:hAnsi="Times New Roman"/>
                <w:szCs w:val="21"/>
              </w:rPr>
              <w:t>02</w:t>
            </w:r>
            <w:r>
              <w:rPr>
                <w:rFonts w:hint="eastAsia" w:ascii="Times New Roman" w:hAnsi="Times New Roman"/>
                <w:szCs w:val="21"/>
                <w:lang w:val="en-US" w:eastAsia="zh-CN"/>
              </w:rPr>
              <w:t>4.</w:t>
            </w:r>
            <w:r>
              <w:rPr>
                <w:rFonts w:ascii="Times New Roman" w:hAnsi="Times New Roman"/>
                <w:szCs w:val="21"/>
              </w:rPr>
              <w:t>10.15</w:t>
            </w:r>
          </w:p>
        </w:tc>
        <w:tc>
          <w:tcPr>
            <w:tcW w:w="1021" w:type="dxa"/>
            <w:noWrap w:val="0"/>
            <w:tcMar>
              <w:left w:w="28" w:type="dxa"/>
              <w:right w:w="28" w:type="dxa"/>
            </w:tcMar>
            <w:vAlign w:val="center"/>
          </w:tcPr>
          <w:p w14:paraId="738398C7">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3445552E">
            <w:pPr>
              <w:snapToGrid w:val="0"/>
              <w:jc w:val="center"/>
              <w:rPr>
                <w:rFonts w:ascii="Times New Roman" w:hAnsi="Times New Roman"/>
                <w:szCs w:val="21"/>
              </w:rPr>
            </w:pPr>
            <w:r>
              <w:rPr>
                <w:rFonts w:ascii="Times New Roman" w:hAnsi="Times New Roman"/>
                <w:szCs w:val="21"/>
              </w:rPr>
              <w:t>-</w:t>
            </w:r>
          </w:p>
        </w:tc>
      </w:tr>
      <w:tr w14:paraId="3BE1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546" w:type="dxa"/>
            <w:noWrap w:val="0"/>
            <w:tcMar>
              <w:left w:w="28" w:type="dxa"/>
              <w:right w:w="28" w:type="dxa"/>
            </w:tcMar>
            <w:vAlign w:val="center"/>
          </w:tcPr>
          <w:p w14:paraId="6F5DF807">
            <w:pPr>
              <w:snapToGrid w:val="0"/>
              <w:jc w:val="center"/>
              <w:rPr>
                <w:rFonts w:ascii="Times New Roman" w:hAnsi="Times New Roman"/>
                <w:szCs w:val="21"/>
              </w:rPr>
            </w:pPr>
            <w:r>
              <w:rPr>
                <w:rFonts w:ascii="Times New Roman" w:hAnsi="Times New Roman"/>
                <w:szCs w:val="21"/>
              </w:rPr>
              <w:t>2</w:t>
            </w:r>
          </w:p>
        </w:tc>
        <w:tc>
          <w:tcPr>
            <w:tcW w:w="1513" w:type="dxa"/>
            <w:vMerge w:val="continue"/>
            <w:noWrap w:val="0"/>
            <w:tcMar>
              <w:left w:w="28" w:type="dxa"/>
              <w:right w:w="28" w:type="dxa"/>
            </w:tcMar>
            <w:vAlign w:val="center"/>
          </w:tcPr>
          <w:p w14:paraId="05584348">
            <w:pPr>
              <w:snapToGrid w:val="0"/>
              <w:jc w:val="left"/>
              <w:rPr>
                <w:rFonts w:ascii="Times New Roman" w:hAnsi="Times New Roman"/>
                <w:szCs w:val="21"/>
              </w:rPr>
            </w:pPr>
          </w:p>
        </w:tc>
        <w:tc>
          <w:tcPr>
            <w:tcW w:w="850" w:type="dxa"/>
            <w:noWrap w:val="0"/>
            <w:tcMar>
              <w:left w:w="28" w:type="dxa"/>
              <w:right w:w="28" w:type="dxa"/>
            </w:tcMar>
            <w:vAlign w:val="center"/>
          </w:tcPr>
          <w:p w14:paraId="4D1A568B">
            <w:pPr>
              <w:snapToGrid w:val="0"/>
              <w:jc w:val="center"/>
              <w:rPr>
                <w:rFonts w:ascii="Times New Roman" w:hAnsi="Times New Roman"/>
                <w:szCs w:val="21"/>
              </w:rPr>
            </w:pPr>
            <w:r>
              <w:rPr>
                <w:rFonts w:ascii="Times New Roman" w:hAnsi="Times New Roman"/>
                <w:bCs/>
                <w:szCs w:val="21"/>
              </w:rPr>
              <w:t>1.2</w:t>
            </w:r>
          </w:p>
        </w:tc>
        <w:tc>
          <w:tcPr>
            <w:tcW w:w="3544" w:type="dxa"/>
            <w:noWrap w:val="0"/>
            <w:tcMar>
              <w:left w:w="28" w:type="dxa"/>
              <w:right w:w="28" w:type="dxa"/>
            </w:tcMar>
            <w:vAlign w:val="center"/>
          </w:tcPr>
          <w:p w14:paraId="189A2779">
            <w:pPr>
              <w:snapToGrid w:val="0"/>
              <w:jc w:val="left"/>
              <w:rPr>
                <w:rFonts w:hint="eastAsia" w:ascii="Times New Roman" w:hAnsi="Times New Roman"/>
                <w:szCs w:val="21"/>
              </w:rPr>
            </w:pPr>
            <w:r>
              <w:rPr>
                <w:rFonts w:ascii="Times New Roman" w:hAnsi="Times New Roman"/>
                <w:szCs w:val="21"/>
              </w:rPr>
              <w:t>符合性评估</w:t>
            </w:r>
            <w:r>
              <w:rPr>
                <w:rFonts w:hint="eastAsia" w:ascii="Times New Roman" w:hAnsi="Times New Roman"/>
                <w:szCs w:val="21"/>
                <w:lang w:val="en-US" w:eastAsia="zh-CN"/>
              </w:rPr>
              <w:t>评价</w:t>
            </w:r>
            <w:r>
              <w:rPr>
                <w:rFonts w:ascii="Times New Roman" w:hAnsi="Times New Roman"/>
                <w:szCs w:val="21"/>
              </w:rPr>
              <w:t>不完善</w:t>
            </w:r>
          </w:p>
        </w:tc>
        <w:tc>
          <w:tcPr>
            <w:tcW w:w="2410" w:type="dxa"/>
            <w:noWrap w:val="0"/>
            <w:tcMar>
              <w:left w:w="28" w:type="dxa"/>
              <w:right w:w="28" w:type="dxa"/>
            </w:tcMar>
            <w:vAlign w:val="center"/>
          </w:tcPr>
          <w:p w14:paraId="23B9CCF5">
            <w:pPr>
              <w:snapToGrid w:val="0"/>
              <w:jc w:val="left"/>
              <w:rPr>
                <w:rFonts w:ascii="Times New Roman" w:hAnsi="Times New Roman"/>
                <w:szCs w:val="21"/>
              </w:rPr>
            </w:pPr>
            <w:r>
              <w:rPr>
                <w:rFonts w:ascii="Times New Roman" w:hAnsi="Times New Roman"/>
                <w:szCs w:val="21"/>
              </w:rPr>
              <w:t>完善评估报告</w:t>
            </w:r>
          </w:p>
        </w:tc>
        <w:tc>
          <w:tcPr>
            <w:tcW w:w="1417" w:type="dxa"/>
            <w:noWrap w:val="0"/>
            <w:tcMar>
              <w:left w:w="28" w:type="dxa"/>
              <w:right w:w="28" w:type="dxa"/>
            </w:tcMar>
            <w:vAlign w:val="center"/>
          </w:tcPr>
          <w:p w14:paraId="345DD6C2">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1931D0B8">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2DD3DC3A">
            <w:pPr>
              <w:snapToGrid w:val="0"/>
              <w:jc w:val="center"/>
              <w:rPr>
                <w:rFonts w:hint="eastAsia" w:ascii="Times New Roman" w:hAnsi="Times New Roman" w:eastAsiaTheme="minorEastAsia"/>
                <w:szCs w:val="21"/>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9C63FE4">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420B1DC8">
            <w:pPr>
              <w:snapToGrid w:val="0"/>
              <w:jc w:val="center"/>
              <w:rPr>
                <w:rFonts w:ascii="Times New Roman" w:hAnsi="Times New Roman"/>
                <w:szCs w:val="21"/>
              </w:rPr>
            </w:pPr>
            <w:r>
              <w:rPr>
                <w:rFonts w:ascii="Times New Roman" w:hAnsi="Times New Roman"/>
                <w:szCs w:val="21"/>
              </w:rPr>
              <w:t>-</w:t>
            </w:r>
          </w:p>
        </w:tc>
      </w:tr>
      <w:tr w14:paraId="37C4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02534F63">
            <w:pPr>
              <w:snapToGrid w:val="0"/>
              <w:jc w:val="center"/>
              <w:rPr>
                <w:rFonts w:ascii="Times New Roman" w:hAnsi="Times New Roman"/>
                <w:szCs w:val="21"/>
              </w:rPr>
            </w:pPr>
            <w:r>
              <w:rPr>
                <w:rFonts w:ascii="Times New Roman" w:hAnsi="Times New Roman"/>
                <w:szCs w:val="21"/>
              </w:rPr>
              <w:t>3</w:t>
            </w:r>
          </w:p>
        </w:tc>
        <w:tc>
          <w:tcPr>
            <w:tcW w:w="1513" w:type="dxa"/>
            <w:vMerge w:val="restart"/>
            <w:noWrap w:val="0"/>
            <w:tcMar>
              <w:left w:w="28" w:type="dxa"/>
              <w:right w:w="28" w:type="dxa"/>
            </w:tcMar>
            <w:vAlign w:val="center"/>
          </w:tcPr>
          <w:p w14:paraId="76CFE402">
            <w:pPr>
              <w:tabs>
                <w:tab w:val="left" w:pos="252"/>
                <w:tab w:val="left" w:pos="432"/>
              </w:tabs>
              <w:snapToGrid w:val="0"/>
              <w:jc w:val="left"/>
              <w:rPr>
                <w:rFonts w:ascii="Times New Roman" w:hAnsi="Times New Roman"/>
                <w:szCs w:val="21"/>
              </w:rPr>
            </w:pPr>
            <w:r>
              <w:rPr>
                <w:rFonts w:ascii="Times New Roman" w:hAnsi="Times New Roman"/>
                <w:szCs w:val="21"/>
              </w:rPr>
              <w:t xml:space="preserve">2 </w:t>
            </w:r>
            <w:r>
              <w:rPr>
                <w:rFonts w:ascii="Times New Roman" w:hAnsi="Times New Roman"/>
                <w:bCs/>
                <w:szCs w:val="21"/>
              </w:rPr>
              <w:t>机构和职责</w:t>
            </w:r>
          </w:p>
        </w:tc>
        <w:tc>
          <w:tcPr>
            <w:tcW w:w="850" w:type="dxa"/>
            <w:noWrap w:val="0"/>
            <w:tcMar>
              <w:left w:w="28" w:type="dxa"/>
              <w:right w:w="28" w:type="dxa"/>
            </w:tcMar>
            <w:vAlign w:val="center"/>
          </w:tcPr>
          <w:p w14:paraId="6993F3F0">
            <w:pPr>
              <w:snapToGrid w:val="0"/>
              <w:jc w:val="center"/>
              <w:rPr>
                <w:rFonts w:ascii="Times New Roman" w:hAnsi="Times New Roman"/>
                <w:bCs/>
                <w:szCs w:val="21"/>
              </w:rPr>
            </w:pPr>
            <w:r>
              <w:rPr>
                <w:rFonts w:ascii="Times New Roman" w:hAnsi="Times New Roman"/>
                <w:bCs/>
                <w:szCs w:val="21"/>
              </w:rPr>
              <w:t>2.1</w:t>
            </w:r>
          </w:p>
        </w:tc>
        <w:tc>
          <w:tcPr>
            <w:tcW w:w="3544" w:type="dxa"/>
            <w:noWrap w:val="0"/>
            <w:tcMar>
              <w:left w:w="28" w:type="dxa"/>
              <w:right w:w="28" w:type="dxa"/>
            </w:tcMar>
            <w:vAlign w:val="center"/>
          </w:tcPr>
          <w:p w14:paraId="2AA20BF6">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人员不清楚安全目标</w:t>
            </w:r>
          </w:p>
        </w:tc>
        <w:tc>
          <w:tcPr>
            <w:tcW w:w="2410" w:type="dxa"/>
            <w:noWrap w:val="0"/>
            <w:tcMar>
              <w:left w:w="28" w:type="dxa"/>
              <w:right w:w="28" w:type="dxa"/>
            </w:tcMar>
            <w:vAlign w:val="center"/>
          </w:tcPr>
          <w:p w14:paraId="1D1AAA5A">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培训宣贯</w:t>
            </w:r>
          </w:p>
        </w:tc>
        <w:tc>
          <w:tcPr>
            <w:tcW w:w="1417" w:type="dxa"/>
            <w:noWrap w:val="0"/>
            <w:tcMar>
              <w:left w:w="28" w:type="dxa"/>
              <w:right w:w="28" w:type="dxa"/>
            </w:tcMar>
            <w:vAlign w:val="center"/>
          </w:tcPr>
          <w:p w14:paraId="74763419">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EHS部</w:t>
            </w:r>
          </w:p>
        </w:tc>
        <w:tc>
          <w:tcPr>
            <w:tcW w:w="1134" w:type="dxa"/>
            <w:noWrap w:val="0"/>
            <w:tcMar>
              <w:left w:w="28" w:type="dxa"/>
              <w:right w:w="28" w:type="dxa"/>
            </w:tcMar>
            <w:vAlign w:val="center"/>
          </w:tcPr>
          <w:p w14:paraId="460AC9C7">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0D3BA81F">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7BBB34AE">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09BC5D85">
            <w:pPr>
              <w:snapToGrid w:val="0"/>
              <w:jc w:val="center"/>
              <w:rPr>
                <w:rFonts w:ascii="Times New Roman" w:hAnsi="Times New Roman"/>
                <w:szCs w:val="21"/>
              </w:rPr>
            </w:pPr>
            <w:r>
              <w:rPr>
                <w:rFonts w:ascii="Times New Roman" w:hAnsi="Times New Roman"/>
                <w:szCs w:val="21"/>
              </w:rPr>
              <w:t>-</w:t>
            </w:r>
          </w:p>
        </w:tc>
      </w:tr>
      <w:tr w14:paraId="3E6A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6EA690A2">
            <w:pPr>
              <w:snapToGrid w:val="0"/>
              <w:jc w:val="center"/>
              <w:rPr>
                <w:rFonts w:ascii="Times New Roman" w:hAnsi="Times New Roman"/>
                <w:szCs w:val="21"/>
              </w:rPr>
            </w:pPr>
            <w:r>
              <w:rPr>
                <w:rFonts w:ascii="Times New Roman" w:hAnsi="Times New Roman"/>
                <w:szCs w:val="21"/>
              </w:rPr>
              <w:t>4</w:t>
            </w:r>
          </w:p>
        </w:tc>
        <w:tc>
          <w:tcPr>
            <w:tcW w:w="1513" w:type="dxa"/>
            <w:vMerge w:val="continue"/>
            <w:noWrap w:val="0"/>
            <w:tcMar>
              <w:left w:w="28" w:type="dxa"/>
              <w:right w:w="28" w:type="dxa"/>
            </w:tcMar>
            <w:vAlign w:val="center"/>
          </w:tcPr>
          <w:p w14:paraId="7342C188">
            <w:pPr>
              <w:snapToGrid w:val="0"/>
              <w:jc w:val="left"/>
              <w:rPr>
                <w:rFonts w:ascii="Times New Roman" w:hAnsi="Times New Roman"/>
                <w:szCs w:val="21"/>
              </w:rPr>
            </w:pPr>
          </w:p>
        </w:tc>
        <w:tc>
          <w:tcPr>
            <w:tcW w:w="850" w:type="dxa"/>
            <w:vMerge w:val="restart"/>
            <w:noWrap w:val="0"/>
            <w:tcMar>
              <w:left w:w="28" w:type="dxa"/>
              <w:right w:w="28" w:type="dxa"/>
            </w:tcMar>
            <w:vAlign w:val="center"/>
          </w:tcPr>
          <w:p w14:paraId="559A3022">
            <w:pPr>
              <w:snapToGrid w:val="0"/>
              <w:jc w:val="center"/>
              <w:rPr>
                <w:rFonts w:ascii="Times New Roman" w:hAnsi="Times New Roman"/>
                <w:bCs/>
                <w:szCs w:val="21"/>
              </w:rPr>
            </w:pPr>
            <w:r>
              <w:rPr>
                <w:rFonts w:ascii="Times New Roman" w:hAnsi="Times New Roman"/>
                <w:bCs/>
                <w:szCs w:val="21"/>
              </w:rPr>
              <w:t>2.2</w:t>
            </w:r>
          </w:p>
        </w:tc>
        <w:tc>
          <w:tcPr>
            <w:tcW w:w="3544" w:type="dxa"/>
            <w:noWrap w:val="0"/>
            <w:tcMar>
              <w:left w:w="28" w:type="dxa"/>
              <w:right w:w="28" w:type="dxa"/>
            </w:tcMar>
            <w:vAlign w:val="center"/>
          </w:tcPr>
          <w:p w14:paraId="679D7AA8">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未落实安全责任考核</w:t>
            </w:r>
          </w:p>
        </w:tc>
        <w:tc>
          <w:tcPr>
            <w:tcW w:w="2410" w:type="dxa"/>
            <w:noWrap w:val="0"/>
            <w:tcMar>
              <w:left w:w="28" w:type="dxa"/>
              <w:right w:w="28" w:type="dxa"/>
            </w:tcMar>
            <w:vAlign w:val="center"/>
          </w:tcPr>
          <w:p w14:paraId="317915A2">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定期考核</w:t>
            </w:r>
          </w:p>
        </w:tc>
        <w:tc>
          <w:tcPr>
            <w:tcW w:w="1417" w:type="dxa"/>
            <w:noWrap w:val="0"/>
            <w:tcMar>
              <w:left w:w="28" w:type="dxa"/>
              <w:right w:w="28" w:type="dxa"/>
            </w:tcMar>
            <w:vAlign w:val="center"/>
          </w:tcPr>
          <w:p w14:paraId="4A33D5A6">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安委会</w:t>
            </w:r>
          </w:p>
        </w:tc>
        <w:tc>
          <w:tcPr>
            <w:tcW w:w="1134" w:type="dxa"/>
            <w:noWrap w:val="0"/>
            <w:tcMar>
              <w:left w:w="28" w:type="dxa"/>
              <w:right w:w="28" w:type="dxa"/>
            </w:tcMar>
            <w:vAlign w:val="center"/>
          </w:tcPr>
          <w:p w14:paraId="33DA0AC3">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6B7A3D52">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67C1F42">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7ACA2F61">
            <w:pPr>
              <w:snapToGrid w:val="0"/>
              <w:jc w:val="center"/>
              <w:rPr>
                <w:rFonts w:ascii="Times New Roman" w:hAnsi="Times New Roman"/>
                <w:szCs w:val="21"/>
              </w:rPr>
            </w:pPr>
            <w:r>
              <w:rPr>
                <w:rFonts w:ascii="Times New Roman" w:hAnsi="Times New Roman"/>
                <w:szCs w:val="21"/>
              </w:rPr>
              <w:t>-</w:t>
            </w:r>
          </w:p>
        </w:tc>
      </w:tr>
      <w:tr w14:paraId="158C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064BA1F0">
            <w:pPr>
              <w:snapToGrid w:val="0"/>
              <w:jc w:val="center"/>
              <w:rPr>
                <w:rFonts w:ascii="Times New Roman" w:hAnsi="Times New Roman"/>
                <w:szCs w:val="21"/>
              </w:rPr>
            </w:pPr>
            <w:r>
              <w:rPr>
                <w:rFonts w:ascii="Times New Roman" w:hAnsi="Times New Roman"/>
                <w:szCs w:val="21"/>
              </w:rPr>
              <w:t>5</w:t>
            </w:r>
          </w:p>
        </w:tc>
        <w:tc>
          <w:tcPr>
            <w:tcW w:w="1513" w:type="dxa"/>
            <w:vMerge w:val="continue"/>
            <w:noWrap w:val="0"/>
            <w:tcMar>
              <w:left w:w="28" w:type="dxa"/>
              <w:right w:w="28" w:type="dxa"/>
            </w:tcMar>
            <w:vAlign w:val="center"/>
          </w:tcPr>
          <w:p w14:paraId="73E7087D">
            <w:pPr>
              <w:snapToGrid w:val="0"/>
              <w:jc w:val="left"/>
              <w:rPr>
                <w:rFonts w:ascii="Times New Roman" w:hAnsi="Times New Roman"/>
                <w:szCs w:val="21"/>
              </w:rPr>
            </w:pPr>
          </w:p>
        </w:tc>
        <w:tc>
          <w:tcPr>
            <w:tcW w:w="850" w:type="dxa"/>
            <w:vMerge w:val="continue"/>
            <w:noWrap w:val="0"/>
            <w:tcMar>
              <w:left w:w="28" w:type="dxa"/>
              <w:right w:w="28" w:type="dxa"/>
            </w:tcMar>
            <w:vAlign w:val="center"/>
          </w:tcPr>
          <w:p w14:paraId="05C6581C">
            <w:pPr>
              <w:snapToGrid w:val="0"/>
              <w:jc w:val="center"/>
              <w:rPr>
                <w:rFonts w:ascii="Times New Roman" w:hAnsi="Times New Roman"/>
                <w:szCs w:val="21"/>
              </w:rPr>
            </w:pPr>
          </w:p>
        </w:tc>
        <w:tc>
          <w:tcPr>
            <w:tcW w:w="3544" w:type="dxa"/>
            <w:noWrap w:val="0"/>
            <w:tcMar>
              <w:left w:w="28" w:type="dxa"/>
              <w:right w:w="28" w:type="dxa"/>
            </w:tcMar>
            <w:vAlign w:val="center"/>
          </w:tcPr>
          <w:p w14:paraId="32E078B9">
            <w:pPr>
              <w:snapToGrid w:val="0"/>
              <w:jc w:val="left"/>
              <w:rPr>
                <w:rFonts w:ascii="Times New Roman" w:hAnsi="Times New Roman"/>
                <w:szCs w:val="21"/>
              </w:rPr>
            </w:pPr>
            <w:r>
              <w:rPr>
                <w:rFonts w:ascii="Times New Roman" w:hAnsi="Times New Roman"/>
                <w:szCs w:val="21"/>
              </w:rPr>
              <w:t>无领导带班情况的考核记录</w:t>
            </w:r>
          </w:p>
        </w:tc>
        <w:tc>
          <w:tcPr>
            <w:tcW w:w="2410" w:type="dxa"/>
            <w:noWrap w:val="0"/>
            <w:tcMar>
              <w:left w:w="28" w:type="dxa"/>
              <w:right w:w="28" w:type="dxa"/>
            </w:tcMar>
            <w:vAlign w:val="center"/>
          </w:tcPr>
          <w:p w14:paraId="763BDED6">
            <w:pPr>
              <w:snapToGrid w:val="0"/>
              <w:jc w:val="left"/>
              <w:rPr>
                <w:rFonts w:ascii="Times New Roman" w:hAnsi="Times New Roman"/>
                <w:szCs w:val="21"/>
              </w:rPr>
            </w:pPr>
            <w:r>
              <w:rPr>
                <w:rFonts w:ascii="Times New Roman" w:hAnsi="Times New Roman"/>
                <w:szCs w:val="21"/>
              </w:rPr>
              <w:t>对领导带班执行情况予以考核</w:t>
            </w:r>
          </w:p>
        </w:tc>
        <w:tc>
          <w:tcPr>
            <w:tcW w:w="1417" w:type="dxa"/>
            <w:noWrap w:val="0"/>
            <w:tcMar>
              <w:left w:w="28" w:type="dxa"/>
              <w:right w:w="28" w:type="dxa"/>
            </w:tcMar>
            <w:vAlign w:val="center"/>
          </w:tcPr>
          <w:p w14:paraId="740E2635">
            <w:pPr>
              <w:snapToGrid w:val="0"/>
              <w:jc w:val="center"/>
              <w:rPr>
                <w:rFonts w:ascii="Times New Roman" w:hAnsi="Times New Roman"/>
                <w:szCs w:val="21"/>
              </w:rPr>
            </w:pPr>
            <w:r>
              <w:rPr>
                <w:rFonts w:hint="eastAsia" w:ascii="Times New Roman" w:hAnsi="Times New Roman"/>
                <w:szCs w:val="21"/>
                <w:lang w:val="en-US" w:eastAsia="zh-CN"/>
              </w:rPr>
              <w:t>EHS</w:t>
            </w:r>
            <w:r>
              <w:rPr>
                <w:rFonts w:hint="eastAsia" w:ascii="Times New Roman" w:hAnsi="Times New Roman"/>
                <w:szCs w:val="21"/>
              </w:rPr>
              <w:t>部</w:t>
            </w:r>
          </w:p>
        </w:tc>
        <w:tc>
          <w:tcPr>
            <w:tcW w:w="1134" w:type="dxa"/>
            <w:noWrap w:val="0"/>
            <w:tcMar>
              <w:left w:w="28" w:type="dxa"/>
              <w:right w:w="28" w:type="dxa"/>
            </w:tcMar>
            <w:vAlign w:val="center"/>
          </w:tcPr>
          <w:p w14:paraId="2274A93C">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2287DC0C">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799F266A">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01D4A7DE">
            <w:pPr>
              <w:snapToGrid w:val="0"/>
              <w:jc w:val="center"/>
              <w:rPr>
                <w:rFonts w:ascii="Times New Roman" w:hAnsi="Times New Roman"/>
                <w:szCs w:val="21"/>
              </w:rPr>
            </w:pPr>
            <w:r>
              <w:rPr>
                <w:rFonts w:ascii="Times New Roman" w:hAnsi="Times New Roman"/>
                <w:szCs w:val="21"/>
              </w:rPr>
              <w:t>-</w:t>
            </w:r>
          </w:p>
        </w:tc>
      </w:tr>
      <w:tr w14:paraId="530F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0ADE043C">
            <w:pPr>
              <w:snapToGrid w:val="0"/>
              <w:jc w:val="center"/>
              <w:rPr>
                <w:rFonts w:ascii="Times New Roman" w:hAnsi="Times New Roman"/>
                <w:szCs w:val="21"/>
              </w:rPr>
            </w:pPr>
            <w:r>
              <w:rPr>
                <w:rFonts w:ascii="Times New Roman" w:hAnsi="Times New Roman"/>
                <w:szCs w:val="21"/>
              </w:rPr>
              <w:t>6</w:t>
            </w:r>
          </w:p>
        </w:tc>
        <w:tc>
          <w:tcPr>
            <w:tcW w:w="1513" w:type="dxa"/>
            <w:vMerge w:val="restart"/>
            <w:noWrap w:val="0"/>
            <w:tcMar>
              <w:left w:w="28" w:type="dxa"/>
              <w:right w:w="28" w:type="dxa"/>
            </w:tcMar>
            <w:vAlign w:val="center"/>
          </w:tcPr>
          <w:p w14:paraId="23F6FCF0">
            <w:pPr>
              <w:snapToGrid w:val="0"/>
              <w:jc w:val="left"/>
              <w:rPr>
                <w:rFonts w:ascii="Times New Roman" w:hAnsi="Times New Roman"/>
                <w:szCs w:val="21"/>
              </w:rPr>
            </w:pPr>
            <w:r>
              <w:rPr>
                <w:rFonts w:ascii="Times New Roman" w:hAnsi="Times New Roman"/>
                <w:szCs w:val="21"/>
              </w:rPr>
              <w:t>3风险管理</w:t>
            </w:r>
          </w:p>
        </w:tc>
        <w:tc>
          <w:tcPr>
            <w:tcW w:w="850" w:type="dxa"/>
            <w:noWrap w:val="0"/>
            <w:tcMar>
              <w:left w:w="28" w:type="dxa"/>
              <w:right w:w="28" w:type="dxa"/>
            </w:tcMar>
            <w:vAlign w:val="center"/>
          </w:tcPr>
          <w:p w14:paraId="0545A17E">
            <w:pPr>
              <w:snapToGrid w:val="0"/>
              <w:jc w:val="center"/>
              <w:rPr>
                <w:rFonts w:ascii="Times New Roman" w:hAnsi="Times New Roman"/>
                <w:szCs w:val="21"/>
              </w:rPr>
            </w:pPr>
            <w:r>
              <w:rPr>
                <w:rFonts w:ascii="Times New Roman" w:hAnsi="Times New Roman"/>
                <w:szCs w:val="21"/>
              </w:rPr>
              <w:t>3.2</w:t>
            </w:r>
          </w:p>
        </w:tc>
        <w:tc>
          <w:tcPr>
            <w:tcW w:w="3544" w:type="dxa"/>
            <w:noWrap w:val="0"/>
            <w:tcMar>
              <w:left w:w="28" w:type="dxa"/>
              <w:right w:w="28" w:type="dxa"/>
            </w:tcMar>
            <w:vAlign w:val="center"/>
          </w:tcPr>
          <w:p w14:paraId="5E55F186">
            <w:pPr>
              <w:snapToGrid w:val="0"/>
              <w:jc w:val="left"/>
              <w:rPr>
                <w:rStyle w:val="20"/>
                <w:rFonts w:hint="default" w:ascii="Times New Roman" w:hAnsi="Times New Roman"/>
                <w:sz w:val="21"/>
                <w:szCs w:val="21"/>
              </w:rPr>
            </w:pPr>
            <w:r>
              <w:rPr>
                <w:rFonts w:ascii="Times New Roman" w:hAnsi="Times New Roman"/>
                <w:szCs w:val="21"/>
              </w:rPr>
              <w:t>未建立非常规作业活动清单</w:t>
            </w:r>
          </w:p>
        </w:tc>
        <w:tc>
          <w:tcPr>
            <w:tcW w:w="2410" w:type="dxa"/>
            <w:noWrap w:val="0"/>
            <w:tcMar>
              <w:left w:w="28" w:type="dxa"/>
              <w:right w:w="28" w:type="dxa"/>
            </w:tcMar>
            <w:vAlign w:val="center"/>
          </w:tcPr>
          <w:p w14:paraId="04B460D8">
            <w:pPr>
              <w:snapToGrid w:val="0"/>
              <w:jc w:val="left"/>
              <w:rPr>
                <w:rFonts w:ascii="Times New Roman" w:hAnsi="Times New Roman"/>
                <w:szCs w:val="21"/>
              </w:rPr>
            </w:pPr>
            <w:r>
              <w:rPr>
                <w:rFonts w:ascii="Times New Roman" w:hAnsi="Times New Roman"/>
                <w:szCs w:val="21"/>
              </w:rPr>
              <w:t>建立非常规作业活动清单</w:t>
            </w:r>
          </w:p>
        </w:tc>
        <w:tc>
          <w:tcPr>
            <w:tcW w:w="1417" w:type="dxa"/>
            <w:noWrap w:val="0"/>
            <w:tcMar>
              <w:left w:w="28" w:type="dxa"/>
              <w:right w:w="28" w:type="dxa"/>
            </w:tcMar>
            <w:vAlign w:val="center"/>
          </w:tcPr>
          <w:p w14:paraId="3E788AD8">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0555FF3E">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2B64C116">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49AD3393">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44CDB087">
            <w:pPr>
              <w:snapToGrid w:val="0"/>
              <w:jc w:val="center"/>
              <w:rPr>
                <w:rFonts w:ascii="Times New Roman" w:hAnsi="Times New Roman"/>
                <w:szCs w:val="21"/>
              </w:rPr>
            </w:pPr>
            <w:r>
              <w:rPr>
                <w:rFonts w:ascii="Times New Roman" w:hAnsi="Times New Roman"/>
                <w:szCs w:val="21"/>
              </w:rPr>
              <w:t>-</w:t>
            </w:r>
          </w:p>
        </w:tc>
      </w:tr>
      <w:tr w14:paraId="0657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72C1439E">
            <w:pPr>
              <w:snapToGrid w:val="0"/>
              <w:jc w:val="center"/>
              <w:rPr>
                <w:rFonts w:ascii="Times New Roman" w:hAnsi="Times New Roman"/>
                <w:szCs w:val="21"/>
              </w:rPr>
            </w:pPr>
            <w:r>
              <w:rPr>
                <w:rFonts w:ascii="Times New Roman" w:hAnsi="Times New Roman"/>
                <w:szCs w:val="21"/>
              </w:rPr>
              <w:t>7</w:t>
            </w:r>
          </w:p>
        </w:tc>
        <w:tc>
          <w:tcPr>
            <w:tcW w:w="1513" w:type="dxa"/>
            <w:vMerge w:val="continue"/>
            <w:noWrap w:val="0"/>
            <w:tcMar>
              <w:left w:w="28" w:type="dxa"/>
              <w:right w:w="28" w:type="dxa"/>
            </w:tcMar>
            <w:vAlign w:val="center"/>
          </w:tcPr>
          <w:p w14:paraId="39941F2E">
            <w:pPr>
              <w:snapToGrid w:val="0"/>
              <w:jc w:val="left"/>
              <w:rPr>
                <w:rFonts w:ascii="Times New Roman" w:hAnsi="Times New Roman"/>
                <w:szCs w:val="21"/>
              </w:rPr>
            </w:pPr>
          </w:p>
        </w:tc>
        <w:tc>
          <w:tcPr>
            <w:tcW w:w="850" w:type="dxa"/>
            <w:noWrap w:val="0"/>
            <w:tcMar>
              <w:left w:w="28" w:type="dxa"/>
              <w:right w:w="28" w:type="dxa"/>
            </w:tcMar>
            <w:vAlign w:val="center"/>
          </w:tcPr>
          <w:p w14:paraId="3F86BE14">
            <w:pPr>
              <w:tabs>
                <w:tab w:val="center" w:pos="1121"/>
              </w:tabs>
              <w:snapToGrid w:val="0"/>
              <w:jc w:val="center"/>
              <w:rPr>
                <w:rFonts w:ascii="Times New Roman" w:hAnsi="Times New Roman"/>
                <w:szCs w:val="21"/>
              </w:rPr>
            </w:pPr>
            <w:r>
              <w:rPr>
                <w:rFonts w:ascii="Times New Roman" w:hAnsi="Times New Roman"/>
                <w:szCs w:val="21"/>
              </w:rPr>
              <w:t>3.3</w:t>
            </w:r>
          </w:p>
        </w:tc>
        <w:tc>
          <w:tcPr>
            <w:tcW w:w="3544" w:type="dxa"/>
            <w:noWrap w:val="0"/>
            <w:tcMar>
              <w:left w:w="28" w:type="dxa"/>
              <w:right w:w="28" w:type="dxa"/>
            </w:tcMar>
            <w:vAlign w:val="center"/>
          </w:tcPr>
          <w:p w14:paraId="75804B92">
            <w:pPr>
              <w:snapToGrid w:val="0"/>
              <w:jc w:val="left"/>
              <w:rPr>
                <w:rFonts w:ascii="Times New Roman" w:hAnsi="Times New Roman"/>
                <w:szCs w:val="21"/>
              </w:rPr>
            </w:pPr>
            <w:r>
              <w:rPr>
                <w:rFonts w:ascii="Times New Roman" w:hAnsi="Times New Roman"/>
                <w:szCs w:val="21"/>
              </w:rPr>
              <w:t>隐患排查治理台账不完善，</w:t>
            </w:r>
            <w:r>
              <w:rPr>
                <w:rFonts w:hint="eastAsia" w:ascii="Times New Roman" w:hAnsi="Times New Roman"/>
                <w:szCs w:val="21"/>
              </w:rPr>
              <w:t>无检查类型、检查时间、原因分析、隐患等级、验收人及时间等内容</w:t>
            </w:r>
          </w:p>
        </w:tc>
        <w:tc>
          <w:tcPr>
            <w:tcW w:w="2410" w:type="dxa"/>
            <w:noWrap w:val="0"/>
            <w:tcMar>
              <w:left w:w="28" w:type="dxa"/>
              <w:right w:w="28" w:type="dxa"/>
            </w:tcMar>
            <w:vAlign w:val="center"/>
          </w:tcPr>
          <w:p w14:paraId="20DFB1E3">
            <w:pPr>
              <w:snapToGrid w:val="0"/>
              <w:jc w:val="left"/>
              <w:rPr>
                <w:rFonts w:hint="eastAsia" w:ascii="Times New Roman" w:hAnsi="Times New Roman"/>
                <w:szCs w:val="21"/>
              </w:rPr>
            </w:pPr>
            <w:r>
              <w:rPr>
                <w:rFonts w:ascii="Times New Roman" w:hAnsi="Times New Roman"/>
                <w:szCs w:val="21"/>
              </w:rPr>
              <w:t>完善台账内容</w:t>
            </w:r>
          </w:p>
        </w:tc>
        <w:tc>
          <w:tcPr>
            <w:tcW w:w="1417" w:type="dxa"/>
            <w:noWrap w:val="0"/>
            <w:tcMar>
              <w:left w:w="28" w:type="dxa"/>
              <w:right w:w="28" w:type="dxa"/>
            </w:tcMar>
            <w:vAlign w:val="center"/>
          </w:tcPr>
          <w:p w14:paraId="029B33DB">
            <w:pPr>
              <w:snapToGrid w:val="0"/>
              <w:jc w:val="center"/>
              <w:rPr>
                <w:rFonts w:ascii="Times New Roman" w:hAnsi="Times New Roman"/>
                <w:szCs w:val="21"/>
              </w:rPr>
            </w:pPr>
            <w:r>
              <w:rPr>
                <w:rFonts w:hint="eastAsia" w:ascii="Times New Roman" w:hAnsi="Times New Roman"/>
                <w:szCs w:val="21"/>
                <w:lang w:val="en-US" w:eastAsia="zh-CN"/>
              </w:rPr>
              <w:t>各部门</w:t>
            </w:r>
          </w:p>
        </w:tc>
        <w:tc>
          <w:tcPr>
            <w:tcW w:w="1134" w:type="dxa"/>
            <w:noWrap w:val="0"/>
            <w:tcMar>
              <w:left w:w="28" w:type="dxa"/>
              <w:right w:w="28" w:type="dxa"/>
            </w:tcMar>
            <w:vAlign w:val="center"/>
          </w:tcPr>
          <w:p w14:paraId="4A80DE49">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7339B65D">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3AADC4FE">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0E6EEB6C">
            <w:pPr>
              <w:snapToGrid w:val="0"/>
              <w:jc w:val="center"/>
              <w:rPr>
                <w:rFonts w:ascii="Times New Roman" w:hAnsi="Times New Roman"/>
                <w:szCs w:val="21"/>
              </w:rPr>
            </w:pPr>
            <w:r>
              <w:rPr>
                <w:rFonts w:ascii="Times New Roman" w:hAnsi="Times New Roman"/>
                <w:szCs w:val="21"/>
              </w:rPr>
              <w:t>-</w:t>
            </w:r>
          </w:p>
        </w:tc>
      </w:tr>
      <w:tr w14:paraId="3441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54BC8BDF">
            <w:pPr>
              <w:snapToGrid w:val="0"/>
              <w:jc w:val="center"/>
              <w:rPr>
                <w:rFonts w:ascii="Times New Roman" w:hAnsi="Times New Roman"/>
                <w:szCs w:val="21"/>
              </w:rPr>
            </w:pPr>
            <w:r>
              <w:rPr>
                <w:rFonts w:ascii="Times New Roman" w:hAnsi="Times New Roman"/>
                <w:szCs w:val="21"/>
              </w:rPr>
              <w:t>8</w:t>
            </w:r>
          </w:p>
        </w:tc>
        <w:tc>
          <w:tcPr>
            <w:tcW w:w="1513" w:type="dxa"/>
            <w:vMerge w:val="restart"/>
            <w:noWrap w:val="0"/>
            <w:tcMar>
              <w:left w:w="28" w:type="dxa"/>
              <w:right w:w="28" w:type="dxa"/>
            </w:tcMar>
            <w:vAlign w:val="center"/>
          </w:tcPr>
          <w:p w14:paraId="448D24FF">
            <w:pPr>
              <w:snapToGrid w:val="0"/>
              <w:jc w:val="left"/>
              <w:rPr>
                <w:rFonts w:ascii="Times New Roman" w:hAnsi="Times New Roman"/>
                <w:szCs w:val="21"/>
              </w:rPr>
            </w:pPr>
            <w:r>
              <w:rPr>
                <w:rFonts w:ascii="Times New Roman" w:hAnsi="Times New Roman"/>
                <w:bCs/>
                <w:szCs w:val="21"/>
              </w:rPr>
              <w:t>5培训教育</w:t>
            </w:r>
          </w:p>
        </w:tc>
        <w:tc>
          <w:tcPr>
            <w:tcW w:w="850" w:type="dxa"/>
            <w:noWrap w:val="0"/>
            <w:tcMar>
              <w:left w:w="28" w:type="dxa"/>
              <w:right w:w="28" w:type="dxa"/>
            </w:tcMar>
            <w:vAlign w:val="center"/>
          </w:tcPr>
          <w:p w14:paraId="216E4927">
            <w:pPr>
              <w:snapToGrid w:val="0"/>
              <w:jc w:val="center"/>
              <w:rPr>
                <w:rFonts w:ascii="Times New Roman" w:hAnsi="Times New Roman"/>
                <w:bCs/>
                <w:szCs w:val="21"/>
              </w:rPr>
            </w:pPr>
            <w:r>
              <w:rPr>
                <w:rFonts w:ascii="Times New Roman" w:hAnsi="Times New Roman"/>
                <w:szCs w:val="21"/>
              </w:rPr>
              <w:t>5.1</w:t>
            </w:r>
          </w:p>
        </w:tc>
        <w:tc>
          <w:tcPr>
            <w:tcW w:w="3544" w:type="dxa"/>
            <w:noWrap w:val="0"/>
            <w:tcMar>
              <w:left w:w="28" w:type="dxa"/>
              <w:right w:w="28" w:type="dxa"/>
            </w:tcMar>
            <w:vAlign w:val="center"/>
          </w:tcPr>
          <w:p w14:paraId="6F62D2AA">
            <w:pPr>
              <w:snapToGrid w:val="0"/>
              <w:spacing w:line="240" w:lineRule="exact"/>
              <w:jc w:val="left"/>
              <w:rPr>
                <w:rFonts w:ascii="Times New Roman" w:hAnsi="Times New Roman"/>
                <w:szCs w:val="21"/>
              </w:rPr>
            </w:pPr>
            <w:r>
              <w:rPr>
                <w:rFonts w:hint="eastAsia" w:ascii="Times New Roman" w:hAnsi="Times New Roman"/>
                <w:szCs w:val="21"/>
              </w:rPr>
              <w:t>无</w:t>
            </w:r>
            <w:r>
              <w:rPr>
                <w:rFonts w:ascii="Times New Roman" w:hAnsi="Times New Roman"/>
                <w:szCs w:val="21"/>
              </w:rPr>
              <w:t>培训效果评估记录</w:t>
            </w:r>
          </w:p>
        </w:tc>
        <w:tc>
          <w:tcPr>
            <w:tcW w:w="2410" w:type="dxa"/>
            <w:noWrap w:val="0"/>
            <w:tcMar>
              <w:left w:w="28" w:type="dxa"/>
              <w:right w:w="28" w:type="dxa"/>
            </w:tcMar>
            <w:vAlign w:val="center"/>
          </w:tcPr>
          <w:p w14:paraId="260D1B6F">
            <w:pPr>
              <w:snapToGrid w:val="0"/>
              <w:jc w:val="left"/>
              <w:rPr>
                <w:rFonts w:hint="eastAsia" w:ascii="Times New Roman" w:hAnsi="Times New Roman"/>
                <w:szCs w:val="21"/>
              </w:rPr>
            </w:pPr>
            <w:r>
              <w:rPr>
                <w:rFonts w:ascii="Times New Roman" w:hAnsi="Times New Roman"/>
                <w:szCs w:val="21"/>
              </w:rPr>
              <w:t>开展培训效果评估</w:t>
            </w:r>
          </w:p>
        </w:tc>
        <w:tc>
          <w:tcPr>
            <w:tcW w:w="1417" w:type="dxa"/>
            <w:noWrap w:val="0"/>
            <w:tcMar>
              <w:left w:w="28" w:type="dxa"/>
              <w:right w:w="28" w:type="dxa"/>
            </w:tcMar>
            <w:vAlign w:val="center"/>
          </w:tcPr>
          <w:p w14:paraId="490A5150">
            <w:pPr>
              <w:snapToGrid w:val="0"/>
              <w:jc w:val="center"/>
              <w:rPr>
                <w:rFonts w:hint="eastAsia" w:ascii="Times New Roman" w:hAnsi="Times New Roman" w:eastAsiaTheme="minorEastAsia"/>
                <w:szCs w:val="21"/>
                <w:lang w:eastAsia="zh-CN"/>
              </w:rPr>
            </w:pPr>
            <w:r>
              <w:rPr>
                <w:rFonts w:hint="eastAsia" w:ascii="Times New Roman" w:hAnsi="Times New Roman"/>
                <w:szCs w:val="21"/>
                <w:lang w:val="en-US" w:eastAsia="zh-CN"/>
              </w:rPr>
              <w:t>EHS</w:t>
            </w:r>
            <w:r>
              <w:rPr>
                <w:rFonts w:hint="eastAsia" w:ascii="Times New Roman" w:hAnsi="Times New Roman"/>
                <w:szCs w:val="21"/>
                <w:lang w:eastAsia="zh-CN"/>
              </w:rPr>
              <w:t>部</w:t>
            </w:r>
          </w:p>
        </w:tc>
        <w:tc>
          <w:tcPr>
            <w:tcW w:w="1134" w:type="dxa"/>
            <w:noWrap w:val="0"/>
            <w:tcMar>
              <w:left w:w="28" w:type="dxa"/>
              <w:right w:w="28" w:type="dxa"/>
            </w:tcMar>
            <w:vAlign w:val="center"/>
          </w:tcPr>
          <w:p w14:paraId="129D6E8C">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48399D48">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3893B65">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42CC9ED4">
            <w:pPr>
              <w:snapToGrid w:val="0"/>
              <w:jc w:val="center"/>
              <w:rPr>
                <w:rFonts w:ascii="Times New Roman" w:hAnsi="Times New Roman"/>
                <w:szCs w:val="21"/>
              </w:rPr>
            </w:pPr>
            <w:r>
              <w:rPr>
                <w:rFonts w:ascii="Times New Roman" w:hAnsi="Times New Roman"/>
                <w:szCs w:val="21"/>
              </w:rPr>
              <w:t>-</w:t>
            </w:r>
          </w:p>
        </w:tc>
      </w:tr>
      <w:tr w14:paraId="5D7F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72F70E07">
            <w:pPr>
              <w:snapToGrid w:val="0"/>
              <w:jc w:val="center"/>
              <w:rPr>
                <w:rFonts w:ascii="Times New Roman" w:hAnsi="Times New Roman"/>
                <w:szCs w:val="21"/>
              </w:rPr>
            </w:pPr>
            <w:r>
              <w:rPr>
                <w:rFonts w:ascii="Times New Roman" w:hAnsi="Times New Roman"/>
                <w:szCs w:val="21"/>
              </w:rPr>
              <w:t>9</w:t>
            </w:r>
          </w:p>
        </w:tc>
        <w:tc>
          <w:tcPr>
            <w:tcW w:w="1513" w:type="dxa"/>
            <w:vMerge w:val="continue"/>
            <w:noWrap w:val="0"/>
            <w:tcMar>
              <w:left w:w="28" w:type="dxa"/>
              <w:right w:w="28" w:type="dxa"/>
            </w:tcMar>
            <w:vAlign w:val="center"/>
          </w:tcPr>
          <w:p w14:paraId="2E708149">
            <w:pPr>
              <w:snapToGrid w:val="0"/>
              <w:jc w:val="left"/>
              <w:rPr>
                <w:rFonts w:ascii="Times New Roman" w:hAnsi="Times New Roman"/>
                <w:szCs w:val="21"/>
              </w:rPr>
            </w:pPr>
          </w:p>
        </w:tc>
        <w:tc>
          <w:tcPr>
            <w:tcW w:w="850" w:type="dxa"/>
            <w:noWrap w:val="0"/>
            <w:tcMar>
              <w:left w:w="28" w:type="dxa"/>
              <w:right w:w="28" w:type="dxa"/>
            </w:tcMar>
            <w:vAlign w:val="center"/>
          </w:tcPr>
          <w:p w14:paraId="283ED4FE">
            <w:pPr>
              <w:snapToGrid w:val="0"/>
              <w:jc w:val="center"/>
              <w:rPr>
                <w:rFonts w:ascii="Times New Roman" w:hAnsi="Times New Roman"/>
                <w:szCs w:val="21"/>
              </w:rPr>
            </w:pPr>
            <w:r>
              <w:rPr>
                <w:rFonts w:ascii="Times New Roman" w:hAnsi="Times New Roman"/>
                <w:szCs w:val="21"/>
              </w:rPr>
              <w:t>5.5</w:t>
            </w:r>
          </w:p>
        </w:tc>
        <w:tc>
          <w:tcPr>
            <w:tcW w:w="3544" w:type="dxa"/>
            <w:noWrap w:val="0"/>
            <w:tcMar>
              <w:left w:w="28" w:type="dxa"/>
              <w:right w:w="28" w:type="dxa"/>
            </w:tcMar>
            <w:vAlign w:val="center"/>
          </w:tcPr>
          <w:p w14:paraId="0253625E">
            <w:pPr>
              <w:tabs>
                <w:tab w:val="left" w:pos="531"/>
              </w:tabs>
              <w:snapToGrid w:val="0"/>
              <w:jc w:val="left"/>
              <w:rPr>
                <w:rFonts w:ascii="Times New Roman" w:hAnsi="Times New Roman"/>
                <w:szCs w:val="21"/>
              </w:rPr>
            </w:pPr>
            <w:r>
              <w:rPr>
                <w:rFonts w:hint="eastAsia" w:ascii="Times New Roman" w:hAnsi="Times New Roman"/>
                <w:szCs w:val="21"/>
              </w:rPr>
              <w:t>无转岗员工安全培训记录</w:t>
            </w:r>
          </w:p>
        </w:tc>
        <w:tc>
          <w:tcPr>
            <w:tcW w:w="2410" w:type="dxa"/>
            <w:noWrap w:val="0"/>
            <w:tcMar>
              <w:left w:w="28" w:type="dxa"/>
              <w:right w:w="28" w:type="dxa"/>
            </w:tcMar>
            <w:vAlign w:val="center"/>
          </w:tcPr>
          <w:p w14:paraId="263AFFC7">
            <w:pPr>
              <w:snapToGrid w:val="0"/>
              <w:jc w:val="left"/>
              <w:rPr>
                <w:rFonts w:hint="eastAsia" w:ascii="Times New Roman" w:hAnsi="Times New Roman"/>
                <w:szCs w:val="21"/>
              </w:rPr>
            </w:pPr>
            <w:r>
              <w:rPr>
                <w:rFonts w:ascii="Times New Roman" w:hAnsi="Times New Roman"/>
                <w:szCs w:val="21"/>
              </w:rPr>
              <w:t>按要求予以培训，留存记录</w:t>
            </w:r>
          </w:p>
        </w:tc>
        <w:tc>
          <w:tcPr>
            <w:tcW w:w="1417" w:type="dxa"/>
            <w:noWrap w:val="0"/>
            <w:tcMar>
              <w:left w:w="28" w:type="dxa"/>
              <w:right w:w="28" w:type="dxa"/>
            </w:tcMar>
            <w:vAlign w:val="center"/>
          </w:tcPr>
          <w:p w14:paraId="3871FB16">
            <w:pPr>
              <w:snapToGrid w:val="0"/>
              <w:jc w:val="center"/>
              <w:rPr>
                <w:rFonts w:hint="eastAsia" w:ascii="Times New Roman" w:hAnsi="Times New Roman" w:eastAsiaTheme="minorEastAsia"/>
                <w:szCs w:val="21"/>
                <w:lang w:eastAsia="zh-CN"/>
              </w:rPr>
            </w:pPr>
            <w:r>
              <w:rPr>
                <w:rFonts w:hint="eastAsia" w:ascii="Times New Roman" w:hAnsi="Times New Roman"/>
                <w:szCs w:val="21"/>
                <w:lang w:val="en-US" w:eastAsia="zh-CN"/>
              </w:rPr>
              <w:t>EHS</w:t>
            </w:r>
            <w:r>
              <w:rPr>
                <w:rFonts w:hint="eastAsia" w:ascii="Times New Roman" w:hAnsi="Times New Roman"/>
                <w:szCs w:val="21"/>
                <w:lang w:eastAsia="zh-CN"/>
              </w:rPr>
              <w:t>部</w:t>
            </w:r>
          </w:p>
        </w:tc>
        <w:tc>
          <w:tcPr>
            <w:tcW w:w="1134" w:type="dxa"/>
            <w:noWrap w:val="0"/>
            <w:tcMar>
              <w:left w:w="28" w:type="dxa"/>
              <w:right w:w="28" w:type="dxa"/>
            </w:tcMar>
            <w:vAlign w:val="center"/>
          </w:tcPr>
          <w:p w14:paraId="412D53CC">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22D55035">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411CBCCB">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75C5DDC6">
            <w:pPr>
              <w:snapToGrid w:val="0"/>
              <w:jc w:val="center"/>
              <w:rPr>
                <w:rFonts w:ascii="Times New Roman" w:hAnsi="Times New Roman"/>
                <w:szCs w:val="21"/>
              </w:rPr>
            </w:pPr>
            <w:r>
              <w:rPr>
                <w:rFonts w:ascii="Times New Roman" w:hAnsi="Times New Roman"/>
                <w:szCs w:val="21"/>
              </w:rPr>
              <w:t>-</w:t>
            </w:r>
          </w:p>
        </w:tc>
      </w:tr>
      <w:tr w14:paraId="0494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126046CE">
            <w:pPr>
              <w:snapToGrid w:val="0"/>
              <w:jc w:val="center"/>
              <w:rPr>
                <w:rFonts w:ascii="Times New Roman" w:hAnsi="Times New Roman"/>
                <w:szCs w:val="21"/>
              </w:rPr>
            </w:pPr>
            <w:r>
              <w:rPr>
                <w:rFonts w:ascii="Times New Roman" w:hAnsi="Times New Roman"/>
                <w:szCs w:val="21"/>
              </w:rPr>
              <w:t>10</w:t>
            </w:r>
          </w:p>
        </w:tc>
        <w:tc>
          <w:tcPr>
            <w:tcW w:w="1513" w:type="dxa"/>
            <w:vMerge w:val="continue"/>
            <w:noWrap w:val="0"/>
            <w:tcMar>
              <w:left w:w="28" w:type="dxa"/>
              <w:right w:w="28" w:type="dxa"/>
            </w:tcMar>
            <w:vAlign w:val="center"/>
          </w:tcPr>
          <w:p w14:paraId="5118150D">
            <w:pPr>
              <w:snapToGrid w:val="0"/>
              <w:jc w:val="left"/>
              <w:rPr>
                <w:rFonts w:ascii="Times New Roman" w:hAnsi="Times New Roman"/>
                <w:szCs w:val="21"/>
              </w:rPr>
            </w:pPr>
          </w:p>
        </w:tc>
        <w:tc>
          <w:tcPr>
            <w:tcW w:w="850" w:type="dxa"/>
            <w:noWrap w:val="0"/>
            <w:tcMar>
              <w:left w:w="28" w:type="dxa"/>
              <w:right w:w="28" w:type="dxa"/>
            </w:tcMar>
            <w:vAlign w:val="center"/>
          </w:tcPr>
          <w:p w14:paraId="705850A6">
            <w:pPr>
              <w:snapToGrid w:val="0"/>
              <w:jc w:val="center"/>
              <w:rPr>
                <w:rFonts w:ascii="Times New Roman" w:hAnsi="Times New Roman"/>
                <w:szCs w:val="21"/>
              </w:rPr>
            </w:pPr>
            <w:r>
              <w:rPr>
                <w:rFonts w:ascii="Times New Roman" w:hAnsi="Times New Roman"/>
                <w:szCs w:val="21"/>
              </w:rPr>
              <w:t>5.6</w:t>
            </w:r>
          </w:p>
        </w:tc>
        <w:tc>
          <w:tcPr>
            <w:tcW w:w="3544" w:type="dxa"/>
            <w:noWrap w:val="0"/>
            <w:tcMar>
              <w:left w:w="28" w:type="dxa"/>
              <w:right w:w="28" w:type="dxa"/>
            </w:tcMar>
            <w:vAlign w:val="center"/>
          </w:tcPr>
          <w:p w14:paraId="33EAA111">
            <w:pPr>
              <w:snapToGrid w:val="0"/>
              <w:jc w:val="left"/>
              <w:rPr>
                <w:rFonts w:ascii="Times New Roman" w:hAnsi="Times New Roman"/>
                <w:szCs w:val="21"/>
              </w:rPr>
            </w:pPr>
            <w:r>
              <w:rPr>
                <w:rFonts w:ascii="Times New Roman" w:hAnsi="Times New Roman"/>
                <w:szCs w:val="21"/>
              </w:rPr>
              <w:t>部分班组安全活动记录填写不规范，频次不符合</w:t>
            </w:r>
          </w:p>
        </w:tc>
        <w:tc>
          <w:tcPr>
            <w:tcW w:w="2410" w:type="dxa"/>
            <w:noWrap w:val="0"/>
            <w:tcMar>
              <w:left w:w="28" w:type="dxa"/>
              <w:right w:w="28" w:type="dxa"/>
            </w:tcMar>
            <w:vAlign w:val="center"/>
          </w:tcPr>
          <w:p w14:paraId="71CA2DDE">
            <w:pPr>
              <w:snapToGrid w:val="0"/>
              <w:jc w:val="left"/>
              <w:rPr>
                <w:rFonts w:ascii="Times New Roman" w:hAnsi="Times New Roman"/>
                <w:szCs w:val="21"/>
              </w:rPr>
            </w:pPr>
            <w:r>
              <w:rPr>
                <w:rFonts w:ascii="Times New Roman" w:hAnsi="Times New Roman"/>
                <w:szCs w:val="21"/>
              </w:rPr>
              <w:t>按要求落实班组安全活动，并记录</w:t>
            </w:r>
          </w:p>
        </w:tc>
        <w:tc>
          <w:tcPr>
            <w:tcW w:w="1417" w:type="dxa"/>
            <w:noWrap w:val="0"/>
            <w:tcMar>
              <w:left w:w="28" w:type="dxa"/>
              <w:right w:w="28" w:type="dxa"/>
            </w:tcMar>
            <w:vAlign w:val="center"/>
          </w:tcPr>
          <w:p w14:paraId="0ADBC89E">
            <w:pPr>
              <w:snapToGrid w:val="0"/>
              <w:jc w:val="center"/>
              <w:rPr>
                <w:rFonts w:ascii="Times New Roman" w:hAnsi="Times New Roman"/>
                <w:szCs w:val="21"/>
              </w:rPr>
            </w:pPr>
            <w:r>
              <w:rPr>
                <w:rFonts w:hint="eastAsia" w:ascii="Times New Roman" w:hAnsi="Times New Roman"/>
                <w:szCs w:val="21"/>
              </w:rPr>
              <w:t>生产部</w:t>
            </w:r>
          </w:p>
        </w:tc>
        <w:tc>
          <w:tcPr>
            <w:tcW w:w="1134" w:type="dxa"/>
            <w:noWrap w:val="0"/>
            <w:tcMar>
              <w:left w:w="28" w:type="dxa"/>
              <w:right w:w="28" w:type="dxa"/>
            </w:tcMar>
            <w:vAlign w:val="center"/>
          </w:tcPr>
          <w:p w14:paraId="242CD783">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0A423185">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113CB193">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39776BBB">
            <w:pPr>
              <w:snapToGrid w:val="0"/>
              <w:jc w:val="center"/>
              <w:rPr>
                <w:rFonts w:ascii="Times New Roman" w:hAnsi="Times New Roman"/>
                <w:szCs w:val="21"/>
              </w:rPr>
            </w:pPr>
            <w:r>
              <w:rPr>
                <w:rFonts w:ascii="Times New Roman" w:hAnsi="Times New Roman"/>
                <w:szCs w:val="21"/>
              </w:rPr>
              <w:t>-</w:t>
            </w:r>
          </w:p>
        </w:tc>
      </w:tr>
      <w:tr w14:paraId="3204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5345A26E">
            <w:pPr>
              <w:snapToGrid w:val="0"/>
              <w:jc w:val="center"/>
              <w:rPr>
                <w:rFonts w:ascii="Times New Roman" w:hAnsi="Times New Roman"/>
                <w:szCs w:val="21"/>
              </w:rPr>
            </w:pPr>
            <w:r>
              <w:rPr>
                <w:rFonts w:ascii="Times New Roman" w:hAnsi="Times New Roman"/>
                <w:szCs w:val="21"/>
              </w:rPr>
              <w:t>11</w:t>
            </w:r>
          </w:p>
        </w:tc>
        <w:tc>
          <w:tcPr>
            <w:tcW w:w="1513" w:type="dxa"/>
            <w:vMerge w:val="restart"/>
            <w:noWrap w:val="0"/>
            <w:tcMar>
              <w:left w:w="28" w:type="dxa"/>
              <w:right w:w="28" w:type="dxa"/>
            </w:tcMar>
            <w:vAlign w:val="center"/>
          </w:tcPr>
          <w:p w14:paraId="2ECE16CE">
            <w:pPr>
              <w:snapToGrid w:val="0"/>
              <w:jc w:val="left"/>
              <w:rPr>
                <w:rFonts w:ascii="Times New Roman" w:hAnsi="Times New Roman"/>
                <w:szCs w:val="21"/>
              </w:rPr>
            </w:pPr>
            <w:r>
              <w:rPr>
                <w:rFonts w:ascii="Times New Roman" w:hAnsi="Times New Roman"/>
                <w:bCs/>
                <w:szCs w:val="21"/>
              </w:rPr>
              <w:t>6</w:t>
            </w:r>
            <w:r>
              <w:rPr>
                <w:rFonts w:ascii="Times New Roman" w:hAnsi="Times New Roman"/>
                <w:szCs w:val="21"/>
                <w:lang w:val="zh-CN"/>
              </w:rPr>
              <w:t>生产设施及工艺安全</w:t>
            </w:r>
          </w:p>
        </w:tc>
        <w:tc>
          <w:tcPr>
            <w:tcW w:w="850" w:type="dxa"/>
            <w:vMerge w:val="restart"/>
            <w:noWrap w:val="0"/>
            <w:tcMar>
              <w:left w:w="28" w:type="dxa"/>
              <w:right w:w="28" w:type="dxa"/>
            </w:tcMar>
            <w:vAlign w:val="center"/>
          </w:tcPr>
          <w:p w14:paraId="58FA9ACE">
            <w:pPr>
              <w:snapToGrid w:val="0"/>
              <w:jc w:val="center"/>
              <w:rPr>
                <w:rFonts w:ascii="Times New Roman" w:hAnsi="Times New Roman"/>
                <w:bCs/>
                <w:szCs w:val="21"/>
              </w:rPr>
            </w:pPr>
            <w:r>
              <w:rPr>
                <w:rFonts w:ascii="Times New Roman" w:hAnsi="Times New Roman"/>
                <w:kern w:val="0"/>
                <w:szCs w:val="21"/>
                <w:lang w:val="zh-CN"/>
              </w:rPr>
              <w:t>6.2</w:t>
            </w:r>
          </w:p>
        </w:tc>
        <w:tc>
          <w:tcPr>
            <w:tcW w:w="3544" w:type="dxa"/>
            <w:noWrap w:val="0"/>
            <w:tcMar>
              <w:left w:w="28" w:type="dxa"/>
              <w:right w:w="28" w:type="dxa"/>
            </w:tcMar>
            <w:vAlign w:val="center"/>
          </w:tcPr>
          <w:p w14:paraId="7D1D299F">
            <w:pPr>
              <w:tabs>
                <w:tab w:val="left" w:pos="372"/>
                <w:tab w:val="left" w:pos="3976"/>
              </w:tabs>
              <w:autoSpaceDE w:val="0"/>
              <w:autoSpaceDN w:val="0"/>
              <w:adjustRightInd w:val="0"/>
              <w:snapToGrid w:val="0"/>
              <w:spacing w:line="240" w:lineRule="exact"/>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变更管理无风险分析</w:t>
            </w:r>
          </w:p>
        </w:tc>
        <w:tc>
          <w:tcPr>
            <w:tcW w:w="2410" w:type="dxa"/>
            <w:noWrap w:val="0"/>
            <w:tcMar>
              <w:left w:w="28" w:type="dxa"/>
              <w:right w:w="28" w:type="dxa"/>
            </w:tcMar>
            <w:vAlign w:val="center"/>
          </w:tcPr>
          <w:p w14:paraId="504692B7">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开展变更管理风险分析</w:t>
            </w:r>
          </w:p>
        </w:tc>
        <w:tc>
          <w:tcPr>
            <w:tcW w:w="1417" w:type="dxa"/>
            <w:noWrap w:val="0"/>
            <w:tcMar>
              <w:left w:w="28" w:type="dxa"/>
              <w:right w:w="28" w:type="dxa"/>
            </w:tcMar>
            <w:vAlign w:val="center"/>
          </w:tcPr>
          <w:p w14:paraId="0795111E">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生产技术部</w:t>
            </w:r>
          </w:p>
        </w:tc>
        <w:tc>
          <w:tcPr>
            <w:tcW w:w="1134" w:type="dxa"/>
            <w:noWrap w:val="0"/>
            <w:tcMar>
              <w:left w:w="28" w:type="dxa"/>
              <w:right w:w="28" w:type="dxa"/>
            </w:tcMar>
            <w:vAlign w:val="center"/>
          </w:tcPr>
          <w:p w14:paraId="6C2FB2AB">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1E070F02">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2B60B27D">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72F537C9">
            <w:pPr>
              <w:snapToGrid w:val="0"/>
              <w:jc w:val="center"/>
              <w:rPr>
                <w:rFonts w:hint="eastAsia" w:ascii="Times New Roman" w:hAnsi="Times New Roman"/>
                <w:szCs w:val="21"/>
              </w:rPr>
            </w:pPr>
            <w:r>
              <w:rPr>
                <w:rFonts w:hint="eastAsia" w:ascii="Times New Roman" w:hAnsi="Times New Roman"/>
                <w:szCs w:val="21"/>
              </w:rPr>
              <w:t>加强</w:t>
            </w:r>
            <w:r>
              <w:rPr>
                <w:rFonts w:ascii="Times New Roman" w:hAnsi="Times New Roman"/>
                <w:szCs w:val="21"/>
              </w:rPr>
              <w:t>巡查</w:t>
            </w:r>
          </w:p>
        </w:tc>
      </w:tr>
      <w:tr w14:paraId="3106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10921374">
            <w:pPr>
              <w:snapToGrid w:val="0"/>
              <w:jc w:val="center"/>
              <w:rPr>
                <w:rFonts w:ascii="Times New Roman" w:hAnsi="Times New Roman"/>
                <w:szCs w:val="21"/>
              </w:rPr>
            </w:pPr>
            <w:r>
              <w:rPr>
                <w:rFonts w:ascii="Times New Roman" w:hAnsi="Times New Roman"/>
                <w:szCs w:val="21"/>
              </w:rPr>
              <w:t>12</w:t>
            </w:r>
          </w:p>
        </w:tc>
        <w:tc>
          <w:tcPr>
            <w:tcW w:w="1513" w:type="dxa"/>
            <w:vMerge w:val="continue"/>
            <w:noWrap w:val="0"/>
            <w:tcMar>
              <w:left w:w="28" w:type="dxa"/>
              <w:right w:w="28" w:type="dxa"/>
            </w:tcMar>
            <w:vAlign w:val="center"/>
          </w:tcPr>
          <w:p w14:paraId="40DFF4BA">
            <w:pPr>
              <w:snapToGrid w:val="0"/>
              <w:jc w:val="left"/>
              <w:rPr>
                <w:rFonts w:ascii="Times New Roman" w:hAnsi="Times New Roman"/>
                <w:szCs w:val="21"/>
              </w:rPr>
            </w:pPr>
          </w:p>
        </w:tc>
        <w:tc>
          <w:tcPr>
            <w:tcW w:w="850" w:type="dxa"/>
            <w:vMerge w:val="continue"/>
            <w:noWrap w:val="0"/>
            <w:tcMar>
              <w:left w:w="28" w:type="dxa"/>
              <w:right w:w="28" w:type="dxa"/>
            </w:tcMar>
            <w:vAlign w:val="center"/>
          </w:tcPr>
          <w:p w14:paraId="11245AA5">
            <w:pPr>
              <w:snapToGrid w:val="0"/>
              <w:jc w:val="center"/>
              <w:rPr>
                <w:rFonts w:ascii="Times New Roman" w:hAnsi="Times New Roman"/>
                <w:kern w:val="0"/>
                <w:szCs w:val="21"/>
                <w:lang w:val="zh-CN"/>
              </w:rPr>
            </w:pPr>
          </w:p>
        </w:tc>
        <w:tc>
          <w:tcPr>
            <w:tcW w:w="3544" w:type="dxa"/>
            <w:noWrap w:val="0"/>
            <w:tcMar>
              <w:left w:w="28" w:type="dxa"/>
              <w:right w:w="28" w:type="dxa"/>
            </w:tcMar>
            <w:vAlign w:val="center"/>
          </w:tcPr>
          <w:p w14:paraId="04001ADD">
            <w:pPr>
              <w:autoSpaceDE w:val="0"/>
              <w:autoSpaceDN w:val="0"/>
              <w:adjustRightInd w:val="0"/>
              <w:snapToGrid w:val="0"/>
              <w:jc w:val="left"/>
              <w:rPr>
                <w:rFonts w:hint="default" w:ascii="Times New Roman" w:hAnsi="Times New Roman" w:eastAsiaTheme="minorEastAsia"/>
                <w:kern w:val="0"/>
                <w:szCs w:val="21"/>
                <w:lang w:val="en-US" w:eastAsia="zh-CN"/>
              </w:rPr>
            </w:pPr>
            <w:r>
              <w:rPr>
                <w:rFonts w:hint="eastAsia" w:ascii="Times New Roman" w:hAnsi="Times New Roman"/>
                <w:kern w:val="0"/>
                <w:szCs w:val="21"/>
                <w:lang w:val="en-US" w:eastAsia="zh-CN"/>
              </w:rPr>
              <w:t>现场临时管线机吨桶过多</w:t>
            </w:r>
          </w:p>
        </w:tc>
        <w:tc>
          <w:tcPr>
            <w:tcW w:w="2410" w:type="dxa"/>
            <w:noWrap w:val="0"/>
            <w:tcMar>
              <w:left w:w="28" w:type="dxa"/>
              <w:right w:w="28" w:type="dxa"/>
            </w:tcMar>
            <w:vAlign w:val="center"/>
          </w:tcPr>
          <w:p w14:paraId="104544F0">
            <w:pPr>
              <w:snapToGrid w:val="0"/>
              <w:jc w:val="left"/>
              <w:rPr>
                <w:rFonts w:ascii="Times New Roman" w:hAnsi="Times New Roman"/>
                <w:szCs w:val="21"/>
              </w:rPr>
            </w:pPr>
            <w:r>
              <w:rPr>
                <w:rFonts w:ascii="Times New Roman" w:hAnsi="Times New Roman"/>
                <w:szCs w:val="21"/>
              </w:rPr>
              <w:t>整改</w:t>
            </w:r>
          </w:p>
        </w:tc>
        <w:tc>
          <w:tcPr>
            <w:tcW w:w="1417" w:type="dxa"/>
            <w:noWrap w:val="0"/>
            <w:tcMar>
              <w:left w:w="28" w:type="dxa"/>
              <w:right w:w="28" w:type="dxa"/>
            </w:tcMar>
            <w:vAlign w:val="center"/>
          </w:tcPr>
          <w:p w14:paraId="67499A66">
            <w:pPr>
              <w:snapToGrid w:val="0"/>
              <w:jc w:val="center"/>
              <w:rPr>
                <w:rFonts w:ascii="Times New Roman" w:hAnsi="Times New Roman"/>
                <w:szCs w:val="21"/>
              </w:rPr>
            </w:pPr>
            <w:r>
              <w:rPr>
                <w:rFonts w:hint="eastAsia" w:ascii="Times New Roman" w:hAnsi="Times New Roman"/>
                <w:szCs w:val="21"/>
                <w:lang w:val="en-US" w:eastAsia="zh-CN"/>
              </w:rPr>
              <w:t>生产技术</w:t>
            </w:r>
            <w:r>
              <w:rPr>
                <w:rFonts w:hint="eastAsia" w:ascii="Times New Roman" w:hAnsi="Times New Roman"/>
                <w:szCs w:val="21"/>
              </w:rPr>
              <w:t>部</w:t>
            </w:r>
          </w:p>
        </w:tc>
        <w:tc>
          <w:tcPr>
            <w:tcW w:w="1134" w:type="dxa"/>
            <w:noWrap w:val="0"/>
            <w:tcMar>
              <w:left w:w="28" w:type="dxa"/>
              <w:right w:w="28" w:type="dxa"/>
            </w:tcMar>
            <w:vAlign w:val="center"/>
          </w:tcPr>
          <w:p w14:paraId="53096CBF">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2F9AB13F">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6CC511F8">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7DA55959">
            <w:pPr>
              <w:snapToGrid w:val="0"/>
              <w:jc w:val="center"/>
              <w:rPr>
                <w:rFonts w:ascii="Times New Roman" w:hAnsi="Times New Roman"/>
                <w:szCs w:val="21"/>
              </w:rPr>
            </w:pPr>
            <w:r>
              <w:rPr>
                <w:rFonts w:ascii="Times New Roman" w:hAnsi="Times New Roman"/>
                <w:szCs w:val="21"/>
              </w:rPr>
              <w:t>-</w:t>
            </w:r>
          </w:p>
        </w:tc>
      </w:tr>
      <w:tr w14:paraId="5BA1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52FB5B88">
            <w:pPr>
              <w:snapToGrid w:val="0"/>
              <w:jc w:val="center"/>
              <w:rPr>
                <w:rFonts w:ascii="Times New Roman" w:hAnsi="Times New Roman"/>
                <w:szCs w:val="21"/>
              </w:rPr>
            </w:pPr>
            <w:r>
              <w:rPr>
                <w:rFonts w:ascii="Times New Roman" w:hAnsi="Times New Roman"/>
                <w:szCs w:val="21"/>
              </w:rPr>
              <w:t>13</w:t>
            </w:r>
          </w:p>
        </w:tc>
        <w:tc>
          <w:tcPr>
            <w:tcW w:w="1513" w:type="dxa"/>
            <w:vMerge w:val="continue"/>
            <w:noWrap w:val="0"/>
            <w:tcMar>
              <w:left w:w="28" w:type="dxa"/>
              <w:right w:w="28" w:type="dxa"/>
            </w:tcMar>
            <w:vAlign w:val="center"/>
          </w:tcPr>
          <w:p w14:paraId="1C347F57">
            <w:pPr>
              <w:snapToGrid w:val="0"/>
              <w:jc w:val="left"/>
              <w:rPr>
                <w:rFonts w:ascii="Times New Roman" w:hAnsi="Times New Roman"/>
                <w:szCs w:val="21"/>
              </w:rPr>
            </w:pPr>
          </w:p>
        </w:tc>
        <w:tc>
          <w:tcPr>
            <w:tcW w:w="850" w:type="dxa"/>
            <w:noWrap w:val="0"/>
            <w:tcMar>
              <w:left w:w="28" w:type="dxa"/>
              <w:right w:w="28" w:type="dxa"/>
            </w:tcMar>
            <w:vAlign w:val="center"/>
          </w:tcPr>
          <w:p w14:paraId="3E024F1A">
            <w:pPr>
              <w:snapToGrid w:val="0"/>
              <w:spacing w:line="240" w:lineRule="exact"/>
              <w:jc w:val="center"/>
              <w:rPr>
                <w:rFonts w:ascii="Times New Roman" w:hAnsi="Times New Roman"/>
                <w:szCs w:val="21"/>
              </w:rPr>
            </w:pPr>
            <w:r>
              <w:rPr>
                <w:rFonts w:ascii="Times New Roman" w:hAnsi="Times New Roman"/>
                <w:kern w:val="0"/>
                <w:szCs w:val="21"/>
                <w:lang w:val="zh-CN"/>
              </w:rPr>
              <w:t>6.4</w:t>
            </w:r>
          </w:p>
        </w:tc>
        <w:tc>
          <w:tcPr>
            <w:tcW w:w="3544" w:type="dxa"/>
            <w:noWrap w:val="0"/>
            <w:tcMar>
              <w:left w:w="28" w:type="dxa"/>
              <w:right w:w="28" w:type="dxa"/>
            </w:tcMar>
            <w:vAlign w:val="center"/>
          </w:tcPr>
          <w:p w14:paraId="61AF2562">
            <w:pPr>
              <w:autoSpaceDE w:val="0"/>
              <w:autoSpaceDN w:val="0"/>
              <w:adjustRightInd w:val="0"/>
              <w:snapToGrid w:val="0"/>
              <w:jc w:val="left"/>
              <w:rPr>
                <w:rFonts w:hint="default" w:ascii="Times New Roman" w:hAnsi="Times New Roman" w:eastAsiaTheme="minorEastAsia"/>
                <w:szCs w:val="21"/>
                <w:lang w:val="en-US" w:eastAsia="zh-CN"/>
              </w:rPr>
            </w:pPr>
            <w:r>
              <w:rPr>
                <w:rFonts w:hint="eastAsia" w:ascii="Times New Roman" w:hAnsi="Times New Roman"/>
                <w:kern w:val="0"/>
                <w:szCs w:val="21"/>
                <w:lang w:val="en-US" w:eastAsia="zh-CN"/>
              </w:rPr>
              <w:t>公用工程湛使用盐酸区域无洗眼器</w:t>
            </w:r>
          </w:p>
        </w:tc>
        <w:tc>
          <w:tcPr>
            <w:tcW w:w="2410" w:type="dxa"/>
            <w:noWrap w:val="0"/>
            <w:tcMar>
              <w:left w:w="28" w:type="dxa"/>
              <w:right w:w="28" w:type="dxa"/>
            </w:tcMar>
            <w:vAlign w:val="center"/>
          </w:tcPr>
          <w:p w14:paraId="626AF640">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增加洗眼器</w:t>
            </w:r>
          </w:p>
        </w:tc>
        <w:tc>
          <w:tcPr>
            <w:tcW w:w="1417" w:type="dxa"/>
            <w:noWrap w:val="0"/>
            <w:tcMar>
              <w:left w:w="28" w:type="dxa"/>
              <w:right w:w="28" w:type="dxa"/>
            </w:tcMar>
            <w:vAlign w:val="center"/>
          </w:tcPr>
          <w:p w14:paraId="71EA783C">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生产技术部</w:t>
            </w:r>
          </w:p>
        </w:tc>
        <w:tc>
          <w:tcPr>
            <w:tcW w:w="1134" w:type="dxa"/>
            <w:noWrap w:val="0"/>
            <w:tcMar>
              <w:left w:w="28" w:type="dxa"/>
              <w:right w:w="28" w:type="dxa"/>
            </w:tcMar>
            <w:vAlign w:val="center"/>
          </w:tcPr>
          <w:p w14:paraId="2795FD05">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1ED650C2">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5BB1E313">
            <w:pPr>
              <w:snapToGrid w:val="0"/>
              <w:jc w:val="center"/>
              <w:rPr>
                <w:rFonts w:ascii="Times New Roman" w:hAnsi="Times New Roman"/>
                <w:bCs/>
                <w:szCs w:val="21"/>
              </w:rPr>
            </w:pPr>
            <w:r>
              <w:rPr>
                <w:rFonts w:ascii="Times New Roman" w:hAnsi="Times New Roman"/>
                <w:bCs/>
                <w:szCs w:val="21"/>
              </w:rPr>
              <w:t>2000</w:t>
            </w:r>
          </w:p>
        </w:tc>
        <w:tc>
          <w:tcPr>
            <w:tcW w:w="1147" w:type="dxa"/>
            <w:noWrap w:val="0"/>
            <w:tcMar>
              <w:left w:w="28" w:type="dxa"/>
              <w:right w:w="28" w:type="dxa"/>
            </w:tcMar>
            <w:vAlign w:val="center"/>
          </w:tcPr>
          <w:p w14:paraId="3FC64F9E">
            <w:pPr>
              <w:snapToGrid w:val="0"/>
              <w:jc w:val="center"/>
              <w:rPr>
                <w:rFonts w:hint="eastAsia" w:ascii="Times New Roman" w:hAnsi="Times New Roman"/>
                <w:szCs w:val="21"/>
              </w:rPr>
            </w:pPr>
            <w:r>
              <w:rPr>
                <w:rFonts w:ascii="Times New Roman" w:hAnsi="Times New Roman"/>
                <w:szCs w:val="21"/>
              </w:rPr>
              <w:t>加强巡检</w:t>
            </w:r>
          </w:p>
        </w:tc>
      </w:tr>
      <w:tr w14:paraId="678E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303A802B">
            <w:pPr>
              <w:snapToGrid w:val="0"/>
              <w:jc w:val="center"/>
              <w:rPr>
                <w:rFonts w:ascii="Times New Roman" w:hAnsi="Times New Roman"/>
                <w:szCs w:val="21"/>
              </w:rPr>
            </w:pPr>
            <w:r>
              <w:rPr>
                <w:rFonts w:ascii="Times New Roman" w:hAnsi="Times New Roman"/>
                <w:szCs w:val="21"/>
              </w:rPr>
              <w:t>14</w:t>
            </w:r>
          </w:p>
        </w:tc>
        <w:tc>
          <w:tcPr>
            <w:tcW w:w="1513" w:type="dxa"/>
            <w:noWrap w:val="0"/>
            <w:tcMar>
              <w:left w:w="28" w:type="dxa"/>
              <w:right w:w="28" w:type="dxa"/>
            </w:tcMar>
            <w:vAlign w:val="center"/>
          </w:tcPr>
          <w:p w14:paraId="1C47366E">
            <w:pPr>
              <w:snapToGrid w:val="0"/>
              <w:jc w:val="left"/>
              <w:rPr>
                <w:rFonts w:ascii="Times New Roman" w:hAnsi="Times New Roman"/>
                <w:szCs w:val="21"/>
              </w:rPr>
            </w:pPr>
          </w:p>
        </w:tc>
        <w:tc>
          <w:tcPr>
            <w:tcW w:w="850" w:type="dxa"/>
            <w:noWrap w:val="0"/>
            <w:tcMar>
              <w:left w:w="28" w:type="dxa"/>
              <w:right w:w="28" w:type="dxa"/>
            </w:tcMar>
            <w:vAlign w:val="center"/>
          </w:tcPr>
          <w:p w14:paraId="29A66055">
            <w:pPr>
              <w:snapToGrid w:val="0"/>
              <w:jc w:val="center"/>
              <w:rPr>
                <w:rFonts w:ascii="Times New Roman" w:hAnsi="Times New Roman"/>
                <w:szCs w:val="21"/>
              </w:rPr>
            </w:pPr>
            <w:r>
              <w:rPr>
                <w:rFonts w:ascii="Times New Roman" w:hAnsi="Times New Roman"/>
                <w:kern w:val="0"/>
                <w:szCs w:val="21"/>
                <w:lang w:val="zh-CN"/>
              </w:rPr>
              <w:t>6.5</w:t>
            </w:r>
          </w:p>
        </w:tc>
        <w:tc>
          <w:tcPr>
            <w:tcW w:w="3544" w:type="dxa"/>
            <w:noWrap w:val="0"/>
            <w:tcMar>
              <w:left w:w="28" w:type="dxa"/>
              <w:right w:w="28" w:type="dxa"/>
            </w:tcMar>
            <w:vAlign w:val="center"/>
          </w:tcPr>
          <w:p w14:paraId="0E4CBD40">
            <w:pPr>
              <w:snapToGrid w:val="0"/>
              <w:jc w:val="left"/>
              <w:rPr>
                <w:rFonts w:ascii="Times New Roman" w:hAnsi="Times New Roman"/>
                <w:szCs w:val="21"/>
              </w:rPr>
            </w:pPr>
            <w:r>
              <w:rPr>
                <w:rFonts w:ascii="Times New Roman" w:hAnsi="Times New Roman"/>
                <w:szCs w:val="21"/>
              </w:rPr>
              <w:t>关键装置重点部位清单不</w:t>
            </w:r>
            <w:r>
              <w:rPr>
                <w:rFonts w:hint="eastAsia" w:ascii="Times New Roman" w:hAnsi="Times New Roman"/>
                <w:szCs w:val="21"/>
              </w:rPr>
              <w:t>完善</w:t>
            </w:r>
          </w:p>
        </w:tc>
        <w:tc>
          <w:tcPr>
            <w:tcW w:w="2410" w:type="dxa"/>
            <w:noWrap w:val="0"/>
            <w:tcMar>
              <w:left w:w="28" w:type="dxa"/>
              <w:right w:w="28" w:type="dxa"/>
            </w:tcMar>
            <w:vAlign w:val="center"/>
          </w:tcPr>
          <w:p w14:paraId="61AF3FC1">
            <w:pPr>
              <w:snapToGrid w:val="0"/>
              <w:jc w:val="left"/>
              <w:rPr>
                <w:rFonts w:ascii="Times New Roman" w:hAnsi="Times New Roman"/>
                <w:szCs w:val="21"/>
              </w:rPr>
            </w:pPr>
            <w:r>
              <w:rPr>
                <w:rFonts w:ascii="Times New Roman" w:hAnsi="Times New Roman"/>
                <w:szCs w:val="21"/>
              </w:rPr>
              <w:t>完善清单</w:t>
            </w:r>
          </w:p>
        </w:tc>
        <w:tc>
          <w:tcPr>
            <w:tcW w:w="1417" w:type="dxa"/>
            <w:noWrap w:val="0"/>
            <w:tcMar>
              <w:left w:w="28" w:type="dxa"/>
              <w:right w:w="28" w:type="dxa"/>
            </w:tcMar>
            <w:vAlign w:val="center"/>
          </w:tcPr>
          <w:p w14:paraId="139D6F89">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520C4B6F">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4E8920DC">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603751A">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3621FACF">
            <w:pPr>
              <w:snapToGrid w:val="0"/>
              <w:jc w:val="center"/>
              <w:rPr>
                <w:rFonts w:ascii="Times New Roman" w:hAnsi="Times New Roman"/>
                <w:szCs w:val="21"/>
              </w:rPr>
            </w:pPr>
            <w:r>
              <w:rPr>
                <w:rFonts w:ascii="Times New Roman" w:hAnsi="Times New Roman"/>
                <w:szCs w:val="21"/>
              </w:rPr>
              <w:t>-</w:t>
            </w:r>
          </w:p>
        </w:tc>
      </w:tr>
      <w:tr w14:paraId="77AC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4C2765C5">
            <w:pPr>
              <w:snapToGrid w:val="0"/>
              <w:jc w:val="center"/>
              <w:rPr>
                <w:rFonts w:ascii="Times New Roman" w:hAnsi="Times New Roman"/>
                <w:szCs w:val="21"/>
              </w:rPr>
            </w:pPr>
            <w:r>
              <w:rPr>
                <w:rFonts w:ascii="Times New Roman" w:hAnsi="Times New Roman"/>
                <w:szCs w:val="21"/>
              </w:rPr>
              <w:t>15</w:t>
            </w:r>
          </w:p>
        </w:tc>
        <w:tc>
          <w:tcPr>
            <w:tcW w:w="1513" w:type="dxa"/>
            <w:vMerge w:val="restart"/>
            <w:noWrap w:val="0"/>
            <w:tcMar>
              <w:left w:w="28" w:type="dxa"/>
              <w:right w:w="28" w:type="dxa"/>
            </w:tcMar>
            <w:vAlign w:val="center"/>
          </w:tcPr>
          <w:p w14:paraId="110DA236">
            <w:pPr>
              <w:snapToGrid w:val="0"/>
              <w:jc w:val="left"/>
              <w:rPr>
                <w:rFonts w:ascii="Times New Roman" w:hAnsi="Times New Roman"/>
                <w:szCs w:val="21"/>
              </w:rPr>
            </w:pPr>
            <w:r>
              <w:rPr>
                <w:rFonts w:ascii="Times New Roman" w:hAnsi="Times New Roman"/>
                <w:szCs w:val="21"/>
              </w:rPr>
              <w:t>7 作业安全</w:t>
            </w:r>
          </w:p>
        </w:tc>
        <w:tc>
          <w:tcPr>
            <w:tcW w:w="850" w:type="dxa"/>
            <w:noWrap w:val="0"/>
            <w:tcMar>
              <w:left w:w="28" w:type="dxa"/>
              <w:right w:w="28" w:type="dxa"/>
            </w:tcMar>
            <w:vAlign w:val="center"/>
          </w:tcPr>
          <w:p w14:paraId="4F6506E4">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7.2</w:t>
            </w:r>
          </w:p>
        </w:tc>
        <w:tc>
          <w:tcPr>
            <w:tcW w:w="3544" w:type="dxa"/>
            <w:noWrap w:val="0"/>
            <w:tcMar>
              <w:left w:w="28" w:type="dxa"/>
              <w:right w:w="28" w:type="dxa"/>
            </w:tcMar>
            <w:vAlign w:val="center"/>
          </w:tcPr>
          <w:p w14:paraId="067015B4">
            <w:pPr>
              <w:snapToGrid w:val="0"/>
              <w:jc w:val="left"/>
              <w:rPr>
                <w:rStyle w:val="20"/>
                <w:rFonts w:hint="eastAsia" w:ascii="Times New Roman" w:hAnsi="Times New Roman" w:eastAsia="宋体"/>
                <w:sz w:val="21"/>
                <w:szCs w:val="21"/>
                <w:lang w:eastAsia="zh-CN"/>
              </w:rPr>
            </w:pPr>
            <w:r>
              <w:rPr>
                <w:rStyle w:val="20"/>
                <w:rFonts w:hint="eastAsia" w:ascii="Times New Roman" w:hAnsi="Times New Roman" w:eastAsia="宋体"/>
                <w:sz w:val="21"/>
                <w:szCs w:val="21"/>
                <w:lang w:val="en-US" w:eastAsia="zh-CN"/>
              </w:rPr>
              <w:t>2车间安全</w:t>
            </w:r>
            <w:r>
              <w:rPr>
                <w:rStyle w:val="20"/>
                <w:rFonts w:hint="default" w:ascii="Times New Roman" w:hAnsi="Times New Roman"/>
                <w:sz w:val="21"/>
                <w:szCs w:val="21"/>
              </w:rPr>
              <w:t>警示标识</w:t>
            </w:r>
            <w:r>
              <w:rPr>
                <w:rStyle w:val="20"/>
                <w:rFonts w:hint="eastAsia" w:ascii="Times New Roman" w:hAnsi="Times New Roman" w:eastAsia="宋体"/>
                <w:sz w:val="21"/>
                <w:szCs w:val="21"/>
                <w:lang w:val="en-US" w:eastAsia="zh-CN"/>
              </w:rPr>
              <w:t>不足</w:t>
            </w:r>
          </w:p>
        </w:tc>
        <w:tc>
          <w:tcPr>
            <w:tcW w:w="2410" w:type="dxa"/>
            <w:noWrap w:val="0"/>
            <w:tcMar>
              <w:left w:w="28" w:type="dxa"/>
              <w:right w:w="28" w:type="dxa"/>
            </w:tcMar>
            <w:vAlign w:val="center"/>
          </w:tcPr>
          <w:p w14:paraId="2F8C8A6D">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增加标识</w:t>
            </w:r>
          </w:p>
        </w:tc>
        <w:tc>
          <w:tcPr>
            <w:tcW w:w="1417" w:type="dxa"/>
            <w:noWrap w:val="0"/>
            <w:tcMar>
              <w:left w:w="28" w:type="dxa"/>
              <w:right w:w="28" w:type="dxa"/>
            </w:tcMar>
            <w:vAlign w:val="center"/>
          </w:tcPr>
          <w:p w14:paraId="59D31B8F">
            <w:pPr>
              <w:snapToGrid w:val="0"/>
              <w:jc w:val="center"/>
              <w:rPr>
                <w:rFonts w:ascii="Times New Roman" w:hAnsi="Times New Roman"/>
                <w:szCs w:val="21"/>
              </w:rPr>
            </w:pPr>
            <w:r>
              <w:rPr>
                <w:rFonts w:hint="eastAsia" w:ascii="Times New Roman" w:hAnsi="Times New Roman"/>
                <w:szCs w:val="21"/>
              </w:rPr>
              <w:t>生产</w:t>
            </w:r>
            <w:r>
              <w:rPr>
                <w:rFonts w:hint="eastAsia" w:ascii="Times New Roman" w:hAnsi="Times New Roman"/>
                <w:szCs w:val="21"/>
                <w:lang w:val="en-US" w:eastAsia="zh-CN"/>
              </w:rPr>
              <w:t>技术</w:t>
            </w:r>
            <w:r>
              <w:rPr>
                <w:rFonts w:hint="eastAsia" w:ascii="Times New Roman" w:hAnsi="Times New Roman"/>
                <w:szCs w:val="21"/>
              </w:rPr>
              <w:t>部</w:t>
            </w:r>
          </w:p>
        </w:tc>
        <w:tc>
          <w:tcPr>
            <w:tcW w:w="1134" w:type="dxa"/>
            <w:noWrap w:val="0"/>
            <w:tcMar>
              <w:left w:w="28" w:type="dxa"/>
              <w:right w:w="28" w:type="dxa"/>
            </w:tcMar>
            <w:vAlign w:val="center"/>
          </w:tcPr>
          <w:p w14:paraId="5FAE176B">
            <w:pPr>
              <w:snapToGrid w:val="0"/>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44DF6645">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6CEC9371">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744160D4">
            <w:pPr>
              <w:snapToGrid w:val="0"/>
              <w:jc w:val="center"/>
              <w:rPr>
                <w:rFonts w:ascii="Times New Roman" w:hAnsi="Times New Roman"/>
                <w:szCs w:val="21"/>
              </w:rPr>
            </w:pPr>
            <w:r>
              <w:rPr>
                <w:rFonts w:ascii="Times New Roman" w:hAnsi="Times New Roman"/>
                <w:szCs w:val="21"/>
              </w:rPr>
              <w:t>-</w:t>
            </w:r>
          </w:p>
        </w:tc>
      </w:tr>
      <w:tr w14:paraId="3529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35D1A5FB">
            <w:pPr>
              <w:snapToGrid w:val="0"/>
              <w:jc w:val="center"/>
              <w:rPr>
                <w:rFonts w:ascii="Times New Roman" w:hAnsi="Times New Roman"/>
                <w:szCs w:val="21"/>
              </w:rPr>
            </w:pPr>
            <w:r>
              <w:rPr>
                <w:rFonts w:ascii="Times New Roman" w:hAnsi="Times New Roman"/>
                <w:szCs w:val="21"/>
              </w:rPr>
              <w:t>16</w:t>
            </w:r>
          </w:p>
        </w:tc>
        <w:tc>
          <w:tcPr>
            <w:tcW w:w="1513" w:type="dxa"/>
            <w:vMerge w:val="continue"/>
            <w:noWrap w:val="0"/>
            <w:tcMar>
              <w:left w:w="28" w:type="dxa"/>
              <w:right w:w="28" w:type="dxa"/>
            </w:tcMar>
            <w:vAlign w:val="center"/>
          </w:tcPr>
          <w:p w14:paraId="26284FFE">
            <w:pPr>
              <w:snapToGrid w:val="0"/>
              <w:jc w:val="left"/>
              <w:rPr>
                <w:rFonts w:ascii="Times New Roman" w:hAnsi="Times New Roman"/>
                <w:szCs w:val="21"/>
              </w:rPr>
            </w:pPr>
          </w:p>
        </w:tc>
        <w:tc>
          <w:tcPr>
            <w:tcW w:w="850" w:type="dxa"/>
            <w:noWrap w:val="0"/>
            <w:tcMar>
              <w:left w:w="28" w:type="dxa"/>
              <w:right w:w="28" w:type="dxa"/>
            </w:tcMar>
            <w:vAlign w:val="center"/>
          </w:tcPr>
          <w:p w14:paraId="5E485C01">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7.4</w:t>
            </w:r>
          </w:p>
        </w:tc>
        <w:tc>
          <w:tcPr>
            <w:tcW w:w="3544" w:type="dxa"/>
            <w:noWrap w:val="0"/>
            <w:tcMar>
              <w:left w:w="28" w:type="dxa"/>
              <w:right w:w="28" w:type="dxa"/>
            </w:tcMar>
            <w:vAlign w:val="center"/>
          </w:tcPr>
          <w:p w14:paraId="407485B5">
            <w:pPr>
              <w:snapToGrid w:val="0"/>
              <w:jc w:val="left"/>
              <w:rPr>
                <w:rStyle w:val="20"/>
                <w:rFonts w:hint="default" w:ascii="Times New Roman" w:hAnsi="Times New Roman"/>
                <w:sz w:val="21"/>
                <w:szCs w:val="21"/>
              </w:rPr>
            </w:pPr>
            <w:r>
              <w:rPr>
                <w:rStyle w:val="20"/>
                <w:rFonts w:hint="default" w:ascii="Times New Roman" w:hAnsi="Times New Roman"/>
                <w:sz w:val="21"/>
                <w:szCs w:val="21"/>
              </w:rPr>
              <w:t>承包商档案不完善</w:t>
            </w:r>
          </w:p>
        </w:tc>
        <w:tc>
          <w:tcPr>
            <w:tcW w:w="2410" w:type="dxa"/>
            <w:noWrap w:val="0"/>
            <w:tcMar>
              <w:left w:w="28" w:type="dxa"/>
              <w:right w:w="28" w:type="dxa"/>
            </w:tcMar>
            <w:vAlign w:val="center"/>
          </w:tcPr>
          <w:p w14:paraId="3ABD7F0E">
            <w:pPr>
              <w:snapToGrid w:val="0"/>
              <w:jc w:val="left"/>
              <w:rPr>
                <w:rFonts w:ascii="Times New Roman" w:hAnsi="Times New Roman"/>
                <w:szCs w:val="21"/>
              </w:rPr>
            </w:pPr>
            <w:r>
              <w:rPr>
                <w:rFonts w:ascii="Times New Roman" w:hAnsi="Times New Roman"/>
                <w:szCs w:val="21"/>
              </w:rPr>
              <w:t>完善档案</w:t>
            </w:r>
          </w:p>
        </w:tc>
        <w:tc>
          <w:tcPr>
            <w:tcW w:w="1417" w:type="dxa"/>
            <w:noWrap w:val="0"/>
            <w:tcMar>
              <w:left w:w="28" w:type="dxa"/>
              <w:right w:w="28" w:type="dxa"/>
            </w:tcMar>
            <w:vAlign w:val="center"/>
          </w:tcPr>
          <w:p w14:paraId="6B5FDAC9">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63F8B950">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5C124D28">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6F2E5824">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3EB85459">
            <w:pPr>
              <w:snapToGrid w:val="0"/>
              <w:jc w:val="center"/>
              <w:rPr>
                <w:rFonts w:ascii="Times New Roman" w:hAnsi="Times New Roman"/>
                <w:szCs w:val="21"/>
              </w:rPr>
            </w:pPr>
            <w:r>
              <w:rPr>
                <w:rFonts w:ascii="Times New Roman" w:hAnsi="Times New Roman"/>
                <w:szCs w:val="21"/>
              </w:rPr>
              <w:t>-</w:t>
            </w:r>
          </w:p>
        </w:tc>
      </w:tr>
      <w:tr w14:paraId="78AF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0FB1FD28">
            <w:pPr>
              <w:snapToGrid w:val="0"/>
              <w:jc w:val="center"/>
              <w:rPr>
                <w:rFonts w:ascii="Times New Roman" w:hAnsi="Times New Roman"/>
                <w:szCs w:val="21"/>
              </w:rPr>
            </w:pPr>
            <w:r>
              <w:rPr>
                <w:rFonts w:ascii="Times New Roman" w:hAnsi="Times New Roman"/>
                <w:szCs w:val="21"/>
              </w:rPr>
              <w:t>17</w:t>
            </w:r>
          </w:p>
        </w:tc>
        <w:tc>
          <w:tcPr>
            <w:tcW w:w="1513" w:type="dxa"/>
            <w:noWrap w:val="0"/>
            <w:tcMar>
              <w:left w:w="28" w:type="dxa"/>
              <w:right w:w="28" w:type="dxa"/>
            </w:tcMar>
            <w:vAlign w:val="center"/>
          </w:tcPr>
          <w:p w14:paraId="568B7E30">
            <w:pPr>
              <w:snapToGrid w:val="0"/>
              <w:jc w:val="left"/>
              <w:rPr>
                <w:rFonts w:ascii="Times New Roman" w:hAnsi="Times New Roman"/>
                <w:szCs w:val="21"/>
              </w:rPr>
            </w:pPr>
            <w:r>
              <w:rPr>
                <w:rFonts w:ascii="Times New Roman" w:hAnsi="Times New Roman"/>
                <w:bCs/>
                <w:szCs w:val="21"/>
              </w:rPr>
              <w:t>8职业健康</w:t>
            </w:r>
          </w:p>
        </w:tc>
        <w:tc>
          <w:tcPr>
            <w:tcW w:w="850" w:type="dxa"/>
            <w:noWrap w:val="0"/>
            <w:tcMar>
              <w:left w:w="28" w:type="dxa"/>
              <w:right w:w="28" w:type="dxa"/>
            </w:tcMar>
            <w:vAlign w:val="center"/>
          </w:tcPr>
          <w:p w14:paraId="5E03089A">
            <w:pPr>
              <w:snapToGrid w:val="0"/>
              <w:spacing w:line="240" w:lineRule="exact"/>
              <w:jc w:val="center"/>
              <w:rPr>
                <w:rFonts w:ascii="Times New Roman" w:hAnsi="Times New Roman"/>
                <w:kern w:val="0"/>
                <w:szCs w:val="21"/>
                <w:lang w:val="zh-CN"/>
              </w:rPr>
            </w:pPr>
            <w:r>
              <w:rPr>
                <w:rFonts w:hint="eastAsia" w:ascii="Times New Roman" w:hAnsi="Times New Roman"/>
                <w:kern w:val="0"/>
                <w:szCs w:val="21"/>
                <w:lang w:val="zh-CN"/>
              </w:rPr>
              <w:t>8</w:t>
            </w:r>
            <w:r>
              <w:rPr>
                <w:rFonts w:ascii="Times New Roman" w:hAnsi="Times New Roman"/>
                <w:kern w:val="0"/>
                <w:szCs w:val="21"/>
                <w:lang w:val="zh-CN"/>
              </w:rPr>
              <w:t>.3</w:t>
            </w:r>
          </w:p>
        </w:tc>
        <w:tc>
          <w:tcPr>
            <w:tcW w:w="3544" w:type="dxa"/>
            <w:noWrap w:val="0"/>
            <w:tcMar>
              <w:left w:w="28" w:type="dxa"/>
              <w:right w:w="28" w:type="dxa"/>
            </w:tcMar>
            <w:vAlign w:val="center"/>
          </w:tcPr>
          <w:p w14:paraId="796E3053">
            <w:pPr>
              <w:snapToGrid w:val="0"/>
              <w:ind w:left="29" w:hanging="29" w:hangingChars="14"/>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健康档案不全，劳动防护用品台账不全</w:t>
            </w:r>
          </w:p>
        </w:tc>
        <w:tc>
          <w:tcPr>
            <w:tcW w:w="2410" w:type="dxa"/>
            <w:noWrap w:val="0"/>
            <w:tcMar>
              <w:left w:w="28" w:type="dxa"/>
              <w:right w:w="28" w:type="dxa"/>
            </w:tcMar>
            <w:vAlign w:val="center"/>
          </w:tcPr>
          <w:p w14:paraId="2261F767">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完善档案</w:t>
            </w:r>
          </w:p>
        </w:tc>
        <w:tc>
          <w:tcPr>
            <w:tcW w:w="1417" w:type="dxa"/>
            <w:noWrap w:val="0"/>
            <w:tcMar>
              <w:left w:w="28" w:type="dxa"/>
              <w:right w:w="28" w:type="dxa"/>
            </w:tcMar>
            <w:vAlign w:val="center"/>
          </w:tcPr>
          <w:p w14:paraId="32A55304">
            <w:pPr>
              <w:snapToGrid w:val="0"/>
              <w:jc w:val="center"/>
              <w:rPr>
                <w:rFonts w:ascii="Times New Roman" w:hAnsi="Times New Roman"/>
                <w:szCs w:val="21"/>
              </w:rPr>
            </w:pPr>
            <w:r>
              <w:rPr>
                <w:rFonts w:hint="eastAsia" w:ascii="Times New Roman" w:hAnsi="Times New Roman"/>
                <w:szCs w:val="21"/>
              </w:rPr>
              <w:t>生产部</w:t>
            </w:r>
          </w:p>
        </w:tc>
        <w:tc>
          <w:tcPr>
            <w:tcW w:w="1134" w:type="dxa"/>
            <w:noWrap w:val="0"/>
            <w:tcMar>
              <w:left w:w="28" w:type="dxa"/>
              <w:right w:w="28" w:type="dxa"/>
            </w:tcMar>
            <w:vAlign w:val="center"/>
          </w:tcPr>
          <w:p w14:paraId="5C39EB32">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62FDADF5">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630BE3FC">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296624BF">
            <w:pPr>
              <w:snapToGrid w:val="0"/>
              <w:jc w:val="center"/>
              <w:rPr>
                <w:rFonts w:ascii="Times New Roman" w:hAnsi="Times New Roman"/>
                <w:szCs w:val="21"/>
              </w:rPr>
            </w:pPr>
            <w:r>
              <w:rPr>
                <w:rFonts w:ascii="Times New Roman" w:hAnsi="Times New Roman"/>
                <w:szCs w:val="21"/>
              </w:rPr>
              <w:t>-</w:t>
            </w:r>
          </w:p>
        </w:tc>
      </w:tr>
      <w:tr w14:paraId="79E4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0AC38362">
            <w:pPr>
              <w:snapToGrid w:val="0"/>
              <w:jc w:val="center"/>
              <w:rPr>
                <w:rFonts w:ascii="Times New Roman" w:hAnsi="Times New Roman"/>
                <w:szCs w:val="21"/>
              </w:rPr>
            </w:pPr>
            <w:r>
              <w:rPr>
                <w:rFonts w:ascii="Times New Roman" w:hAnsi="Times New Roman"/>
                <w:szCs w:val="21"/>
              </w:rPr>
              <w:t>18</w:t>
            </w:r>
          </w:p>
        </w:tc>
        <w:tc>
          <w:tcPr>
            <w:tcW w:w="1513" w:type="dxa"/>
            <w:noWrap w:val="0"/>
            <w:tcMar>
              <w:left w:w="28" w:type="dxa"/>
              <w:right w:w="28" w:type="dxa"/>
            </w:tcMar>
            <w:vAlign w:val="center"/>
          </w:tcPr>
          <w:p w14:paraId="706AD63B">
            <w:pPr>
              <w:snapToGrid w:val="0"/>
              <w:jc w:val="left"/>
              <w:rPr>
                <w:rFonts w:ascii="Times New Roman" w:hAnsi="Times New Roman"/>
                <w:szCs w:val="21"/>
              </w:rPr>
            </w:pPr>
            <w:r>
              <w:rPr>
                <w:rFonts w:ascii="Times New Roman" w:hAnsi="Times New Roman"/>
                <w:bCs/>
                <w:szCs w:val="21"/>
              </w:rPr>
              <w:t>9 危险化学品管理</w:t>
            </w:r>
          </w:p>
        </w:tc>
        <w:tc>
          <w:tcPr>
            <w:tcW w:w="850" w:type="dxa"/>
            <w:noWrap w:val="0"/>
            <w:tcMar>
              <w:left w:w="28" w:type="dxa"/>
              <w:right w:w="28" w:type="dxa"/>
            </w:tcMar>
            <w:vAlign w:val="center"/>
          </w:tcPr>
          <w:p w14:paraId="5566F6ED">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9.2</w:t>
            </w:r>
          </w:p>
        </w:tc>
        <w:tc>
          <w:tcPr>
            <w:tcW w:w="3544" w:type="dxa"/>
            <w:noWrap w:val="0"/>
            <w:tcMar>
              <w:left w:w="28" w:type="dxa"/>
              <w:right w:w="28" w:type="dxa"/>
            </w:tcMar>
            <w:vAlign w:val="center"/>
          </w:tcPr>
          <w:p w14:paraId="7ADC723A">
            <w:pPr>
              <w:snapToGrid w:val="0"/>
              <w:jc w:val="left"/>
              <w:rPr>
                <w:rFonts w:hint="default" w:ascii="Times New Roman" w:hAnsi="Times New Roman" w:eastAsiaTheme="minorEastAsia"/>
                <w:kern w:val="0"/>
                <w:szCs w:val="21"/>
                <w:lang w:val="en-US" w:eastAsia="zh-CN"/>
              </w:rPr>
            </w:pPr>
            <w:r>
              <w:rPr>
                <w:rFonts w:hint="eastAsia" w:ascii="Times New Roman" w:hAnsi="Times New Roman"/>
                <w:kern w:val="0"/>
                <w:szCs w:val="21"/>
                <w:lang w:val="en-US" w:eastAsia="zh-CN"/>
              </w:rPr>
              <w:t>原料MSDS部分缺失</w:t>
            </w:r>
          </w:p>
        </w:tc>
        <w:tc>
          <w:tcPr>
            <w:tcW w:w="2410" w:type="dxa"/>
            <w:noWrap w:val="0"/>
            <w:tcMar>
              <w:left w:w="28" w:type="dxa"/>
              <w:right w:w="28" w:type="dxa"/>
            </w:tcMar>
            <w:vAlign w:val="center"/>
          </w:tcPr>
          <w:p w14:paraId="4C122B0B">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补充完善</w:t>
            </w:r>
          </w:p>
        </w:tc>
        <w:tc>
          <w:tcPr>
            <w:tcW w:w="1417" w:type="dxa"/>
            <w:noWrap w:val="0"/>
            <w:tcMar>
              <w:left w:w="28" w:type="dxa"/>
              <w:right w:w="28" w:type="dxa"/>
            </w:tcMar>
            <w:vAlign w:val="center"/>
          </w:tcPr>
          <w:p w14:paraId="3AFE98BA">
            <w:pPr>
              <w:snapToGrid w:val="0"/>
              <w:jc w:val="center"/>
              <w:rPr>
                <w:rFonts w:ascii="Times New Roman" w:hAnsi="Times New Roman"/>
                <w:szCs w:val="21"/>
              </w:rPr>
            </w:pPr>
            <w:r>
              <w:rPr>
                <w:rFonts w:hint="eastAsia" w:ascii="Times New Roman" w:hAnsi="Times New Roman"/>
                <w:szCs w:val="21"/>
                <w:lang w:val="en-US" w:eastAsia="zh-CN"/>
              </w:rPr>
              <w:t>采购</w:t>
            </w:r>
            <w:r>
              <w:rPr>
                <w:rFonts w:hint="eastAsia" w:ascii="Times New Roman" w:hAnsi="Times New Roman"/>
                <w:szCs w:val="21"/>
              </w:rPr>
              <w:t>部</w:t>
            </w:r>
          </w:p>
        </w:tc>
        <w:tc>
          <w:tcPr>
            <w:tcW w:w="1134" w:type="dxa"/>
            <w:noWrap w:val="0"/>
            <w:tcMar>
              <w:left w:w="28" w:type="dxa"/>
              <w:right w:w="28" w:type="dxa"/>
            </w:tcMar>
            <w:vAlign w:val="center"/>
          </w:tcPr>
          <w:p w14:paraId="08A5C03E">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0434E184">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ED1AA94">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07170653">
            <w:pPr>
              <w:snapToGrid w:val="0"/>
              <w:jc w:val="center"/>
              <w:rPr>
                <w:rFonts w:ascii="Times New Roman" w:hAnsi="Times New Roman"/>
                <w:szCs w:val="21"/>
              </w:rPr>
            </w:pPr>
          </w:p>
        </w:tc>
      </w:tr>
      <w:tr w14:paraId="17F7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6CE4DFAE">
            <w:pPr>
              <w:snapToGrid w:val="0"/>
              <w:jc w:val="center"/>
              <w:rPr>
                <w:rFonts w:ascii="Times New Roman" w:hAnsi="Times New Roman"/>
                <w:szCs w:val="21"/>
              </w:rPr>
            </w:pPr>
            <w:r>
              <w:rPr>
                <w:rFonts w:ascii="Times New Roman" w:hAnsi="Times New Roman"/>
                <w:szCs w:val="21"/>
              </w:rPr>
              <w:t>19</w:t>
            </w:r>
          </w:p>
        </w:tc>
        <w:tc>
          <w:tcPr>
            <w:tcW w:w="1513" w:type="dxa"/>
            <w:vMerge w:val="restart"/>
            <w:noWrap w:val="0"/>
            <w:tcMar>
              <w:left w:w="28" w:type="dxa"/>
              <w:right w:w="28" w:type="dxa"/>
            </w:tcMar>
            <w:vAlign w:val="center"/>
          </w:tcPr>
          <w:p w14:paraId="7919BF67">
            <w:pPr>
              <w:snapToGrid w:val="0"/>
              <w:jc w:val="left"/>
              <w:rPr>
                <w:rFonts w:ascii="Times New Roman" w:hAnsi="Times New Roman"/>
                <w:szCs w:val="21"/>
              </w:rPr>
            </w:pPr>
            <w:r>
              <w:rPr>
                <w:rFonts w:ascii="Times New Roman" w:hAnsi="Times New Roman"/>
                <w:szCs w:val="21"/>
              </w:rPr>
              <w:t>10事故与应急</w:t>
            </w:r>
          </w:p>
        </w:tc>
        <w:tc>
          <w:tcPr>
            <w:tcW w:w="850" w:type="dxa"/>
            <w:noWrap w:val="0"/>
            <w:tcMar>
              <w:left w:w="28" w:type="dxa"/>
              <w:right w:w="28" w:type="dxa"/>
            </w:tcMar>
            <w:vAlign w:val="center"/>
          </w:tcPr>
          <w:p w14:paraId="7CD974A8">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10.2</w:t>
            </w:r>
          </w:p>
        </w:tc>
        <w:tc>
          <w:tcPr>
            <w:tcW w:w="3544" w:type="dxa"/>
            <w:noWrap w:val="0"/>
            <w:tcMar>
              <w:left w:w="28" w:type="dxa"/>
              <w:right w:w="28" w:type="dxa"/>
            </w:tcMar>
            <w:vAlign w:val="center"/>
          </w:tcPr>
          <w:p w14:paraId="7F402F2A">
            <w:pPr>
              <w:snapToGrid w:val="0"/>
              <w:spacing w:line="240" w:lineRule="exact"/>
              <w:jc w:val="left"/>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2#车间应急物资使用未及时补充</w:t>
            </w:r>
          </w:p>
        </w:tc>
        <w:tc>
          <w:tcPr>
            <w:tcW w:w="2410" w:type="dxa"/>
            <w:noWrap w:val="0"/>
            <w:tcMar>
              <w:left w:w="28" w:type="dxa"/>
              <w:right w:w="28" w:type="dxa"/>
            </w:tcMar>
            <w:vAlign w:val="center"/>
          </w:tcPr>
          <w:p w14:paraId="4C8A05A6">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检查加补充</w:t>
            </w:r>
          </w:p>
        </w:tc>
        <w:tc>
          <w:tcPr>
            <w:tcW w:w="1417" w:type="dxa"/>
            <w:noWrap w:val="0"/>
            <w:tcMar>
              <w:left w:w="28" w:type="dxa"/>
              <w:right w:w="28" w:type="dxa"/>
            </w:tcMar>
            <w:vAlign w:val="center"/>
          </w:tcPr>
          <w:p w14:paraId="55D8CFD9">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生产技术部</w:t>
            </w:r>
          </w:p>
        </w:tc>
        <w:tc>
          <w:tcPr>
            <w:tcW w:w="1134" w:type="dxa"/>
            <w:noWrap w:val="0"/>
            <w:tcMar>
              <w:left w:w="28" w:type="dxa"/>
              <w:right w:w="28" w:type="dxa"/>
            </w:tcMar>
            <w:vAlign w:val="center"/>
          </w:tcPr>
          <w:p w14:paraId="3E24DF6D">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7E958275">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69C06A9D">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6789A54C">
            <w:pPr>
              <w:snapToGrid w:val="0"/>
              <w:jc w:val="center"/>
              <w:rPr>
                <w:rFonts w:ascii="Times New Roman" w:hAnsi="Times New Roman"/>
                <w:szCs w:val="21"/>
              </w:rPr>
            </w:pPr>
            <w:r>
              <w:rPr>
                <w:rFonts w:ascii="Times New Roman" w:hAnsi="Times New Roman"/>
                <w:szCs w:val="21"/>
              </w:rPr>
              <w:t>-</w:t>
            </w:r>
          </w:p>
        </w:tc>
      </w:tr>
      <w:tr w14:paraId="650A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1AF63AFE">
            <w:pPr>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20</w:t>
            </w:r>
          </w:p>
        </w:tc>
        <w:tc>
          <w:tcPr>
            <w:tcW w:w="1513" w:type="dxa"/>
            <w:vMerge w:val="continue"/>
            <w:noWrap w:val="0"/>
            <w:tcMar>
              <w:left w:w="28" w:type="dxa"/>
              <w:right w:w="28" w:type="dxa"/>
            </w:tcMar>
            <w:vAlign w:val="center"/>
          </w:tcPr>
          <w:p w14:paraId="66AF474A">
            <w:pPr>
              <w:snapToGrid w:val="0"/>
              <w:jc w:val="left"/>
              <w:rPr>
                <w:rFonts w:ascii="Times New Roman" w:hAnsi="Times New Roman"/>
                <w:szCs w:val="21"/>
              </w:rPr>
            </w:pPr>
          </w:p>
        </w:tc>
        <w:tc>
          <w:tcPr>
            <w:tcW w:w="850" w:type="dxa"/>
            <w:noWrap w:val="0"/>
            <w:tcMar>
              <w:left w:w="28" w:type="dxa"/>
              <w:right w:w="28" w:type="dxa"/>
            </w:tcMar>
            <w:vAlign w:val="center"/>
          </w:tcPr>
          <w:p w14:paraId="34CFC30B">
            <w:pPr>
              <w:snapToGrid w:val="0"/>
              <w:spacing w:line="240" w:lineRule="exact"/>
              <w:jc w:val="center"/>
              <w:rPr>
                <w:rFonts w:hint="default" w:ascii="Times New Roman" w:hAnsi="Times New Roman" w:eastAsiaTheme="minorEastAsia"/>
                <w:kern w:val="0"/>
                <w:szCs w:val="21"/>
                <w:lang w:val="en-US" w:eastAsia="zh-CN"/>
              </w:rPr>
            </w:pPr>
            <w:r>
              <w:rPr>
                <w:rFonts w:hint="eastAsia" w:ascii="Times New Roman" w:hAnsi="Times New Roman"/>
                <w:kern w:val="0"/>
                <w:szCs w:val="21"/>
                <w:lang w:val="en-US" w:eastAsia="zh-CN"/>
              </w:rPr>
              <w:t>10.3</w:t>
            </w:r>
          </w:p>
        </w:tc>
        <w:tc>
          <w:tcPr>
            <w:tcW w:w="3544" w:type="dxa"/>
            <w:noWrap w:val="0"/>
            <w:tcMar>
              <w:left w:w="28" w:type="dxa"/>
              <w:right w:w="28" w:type="dxa"/>
            </w:tcMar>
            <w:vAlign w:val="center"/>
          </w:tcPr>
          <w:p w14:paraId="32E2CEE1">
            <w:pPr>
              <w:snapToGrid w:val="0"/>
              <w:spacing w:line="240" w:lineRule="exact"/>
              <w:jc w:val="left"/>
              <w:rPr>
                <w:rFonts w:hint="default" w:ascii="Times New Roman" w:hAnsi="Times New Roman"/>
                <w:bCs/>
                <w:szCs w:val="21"/>
                <w:lang w:val="en-US" w:eastAsia="zh-CN"/>
              </w:rPr>
            </w:pPr>
            <w:r>
              <w:rPr>
                <w:rFonts w:hint="eastAsia" w:ascii="Times New Roman" w:hAnsi="Times New Roman"/>
                <w:bCs/>
                <w:szCs w:val="21"/>
                <w:lang w:val="en-US" w:eastAsia="zh-CN"/>
              </w:rPr>
              <w:t>应急预案人员变动未及时更新</w:t>
            </w:r>
          </w:p>
        </w:tc>
        <w:tc>
          <w:tcPr>
            <w:tcW w:w="2410" w:type="dxa"/>
            <w:noWrap w:val="0"/>
            <w:tcMar>
              <w:left w:w="28" w:type="dxa"/>
              <w:right w:w="28" w:type="dxa"/>
            </w:tcMar>
            <w:vAlign w:val="center"/>
          </w:tcPr>
          <w:p w14:paraId="38F16CF3">
            <w:pPr>
              <w:snapToGrid w:val="0"/>
              <w:jc w:val="left"/>
              <w:rPr>
                <w:rFonts w:hint="default" w:ascii="Times New Roman" w:hAnsi="Times New Roman"/>
                <w:szCs w:val="21"/>
                <w:lang w:val="en-US" w:eastAsia="zh-CN"/>
              </w:rPr>
            </w:pPr>
            <w:r>
              <w:rPr>
                <w:rFonts w:hint="eastAsia" w:ascii="Times New Roman" w:hAnsi="Times New Roman"/>
                <w:szCs w:val="21"/>
                <w:lang w:val="en-US" w:eastAsia="zh-CN"/>
              </w:rPr>
              <w:t>及时更新组织</w:t>
            </w:r>
          </w:p>
        </w:tc>
        <w:tc>
          <w:tcPr>
            <w:tcW w:w="1417" w:type="dxa"/>
            <w:noWrap w:val="0"/>
            <w:tcMar>
              <w:left w:w="28" w:type="dxa"/>
              <w:right w:w="28" w:type="dxa"/>
            </w:tcMar>
            <w:vAlign w:val="center"/>
          </w:tcPr>
          <w:p w14:paraId="02865167">
            <w:pPr>
              <w:snapToGrid w:val="0"/>
              <w:jc w:val="center"/>
              <w:rPr>
                <w:rFonts w:hint="default" w:ascii="Times New Roman" w:hAnsi="Times New Roman"/>
                <w:szCs w:val="21"/>
                <w:lang w:val="en-US" w:eastAsia="zh-CN"/>
              </w:rPr>
            </w:pPr>
            <w:r>
              <w:rPr>
                <w:rFonts w:hint="eastAsia" w:ascii="Times New Roman" w:hAnsi="Times New Roman"/>
                <w:szCs w:val="21"/>
                <w:lang w:val="en-US" w:eastAsia="zh-CN"/>
              </w:rPr>
              <w:t>EHS部</w:t>
            </w:r>
          </w:p>
        </w:tc>
        <w:tc>
          <w:tcPr>
            <w:tcW w:w="1134" w:type="dxa"/>
            <w:noWrap w:val="0"/>
            <w:tcMar>
              <w:left w:w="28" w:type="dxa"/>
              <w:right w:w="28" w:type="dxa"/>
            </w:tcMar>
            <w:vAlign w:val="center"/>
          </w:tcPr>
          <w:p w14:paraId="78807B4B">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322CB3D5">
            <w:pPr>
              <w:jc w:val="center"/>
              <w:rPr>
                <w:rFonts w:hint="eastAsia" w:ascii="Times New Roman" w:hAnsi="Times New Roman"/>
                <w:szCs w:val="21"/>
                <w:lang w:eastAsia="zh-CN"/>
              </w:rPr>
            </w:pPr>
            <w:r>
              <w:rPr>
                <w:rFonts w:hint="eastAsia" w:ascii="Times New Roman" w:hAnsi="Times New Roman"/>
                <w:szCs w:val="21"/>
              </w:rPr>
              <w:t>2</w:t>
            </w:r>
            <w:r>
              <w:rPr>
                <w:rFonts w:ascii="Times New Roman" w:hAnsi="Times New Roman"/>
                <w:szCs w:val="21"/>
              </w:rPr>
              <w:t>023.10.15</w:t>
            </w:r>
          </w:p>
        </w:tc>
        <w:tc>
          <w:tcPr>
            <w:tcW w:w="1021" w:type="dxa"/>
            <w:noWrap w:val="0"/>
            <w:tcMar>
              <w:left w:w="28" w:type="dxa"/>
              <w:right w:w="28" w:type="dxa"/>
            </w:tcMar>
            <w:vAlign w:val="center"/>
          </w:tcPr>
          <w:p w14:paraId="2616AF4A">
            <w:pPr>
              <w:snapToGrid w:val="0"/>
              <w:jc w:val="center"/>
              <w:rPr>
                <w:rFonts w:hint="eastAsia" w:ascii="Times New Roman" w:hAnsi="Times New Roman" w:eastAsiaTheme="minorEastAsia"/>
                <w:bCs/>
                <w:szCs w:val="21"/>
                <w:lang w:val="en-US" w:eastAsia="zh-CN"/>
              </w:rPr>
            </w:pPr>
            <w:r>
              <w:rPr>
                <w:rFonts w:hint="eastAsia" w:ascii="Times New Roman" w:hAnsi="Times New Roman"/>
                <w:bCs/>
                <w:szCs w:val="21"/>
                <w:lang w:val="en-US" w:eastAsia="zh-CN"/>
              </w:rPr>
              <w:t>0</w:t>
            </w:r>
          </w:p>
        </w:tc>
        <w:tc>
          <w:tcPr>
            <w:tcW w:w="1147" w:type="dxa"/>
            <w:noWrap w:val="0"/>
            <w:tcMar>
              <w:left w:w="28" w:type="dxa"/>
              <w:right w:w="28" w:type="dxa"/>
            </w:tcMar>
            <w:vAlign w:val="center"/>
          </w:tcPr>
          <w:p w14:paraId="5B2BA324">
            <w:pPr>
              <w:snapToGrid w:val="0"/>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w:t>
            </w:r>
          </w:p>
        </w:tc>
      </w:tr>
      <w:tr w14:paraId="14EA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7CE4A973">
            <w:pPr>
              <w:snapToGrid w:val="0"/>
              <w:jc w:val="center"/>
              <w:rPr>
                <w:rFonts w:hint="eastAsia" w:ascii="Times New Roman" w:hAnsi="Times New Roman" w:eastAsiaTheme="minorEastAsia"/>
                <w:szCs w:val="21"/>
                <w:lang w:eastAsia="zh-CN"/>
              </w:rPr>
            </w:pPr>
            <w:r>
              <w:rPr>
                <w:rFonts w:ascii="Times New Roman" w:hAnsi="Times New Roman"/>
                <w:szCs w:val="21"/>
              </w:rPr>
              <w:t>2</w:t>
            </w:r>
            <w:r>
              <w:rPr>
                <w:rFonts w:hint="eastAsia" w:ascii="Times New Roman" w:hAnsi="Times New Roman"/>
                <w:szCs w:val="21"/>
                <w:lang w:val="en-US" w:eastAsia="zh-CN"/>
              </w:rPr>
              <w:t>1</w:t>
            </w:r>
          </w:p>
        </w:tc>
        <w:tc>
          <w:tcPr>
            <w:tcW w:w="1513" w:type="dxa"/>
            <w:vMerge w:val="restart"/>
            <w:noWrap w:val="0"/>
            <w:tcMar>
              <w:left w:w="28" w:type="dxa"/>
              <w:right w:w="28" w:type="dxa"/>
            </w:tcMar>
            <w:vAlign w:val="center"/>
          </w:tcPr>
          <w:p w14:paraId="7DAABCCC">
            <w:pPr>
              <w:snapToGrid w:val="0"/>
              <w:jc w:val="left"/>
              <w:rPr>
                <w:rFonts w:ascii="Times New Roman" w:hAnsi="Times New Roman"/>
                <w:szCs w:val="21"/>
              </w:rPr>
            </w:pPr>
            <w:r>
              <w:rPr>
                <w:rFonts w:ascii="Times New Roman" w:hAnsi="Times New Roman"/>
                <w:szCs w:val="21"/>
              </w:rPr>
              <w:t>11检查与自评</w:t>
            </w:r>
          </w:p>
        </w:tc>
        <w:tc>
          <w:tcPr>
            <w:tcW w:w="850" w:type="dxa"/>
            <w:noWrap w:val="0"/>
            <w:tcMar>
              <w:left w:w="28" w:type="dxa"/>
              <w:right w:w="28" w:type="dxa"/>
            </w:tcMar>
            <w:vAlign w:val="center"/>
          </w:tcPr>
          <w:p w14:paraId="0E6BBE51">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11.1</w:t>
            </w:r>
          </w:p>
        </w:tc>
        <w:tc>
          <w:tcPr>
            <w:tcW w:w="3544" w:type="dxa"/>
            <w:noWrap w:val="0"/>
            <w:tcMar>
              <w:left w:w="28" w:type="dxa"/>
              <w:right w:w="28" w:type="dxa"/>
            </w:tcMar>
            <w:vAlign w:val="center"/>
          </w:tcPr>
          <w:p w14:paraId="24EA7FEB">
            <w:pPr>
              <w:snapToGrid w:val="0"/>
              <w:spacing w:line="240" w:lineRule="exact"/>
              <w:jc w:val="left"/>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检查表不全</w:t>
            </w:r>
          </w:p>
        </w:tc>
        <w:tc>
          <w:tcPr>
            <w:tcW w:w="2410" w:type="dxa"/>
            <w:noWrap w:val="0"/>
            <w:tcMar>
              <w:left w:w="28" w:type="dxa"/>
              <w:right w:w="28" w:type="dxa"/>
            </w:tcMar>
            <w:vAlign w:val="center"/>
          </w:tcPr>
          <w:p w14:paraId="1692CDDB">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完善检查表</w:t>
            </w:r>
          </w:p>
        </w:tc>
        <w:tc>
          <w:tcPr>
            <w:tcW w:w="1417" w:type="dxa"/>
            <w:noWrap w:val="0"/>
            <w:tcMar>
              <w:left w:w="28" w:type="dxa"/>
              <w:right w:w="28" w:type="dxa"/>
            </w:tcMar>
            <w:vAlign w:val="center"/>
          </w:tcPr>
          <w:p w14:paraId="542DE458">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5356C4C1">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55C158AA">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16EDE7E5">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5BA7F5A5">
            <w:pPr>
              <w:snapToGrid w:val="0"/>
              <w:jc w:val="center"/>
              <w:rPr>
                <w:rFonts w:ascii="Times New Roman" w:hAnsi="Times New Roman"/>
                <w:szCs w:val="21"/>
              </w:rPr>
            </w:pPr>
            <w:r>
              <w:rPr>
                <w:rFonts w:ascii="Times New Roman" w:hAnsi="Times New Roman"/>
                <w:szCs w:val="21"/>
              </w:rPr>
              <w:t>-</w:t>
            </w:r>
          </w:p>
        </w:tc>
      </w:tr>
      <w:tr w14:paraId="793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6" w:type="dxa"/>
            <w:noWrap w:val="0"/>
            <w:tcMar>
              <w:left w:w="28" w:type="dxa"/>
              <w:right w:w="28" w:type="dxa"/>
            </w:tcMar>
            <w:vAlign w:val="center"/>
          </w:tcPr>
          <w:p w14:paraId="79397864">
            <w:pPr>
              <w:snapToGrid w:val="0"/>
              <w:jc w:val="center"/>
              <w:rPr>
                <w:rFonts w:hint="eastAsia" w:ascii="Times New Roman" w:hAnsi="Times New Roman" w:eastAsiaTheme="minorEastAsia"/>
                <w:szCs w:val="21"/>
                <w:lang w:eastAsia="zh-CN"/>
              </w:rPr>
            </w:pPr>
            <w:r>
              <w:rPr>
                <w:rFonts w:ascii="Times New Roman" w:hAnsi="Times New Roman"/>
                <w:szCs w:val="21"/>
              </w:rPr>
              <w:t>2</w:t>
            </w:r>
            <w:r>
              <w:rPr>
                <w:rFonts w:hint="eastAsia" w:ascii="Times New Roman" w:hAnsi="Times New Roman"/>
                <w:szCs w:val="21"/>
                <w:lang w:val="en-US" w:eastAsia="zh-CN"/>
              </w:rPr>
              <w:t>2</w:t>
            </w:r>
          </w:p>
        </w:tc>
        <w:tc>
          <w:tcPr>
            <w:tcW w:w="1513" w:type="dxa"/>
            <w:vMerge w:val="continue"/>
            <w:noWrap w:val="0"/>
            <w:tcMar>
              <w:left w:w="28" w:type="dxa"/>
              <w:right w:w="28" w:type="dxa"/>
            </w:tcMar>
            <w:vAlign w:val="center"/>
          </w:tcPr>
          <w:p w14:paraId="44AD4700">
            <w:pPr>
              <w:snapToGrid w:val="0"/>
              <w:jc w:val="left"/>
              <w:rPr>
                <w:rFonts w:ascii="Times New Roman" w:hAnsi="Times New Roman"/>
                <w:szCs w:val="21"/>
              </w:rPr>
            </w:pPr>
          </w:p>
        </w:tc>
        <w:tc>
          <w:tcPr>
            <w:tcW w:w="850" w:type="dxa"/>
            <w:noWrap w:val="0"/>
            <w:tcMar>
              <w:left w:w="28" w:type="dxa"/>
              <w:right w:w="28" w:type="dxa"/>
            </w:tcMar>
            <w:vAlign w:val="center"/>
          </w:tcPr>
          <w:p w14:paraId="46E74E51">
            <w:pPr>
              <w:snapToGrid w:val="0"/>
              <w:spacing w:line="240" w:lineRule="exact"/>
              <w:jc w:val="center"/>
              <w:rPr>
                <w:rFonts w:ascii="Times New Roman" w:hAnsi="Times New Roman"/>
                <w:kern w:val="0"/>
                <w:szCs w:val="21"/>
                <w:lang w:val="zh-CN"/>
              </w:rPr>
            </w:pPr>
            <w:r>
              <w:rPr>
                <w:rFonts w:ascii="Times New Roman" w:hAnsi="Times New Roman"/>
                <w:kern w:val="0"/>
                <w:szCs w:val="21"/>
                <w:lang w:val="zh-CN"/>
              </w:rPr>
              <w:t>11.2</w:t>
            </w:r>
          </w:p>
        </w:tc>
        <w:tc>
          <w:tcPr>
            <w:tcW w:w="3544" w:type="dxa"/>
            <w:noWrap w:val="0"/>
            <w:tcMar>
              <w:left w:w="28" w:type="dxa"/>
              <w:right w:w="28" w:type="dxa"/>
            </w:tcMar>
            <w:vAlign w:val="center"/>
          </w:tcPr>
          <w:p w14:paraId="53C2DEC3">
            <w:pPr>
              <w:snapToGrid w:val="0"/>
              <w:spacing w:line="240" w:lineRule="exact"/>
              <w:jc w:val="left"/>
              <w:rPr>
                <w:rFonts w:ascii="Times New Roman" w:hAnsi="Times New Roman"/>
                <w:bCs/>
                <w:szCs w:val="21"/>
              </w:rPr>
            </w:pPr>
            <w:r>
              <w:rPr>
                <w:rFonts w:ascii="Times New Roman" w:hAnsi="Times New Roman"/>
                <w:bCs/>
                <w:szCs w:val="21"/>
              </w:rPr>
              <w:t>检查台账内容不全</w:t>
            </w:r>
          </w:p>
        </w:tc>
        <w:tc>
          <w:tcPr>
            <w:tcW w:w="2410" w:type="dxa"/>
            <w:noWrap w:val="0"/>
            <w:tcMar>
              <w:left w:w="28" w:type="dxa"/>
              <w:right w:w="28" w:type="dxa"/>
            </w:tcMar>
            <w:vAlign w:val="center"/>
          </w:tcPr>
          <w:p w14:paraId="3014CA79">
            <w:pPr>
              <w:snapToGrid w:val="0"/>
              <w:jc w:val="left"/>
              <w:rPr>
                <w:rFonts w:ascii="Times New Roman" w:hAnsi="Times New Roman"/>
                <w:szCs w:val="21"/>
              </w:rPr>
            </w:pPr>
            <w:r>
              <w:rPr>
                <w:rFonts w:ascii="Times New Roman" w:hAnsi="Times New Roman"/>
                <w:szCs w:val="21"/>
              </w:rPr>
              <w:t>完善</w:t>
            </w:r>
            <w:r>
              <w:rPr>
                <w:rFonts w:hint="eastAsia" w:ascii="Times New Roman" w:hAnsi="Times New Roman"/>
                <w:szCs w:val="21"/>
              </w:rPr>
              <w:t>台账</w:t>
            </w:r>
          </w:p>
        </w:tc>
        <w:tc>
          <w:tcPr>
            <w:tcW w:w="1417" w:type="dxa"/>
            <w:noWrap w:val="0"/>
            <w:tcMar>
              <w:left w:w="28" w:type="dxa"/>
              <w:right w:w="28" w:type="dxa"/>
            </w:tcMar>
            <w:vAlign w:val="center"/>
          </w:tcPr>
          <w:p w14:paraId="605A2AFA">
            <w:pPr>
              <w:snapToGrid w:val="0"/>
              <w:jc w:val="center"/>
              <w:rPr>
                <w:rFonts w:ascii="Times New Roman" w:hAnsi="Times New Roman"/>
                <w:szCs w:val="21"/>
              </w:rPr>
            </w:pPr>
            <w:r>
              <w:rPr>
                <w:rFonts w:hint="eastAsia" w:ascii="Times New Roman" w:hAnsi="Times New Roman"/>
                <w:szCs w:val="21"/>
              </w:rPr>
              <w:t>E</w:t>
            </w:r>
            <w:r>
              <w:rPr>
                <w:rFonts w:ascii="Times New Roman" w:hAnsi="Times New Roman"/>
                <w:szCs w:val="21"/>
              </w:rPr>
              <w:t>HS部</w:t>
            </w:r>
          </w:p>
        </w:tc>
        <w:tc>
          <w:tcPr>
            <w:tcW w:w="1134" w:type="dxa"/>
            <w:noWrap w:val="0"/>
            <w:tcMar>
              <w:left w:w="28" w:type="dxa"/>
              <w:right w:w="28" w:type="dxa"/>
            </w:tcMar>
            <w:vAlign w:val="center"/>
          </w:tcPr>
          <w:p w14:paraId="5B62B87F">
            <w:pPr>
              <w:jc w:val="center"/>
              <w:rPr>
                <w:rFonts w:ascii="Times New Roman" w:hAnsi="Times New Roman"/>
                <w:szCs w:val="21"/>
              </w:rPr>
            </w:pPr>
            <w:r>
              <w:rPr>
                <w:rFonts w:ascii="Times New Roman" w:hAnsi="Times New Roman"/>
                <w:szCs w:val="21"/>
              </w:rPr>
              <w:t>立即整改</w:t>
            </w:r>
          </w:p>
        </w:tc>
        <w:tc>
          <w:tcPr>
            <w:tcW w:w="1418" w:type="dxa"/>
            <w:noWrap w:val="0"/>
            <w:tcMar>
              <w:left w:w="28" w:type="dxa"/>
              <w:right w:w="28" w:type="dxa"/>
            </w:tcMar>
            <w:vAlign w:val="center"/>
          </w:tcPr>
          <w:p w14:paraId="538E45E4">
            <w:pPr>
              <w:jc w:val="center"/>
              <w:rPr>
                <w:rFonts w:hint="eastAsia" w:eastAsiaTheme="minorEastAsia"/>
                <w:lang w:eastAsia="zh-CN"/>
              </w:rPr>
            </w:pPr>
            <w:r>
              <w:rPr>
                <w:rFonts w:hint="eastAsia" w:ascii="Times New Roman" w:hAnsi="Times New Roman"/>
                <w:szCs w:val="21"/>
                <w:lang w:eastAsia="zh-CN"/>
              </w:rPr>
              <w:t>2023.8.25</w:t>
            </w:r>
          </w:p>
        </w:tc>
        <w:tc>
          <w:tcPr>
            <w:tcW w:w="1021" w:type="dxa"/>
            <w:noWrap w:val="0"/>
            <w:tcMar>
              <w:left w:w="28" w:type="dxa"/>
              <w:right w:w="28" w:type="dxa"/>
            </w:tcMar>
            <w:vAlign w:val="center"/>
          </w:tcPr>
          <w:p w14:paraId="0FB20AC3">
            <w:pPr>
              <w:snapToGrid w:val="0"/>
              <w:jc w:val="center"/>
              <w:rPr>
                <w:rFonts w:ascii="Times New Roman" w:hAnsi="Times New Roman"/>
                <w:bCs/>
                <w:szCs w:val="21"/>
              </w:rPr>
            </w:pPr>
            <w:r>
              <w:rPr>
                <w:rFonts w:ascii="Times New Roman" w:hAnsi="Times New Roman"/>
                <w:bCs/>
                <w:szCs w:val="21"/>
              </w:rPr>
              <w:t>0</w:t>
            </w:r>
          </w:p>
        </w:tc>
        <w:tc>
          <w:tcPr>
            <w:tcW w:w="1147" w:type="dxa"/>
            <w:noWrap w:val="0"/>
            <w:tcMar>
              <w:left w:w="28" w:type="dxa"/>
              <w:right w:w="28" w:type="dxa"/>
            </w:tcMar>
            <w:vAlign w:val="center"/>
          </w:tcPr>
          <w:p w14:paraId="21A952F8">
            <w:pPr>
              <w:snapToGrid w:val="0"/>
              <w:jc w:val="center"/>
              <w:rPr>
                <w:rFonts w:ascii="Times New Roman" w:hAnsi="Times New Roman"/>
                <w:szCs w:val="21"/>
              </w:rPr>
            </w:pPr>
            <w:r>
              <w:rPr>
                <w:rFonts w:ascii="Times New Roman" w:hAnsi="Times New Roman"/>
                <w:szCs w:val="21"/>
              </w:rPr>
              <w:t>-</w:t>
            </w:r>
          </w:p>
        </w:tc>
      </w:tr>
    </w:tbl>
    <w:p w14:paraId="2BAD8279">
      <w:pPr>
        <w:pStyle w:val="3"/>
        <w:spacing w:before="0" w:after="0" w:line="348" w:lineRule="auto"/>
        <w:ind w:firstLine="551" w:firstLineChars="196"/>
        <w:outlineLvl w:val="9"/>
        <w:rPr>
          <w:rFonts w:ascii="Times New Roman" w:hAnsi="Times New Roman" w:eastAsia="宋体"/>
          <w:sz w:val="28"/>
        </w:rPr>
        <w:sectPr>
          <w:pgSz w:w="16838" w:h="11906" w:orient="landscape"/>
          <w:pgMar w:top="1134" w:right="1418" w:bottom="1134" w:left="1418" w:header="851" w:footer="765" w:gutter="0"/>
          <w:cols w:space="720" w:num="1"/>
          <w:docGrid w:linePitch="312" w:charSpace="0"/>
        </w:sectPr>
      </w:pPr>
    </w:p>
    <w:p w14:paraId="00888EFC">
      <w:pPr>
        <w:pStyle w:val="3"/>
        <w:spacing w:before="0" w:after="0" w:line="348" w:lineRule="auto"/>
        <w:rPr>
          <w:rFonts w:ascii="Times New Roman" w:hAnsi="Times New Roman" w:eastAsia="宋体"/>
          <w:sz w:val="28"/>
        </w:rPr>
      </w:pPr>
      <w:bookmarkStart w:id="10" w:name="_Toc149559173"/>
      <w:r>
        <w:rPr>
          <w:rFonts w:hint="eastAsia" w:ascii="Times New Roman" w:hAnsi="Times New Roman" w:eastAsia="宋体"/>
          <w:sz w:val="28"/>
          <w:lang w:val="en-US" w:eastAsia="zh-CN"/>
        </w:rPr>
        <w:t>8</w:t>
      </w:r>
      <w:r>
        <w:rPr>
          <w:rFonts w:ascii="Times New Roman" w:hAnsi="Times New Roman" w:eastAsia="宋体"/>
          <w:sz w:val="28"/>
        </w:rPr>
        <w:t>.2整改完成情况</w:t>
      </w:r>
      <w:bookmarkEnd w:id="10"/>
    </w:p>
    <w:p w14:paraId="3B7E481F">
      <w:pPr>
        <w:spacing w:line="360" w:lineRule="auto"/>
        <w:ind w:firstLine="480" w:firstLineChars="200"/>
        <w:rPr>
          <w:rFonts w:ascii="Times New Roman" w:hAnsi="Times New Roman"/>
          <w:sz w:val="24"/>
        </w:rPr>
      </w:pPr>
      <w:r>
        <w:rPr>
          <w:rFonts w:ascii="Times New Roman" w:hAnsi="Times New Roman"/>
          <w:sz w:val="24"/>
        </w:rPr>
        <w:t>根据自评报告中提出的不符合项，</w:t>
      </w:r>
      <w:r>
        <w:rPr>
          <w:rFonts w:hint="eastAsia" w:ascii="Times New Roman" w:hAnsi="Times New Roman"/>
          <w:sz w:val="24"/>
        </w:rPr>
        <w:t>各</w:t>
      </w:r>
      <w:r>
        <w:rPr>
          <w:rFonts w:ascii="Times New Roman" w:hAnsi="Times New Roman"/>
          <w:sz w:val="24"/>
        </w:rPr>
        <w:t>责任单位积极整改，截止到目前已经全部整改完毕，汇总表见下表，现场不符合项的整改情况见附件。</w:t>
      </w:r>
    </w:p>
    <w:p w14:paraId="154B2A2A">
      <w:pPr>
        <w:spacing w:line="580" w:lineRule="exact"/>
        <w:jc w:val="center"/>
        <w:rPr>
          <w:rFonts w:ascii="Times New Roman" w:hAnsi="Times New Roman"/>
          <w:b/>
          <w:sz w:val="24"/>
          <w:szCs w:val="24"/>
        </w:rPr>
      </w:pPr>
      <w:r>
        <w:rPr>
          <w:rFonts w:ascii="Times New Roman" w:hAnsi="Times New Roman"/>
          <w:b/>
          <w:sz w:val="24"/>
          <w:szCs w:val="24"/>
        </w:rPr>
        <w:t>表7-2公司自评不符合项整改情况表</w:t>
      </w:r>
    </w:p>
    <w:tbl>
      <w:tblPr>
        <w:tblStyle w:val="13"/>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4819"/>
        <w:gridCol w:w="2835"/>
        <w:gridCol w:w="1185"/>
      </w:tblGrid>
      <w:tr w14:paraId="12A6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1" w:type="dxa"/>
            <w:noWrap w:val="0"/>
            <w:tcMar>
              <w:left w:w="28" w:type="dxa"/>
              <w:right w:w="28" w:type="dxa"/>
            </w:tcMar>
            <w:vAlign w:val="center"/>
          </w:tcPr>
          <w:p w14:paraId="79C07579">
            <w:pPr>
              <w:snapToGrid w:val="0"/>
              <w:jc w:val="center"/>
              <w:rPr>
                <w:rFonts w:ascii="Times New Roman" w:hAnsi="Times New Roman"/>
                <w:b/>
                <w:bCs/>
                <w:sz w:val="24"/>
              </w:rPr>
            </w:pPr>
            <w:r>
              <w:rPr>
                <w:rFonts w:ascii="Times New Roman" w:hAnsi="Times New Roman"/>
                <w:b/>
                <w:bCs/>
                <w:sz w:val="24"/>
              </w:rPr>
              <w:t>序号</w:t>
            </w:r>
          </w:p>
        </w:tc>
        <w:tc>
          <w:tcPr>
            <w:tcW w:w="4819" w:type="dxa"/>
            <w:noWrap w:val="0"/>
            <w:tcMar>
              <w:left w:w="28" w:type="dxa"/>
              <w:right w:w="28" w:type="dxa"/>
            </w:tcMar>
            <w:vAlign w:val="center"/>
          </w:tcPr>
          <w:p w14:paraId="5EFDAD69">
            <w:pPr>
              <w:snapToGrid w:val="0"/>
              <w:jc w:val="center"/>
              <w:rPr>
                <w:rFonts w:ascii="Times New Roman" w:hAnsi="Times New Roman"/>
                <w:b/>
                <w:bCs/>
                <w:sz w:val="24"/>
              </w:rPr>
            </w:pPr>
            <w:r>
              <w:rPr>
                <w:rFonts w:ascii="Times New Roman" w:hAnsi="Times New Roman"/>
                <w:b/>
                <w:bCs/>
                <w:sz w:val="24"/>
              </w:rPr>
              <w:t>不符合项</w:t>
            </w:r>
          </w:p>
        </w:tc>
        <w:tc>
          <w:tcPr>
            <w:tcW w:w="2835" w:type="dxa"/>
            <w:noWrap w:val="0"/>
            <w:tcMar>
              <w:left w:w="28" w:type="dxa"/>
              <w:right w:w="28" w:type="dxa"/>
            </w:tcMar>
            <w:vAlign w:val="center"/>
          </w:tcPr>
          <w:p w14:paraId="439E0F08">
            <w:pPr>
              <w:snapToGrid w:val="0"/>
              <w:jc w:val="center"/>
              <w:rPr>
                <w:rFonts w:ascii="Times New Roman" w:hAnsi="Times New Roman"/>
                <w:b/>
                <w:bCs/>
                <w:sz w:val="24"/>
              </w:rPr>
            </w:pPr>
            <w:r>
              <w:rPr>
                <w:rFonts w:ascii="Times New Roman" w:hAnsi="Times New Roman"/>
                <w:b/>
                <w:bCs/>
                <w:sz w:val="24"/>
              </w:rPr>
              <w:t>整改情况</w:t>
            </w:r>
          </w:p>
        </w:tc>
        <w:tc>
          <w:tcPr>
            <w:tcW w:w="1185" w:type="dxa"/>
            <w:noWrap w:val="0"/>
            <w:tcMar>
              <w:left w:w="28" w:type="dxa"/>
              <w:right w:w="28" w:type="dxa"/>
            </w:tcMar>
            <w:vAlign w:val="center"/>
          </w:tcPr>
          <w:p w14:paraId="53D8C00C">
            <w:pPr>
              <w:snapToGrid w:val="0"/>
              <w:jc w:val="center"/>
              <w:rPr>
                <w:rFonts w:ascii="Times New Roman" w:hAnsi="Times New Roman"/>
                <w:b/>
                <w:bCs/>
                <w:sz w:val="24"/>
              </w:rPr>
            </w:pPr>
            <w:r>
              <w:rPr>
                <w:rFonts w:ascii="Times New Roman" w:hAnsi="Times New Roman"/>
                <w:b/>
                <w:bCs/>
                <w:sz w:val="24"/>
              </w:rPr>
              <w:t>整改情况</w:t>
            </w:r>
          </w:p>
        </w:tc>
      </w:tr>
      <w:tr w14:paraId="628B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35C2157A">
            <w:pPr>
              <w:snapToGrid w:val="0"/>
              <w:jc w:val="center"/>
              <w:rPr>
                <w:rFonts w:ascii="Times New Roman" w:hAnsi="Times New Roman"/>
                <w:sz w:val="24"/>
              </w:rPr>
            </w:pPr>
            <w:r>
              <w:rPr>
                <w:rFonts w:ascii="Times New Roman" w:hAnsi="Times New Roman"/>
                <w:sz w:val="24"/>
              </w:rPr>
              <w:t>1</w:t>
            </w:r>
          </w:p>
        </w:tc>
        <w:tc>
          <w:tcPr>
            <w:tcW w:w="4819" w:type="dxa"/>
            <w:noWrap w:val="0"/>
            <w:tcMar>
              <w:left w:w="28" w:type="dxa"/>
              <w:right w:w="28" w:type="dxa"/>
            </w:tcMar>
            <w:vAlign w:val="center"/>
          </w:tcPr>
          <w:p w14:paraId="1AC2707A">
            <w:pPr>
              <w:snapToGrid w:val="0"/>
              <w:jc w:val="left"/>
              <w:rPr>
                <w:rFonts w:ascii="Times New Roman" w:hAnsi="Times New Roman"/>
                <w:szCs w:val="21"/>
              </w:rPr>
            </w:pPr>
            <w:r>
              <w:rPr>
                <w:rFonts w:ascii="Times New Roman" w:hAnsi="Times New Roman"/>
                <w:szCs w:val="21"/>
              </w:rPr>
              <w:t>部分法规标准过期</w:t>
            </w:r>
          </w:p>
        </w:tc>
        <w:tc>
          <w:tcPr>
            <w:tcW w:w="2835" w:type="dxa"/>
            <w:noWrap w:val="0"/>
            <w:tcMar>
              <w:left w:w="28" w:type="dxa"/>
              <w:right w:w="28" w:type="dxa"/>
            </w:tcMar>
            <w:vAlign w:val="center"/>
          </w:tcPr>
          <w:p w14:paraId="548A0A22">
            <w:pPr>
              <w:snapToGrid w:val="0"/>
              <w:jc w:val="left"/>
              <w:rPr>
                <w:rFonts w:ascii="Times New Roman" w:hAnsi="Times New Roman"/>
                <w:szCs w:val="21"/>
              </w:rPr>
            </w:pPr>
            <w:r>
              <w:rPr>
                <w:rFonts w:hint="eastAsia" w:ascii="Times New Roman" w:hAnsi="Times New Roman"/>
                <w:szCs w:val="21"/>
              </w:rPr>
              <w:t>已更新文本数据库及清单</w:t>
            </w:r>
          </w:p>
        </w:tc>
        <w:tc>
          <w:tcPr>
            <w:tcW w:w="1185" w:type="dxa"/>
            <w:noWrap w:val="0"/>
            <w:tcMar>
              <w:left w:w="28" w:type="dxa"/>
              <w:right w:w="28" w:type="dxa"/>
            </w:tcMar>
            <w:vAlign w:val="center"/>
          </w:tcPr>
          <w:p w14:paraId="10BA33E6">
            <w:pPr>
              <w:snapToGrid w:val="0"/>
              <w:jc w:val="center"/>
              <w:rPr>
                <w:rFonts w:ascii="Times New Roman" w:hAnsi="Times New Roman"/>
                <w:sz w:val="24"/>
              </w:rPr>
            </w:pPr>
            <w:r>
              <w:rPr>
                <w:rFonts w:ascii="Times New Roman" w:hAnsi="Times New Roman"/>
                <w:sz w:val="24"/>
              </w:rPr>
              <w:t>已整改</w:t>
            </w:r>
          </w:p>
        </w:tc>
      </w:tr>
      <w:tr w14:paraId="3AE4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539DF6C5">
            <w:pPr>
              <w:snapToGrid w:val="0"/>
              <w:jc w:val="center"/>
              <w:rPr>
                <w:rFonts w:ascii="Times New Roman" w:hAnsi="Times New Roman"/>
                <w:sz w:val="24"/>
              </w:rPr>
            </w:pPr>
            <w:r>
              <w:rPr>
                <w:rFonts w:ascii="Times New Roman" w:hAnsi="Times New Roman"/>
                <w:sz w:val="24"/>
              </w:rPr>
              <w:t>2</w:t>
            </w:r>
          </w:p>
        </w:tc>
        <w:tc>
          <w:tcPr>
            <w:tcW w:w="4819" w:type="dxa"/>
            <w:noWrap w:val="0"/>
            <w:tcMar>
              <w:left w:w="28" w:type="dxa"/>
              <w:right w:w="28" w:type="dxa"/>
            </w:tcMar>
            <w:vAlign w:val="center"/>
          </w:tcPr>
          <w:p w14:paraId="079552C9">
            <w:pPr>
              <w:snapToGrid w:val="0"/>
              <w:jc w:val="left"/>
              <w:rPr>
                <w:rFonts w:hint="eastAsia" w:ascii="Times New Roman" w:hAnsi="Times New Roman"/>
                <w:szCs w:val="21"/>
              </w:rPr>
            </w:pPr>
            <w:r>
              <w:rPr>
                <w:rFonts w:ascii="Times New Roman" w:hAnsi="Times New Roman"/>
                <w:szCs w:val="21"/>
              </w:rPr>
              <w:t>符合性评估报告不完善</w:t>
            </w:r>
          </w:p>
        </w:tc>
        <w:tc>
          <w:tcPr>
            <w:tcW w:w="2835" w:type="dxa"/>
            <w:noWrap w:val="0"/>
            <w:tcMar>
              <w:left w:w="28" w:type="dxa"/>
              <w:right w:w="28" w:type="dxa"/>
            </w:tcMar>
            <w:vAlign w:val="center"/>
          </w:tcPr>
          <w:p w14:paraId="3FA49DD2">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完善评估报告</w:t>
            </w:r>
          </w:p>
        </w:tc>
        <w:tc>
          <w:tcPr>
            <w:tcW w:w="1185" w:type="dxa"/>
            <w:noWrap w:val="0"/>
            <w:tcMar>
              <w:left w:w="28" w:type="dxa"/>
              <w:right w:w="28" w:type="dxa"/>
            </w:tcMar>
            <w:vAlign w:val="center"/>
          </w:tcPr>
          <w:p w14:paraId="2436571B">
            <w:pPr>
              <w:snapToGrid w:val="0"/>
              <w:jc w:val="center"/>
              <w:rPr>
                <w:rFonts w:ascii="Times New Roman" w:hAnsi="Times New Roman"/>
                <w:sz w:val="24"/>
              </w:rPr>
            </w:pPr>
            <w:r>
              <w:rPr>
                <w:rFonts w:ascii="Times New Roman" w:hAnsi="Times New Roman"/>
                <w:sz w:val="24"/>
              </w:rPr>
              <w:t>已整改</w:t>
            </w:r>
          </w:p>
        </w:tc>
      </w:tr>
      <w:tr w14:paraId="58E9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0C8AA603">
            <w:pPr>
              <w:snapToGrid w:val="0"/>
              <w:jc w:val="center"/>
              <w:rPr>
                <w:rFonts w:ascii="Times New Roman" w:hAnsi="Times New Roman"/>
                <w:kern w:val="0"/>
                <w:sz w:val="24"/>
              </w:rPr>
            </w:pPr>
            <w:r>
              <w:rPr>
                <w:rFonts w:ascii="Times New Roman" w:hAnsi="Times New Roman"/>
                <w:kern w:val="0"/>
                <w:sz w:val="24"/>
              </w:rPr>
              <w:t>3</w:t>
            </w:r>
          </w:p>
        </w:tc>
        <w:tc>
          <w:tcPr>
            <w:tcW w:w="4819" w:type="dxa"/>
            <w:noWrap w:val="0"/>
            <w:tcMar>
              <w:left w:w="28" w:type="dxa"/>
              <w:right w:w="28" w:type="dxa"/>
            </w:tcMar>
            <w:vAlign w:val="center"/>
          </w:tcPr>
          <w:p w14:paraId="1352FC5F">
            <w:pPr>
              <w:snapToGrid w:val="0"/>
              <w:jc w:val="left"/>
              <w:rPr>
                <w:rFonts w:ascii="Times New Roman" w:hAnsi="Times New Roman"/>
                <w:szCs w:val="21"/>
              </w:rPr>
            </w:pPr>
            <w:r>
              <w:rPr>
                <w:rFonts w:ascii="Times New Roman" w:hAnsi="Times New Roman"/>
                <w:szCs w:val="21"/>
              </w:rPr>
              <w:t>未落实安全生产目标考核奖惩</w:t>
            </w:r>
          </w:p>
        </w:tc>
        <w:tc>
          <w:tcPr>
            <w:tcW w:w="2835" w:type="dxa"/>
            <w:noWrap w:val="0"/>
            <w:tcMar>
              <w:left w:w="28" w:type="dxa"/>
              <w:right w:w="28" w:type="dxa"/>
            </w:tcMar>
            <w:vAlign w:val="center"/>
          </w:tcPr>
          <w:p w14:paraId="52651B0D">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开展评估考核，并予以奖惩</w:t>
            </w:r>
          </w:p>
        </w:tc>
        <w:tc>
          <w:tcPr>
            <w:tcW w:w="1185" w:type="dxa"/>
            <w:noWrap w:val="0"/>
            <w:tcMar>
              <w:left w:w="28" w:type="dxa"/>
              <w:right w:w="28" w:type="dxa"/>
            </w:tcMar>
            <w:vAlign w:val="center"/>
          </w:tcPr>
          <w:p w14:paraId="0A9A6286">
            <w:pPr>
              <w:snapToGrid w:val="0"/>
              <w:jc w:val="center"/>
              <w:rPr>
                <w:rFonts w:ascii="Times New Roman" w:hAnsi="Times New Roman"/>
                <w:bCs/>
                <w:kern w:val="0"/>
                <w:sz w:val="24"/>
              </w:rPr>
            </w:pPr>
            <w:r>
              <w:rPr>
                <w:rFonts w:ascii="Times New Roman" w:hAnsi="Times New Roman"/>
                <w:sz w:val="24"/>
              </w:rPr>
              <w:t>已整改</w:t>
            </w:r>
          </w:p>
        </w:tc>
      </w:tr>
      <w:tr w14:paraId="48D2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4F74D781">
            <w:pPr>
              <w:snapToGrid w:val="0"/>
              <w:jc w:val="center"/>
              <w:rPr>
                <w:rFonts w:ascii="Times New Roman" w:hAnsi="Times New Roman"/>
                <w:kern w:val="0"/>
                <w:sz w:val="24"/>
              </w:rPr>
            </w:pPr>
            <w:r>
              <w:rPr>
                <w:rFonts w:ascii="Times New Roman" w:hAnsi="Times New Roman"/>
                <w:kern w:val="0"/>
                <w:sz w:val="24"/>
              </w:rPr>
              <w:t>4</w:t>
            </w:r>
          </w:p>
        </w:tc>
        <w:tc>
          <w:tcPr>
            <w:tcW w:w="4819" w:type="dxa"/>
            <w:noWrap w:val="0"/>
            <w:tcMar>
              <w:left w:w="28" w:type="dxa"/>
              <w:right w:w="28" w:type="dxa"/>
            </w:tcMar>
            <w:vAlign w:val="center"/>
          </w:tcPr>
          <w:p w14:paraId="1238EBAF">
            <w:pPr>
              <w:snapToGrid w:val="0"/>
              <w:jc w:val="left"/>
              <w:rPr>
                <w:rFonts w:ascii="Times New Roman" w:hAnsi="Times New Roman"/>
                <w:szCs w:val="21"/>
              </w:rPr>
            </w:pPr>
            <w:r>
              <w:rPr>
                <w:rFonts w:ascii="Times New Roman" w:hAnsi="Times New Roman"/>
                <w:szCs w:val="21"/>
              </w:rPr>
              <w:t>主要负责人安全承诺书未公开</w:t>
            </w:r>
          </w:p>
        </w:tc>
        <w:tc>
          <w:tcPr>
            <w:tcW w:w="2835" w:type="dxa"/>
            <w:noWrap w:val="0"/>
            <w:tcMar>
              <w:left w:w="28" w:type="dxa"/>
              <w:right w:w="28" w:type="dxa"/>
            </w:tcMar>
            <w:vAlign w:val="center"/>
          </w:tcPr>
          <w:p w14:paraId="3A814A7F">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予以公开</w:t>
            </w:r>
          </w:p>
        </w:tc>
        <w:tc>
          <w:tcPr>
            <w:tcW w:w="1185" w:type="dxa"/>
            <w:noWrap w:val="0"/>
            <w:tcMar>
              <w:left w:w="28" w:type="dxa"/>
              <w:right w:w="28" w:type="dxa"/>
            </w:tcMar>
            <w:vAlign w:val="center"/>
          </w:tcPr>
          <w:p w14:paraId="1528F853">
            <w:pPr>
              <w:snapToGrid w:val="0"/>
              <w:jc w:val="center"/>
              <w:rPr>
                <w:rFonts w:ascii="Times New Roman" w:hAnsi="Times New Roman"/>
                <w:sz w:val="24"/>
              </w:rPr>
            </w:pPr>
            <w:r>
              <w:rPr>
                <w:rFonts w:ascii="Times New Roman" w:hAnsi="Times New Roman"/>
                <w:sz w:val="24"/>
              </w:rPr>
              <w:t>已整改</w:t>
            </w:r>
          </w:p>
        </w:tc>
      </w:tr>
      <w:tr w14:paraId="07C2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232DB0CF">
            <w:pPr>
              <w:snapToGrid w:val="0"/>
              <w:jc w:val="center"/>
              <w:rPr>
                <w:rFonts w:ascii="Times New Roman" w:hAnsi="Times New Roman"/>
                <w:kern w:val="0"/>
                <w:sz w:val="24"/>
              </w:rPr>
            </w:pPr>
            <w:r>
              <w:rPr>
                <w:rFonts w:ascii="Times New Roman" w:hAnsi="Times New Roman"/>
                <w:kern w:val="0"/>
                <w:sz w:val="24"/>
              </w:rPr>
              <w:t>5</w:t>
            </w:r>
          </w:p>
        </w:tc>
        <w:tc>
          <w:tcPr>
            <w:tcW w:w="4819" w:type="dxa"/>
            <w:noWrap w:val="0"/>
            <w:tcMar>
              <w:left w:w="28" w:type="dxa"/>
              <w:right w:w="28" w:type="dxa"/>
            </w:tcMar>
            <w:vAlign w:val="center"/>
          </w:tcPr>
          <w:p w14:paraId="218416EF">
            <w:pPr>
              <w:snapToGrid w:val="0"/>
              <w:jc w:val="left"/>
              <w:rPr>
                <w:rFonts w:ascii="Times New Roman" w:hAnsi="Times New Roman"/>
                <w:szCs w:val="21"/>
              </w:rPr>
            </w:pPr>
            <w:r>
              <w:rPr>
                <w:rFonts w:ascii="Times New Roman" w:hAnsi="Times New Roman"/>
                <w:szCs w:val="21"/>
              </w:rPr>
              <w:t>无领导带班情况的考核记录</w:t>
            </w:r>
          </w:p>
        </w:tc>
        <w:tc>
          <w:tcPr>
            <w:tcW w:w="2835" w:type="dxa"/>
            <w:noWrap w:val="0"/>
            <w:tcMar>
              <w:left w:w="28" w:type="dxa"/>
              <w:right w:w="28" w:type="dxa"/>
            </w:tcMar>
            <w:vAlign w:val="center"/>
          </w:tcPr>
          <w:p w14:paraId="6A1F599E">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对领导带班执行情况予以考核</w:t>
            </w:r>
          </w:p>
        </w:tc>
        <w:tc>
          <w:tcPr>
            <w:tcW w:w="1185" w:type="dxa"/>
            <w:noWrap w:val="0"/>
            <w:tcMar>
              <w:left w:w="28" w:type="dxa"/>
              <w:right w:w="28" w:type="dxa"/>
            </w:tcMar>
            <w:vAlign w:val="center"/>
          </w:tcPr>
          <w:p w14:paraId="7FD7FD20">
            <w:pPr>
              <w:snapToGrid w:val="0"/>
              <w:jc w:val="center"/>
              <w:rPr>
                <w:rFonts w:ascii="Times New Roman" w:hAnsi="Times New Roman"/>
                <w:sz w:val="24"/>
              </w:rPr>
            </w:pPr>
            <w:r>
              <w:rPr>
                <w:rFonts w:ascii="Times New Roman" w:hAnsi="Times New Roman"/>
                <w:sz w:val="24"/>
              </w:rPr>
              <w:t>已整改</w:t>
            </w:r>
          </w:p>
        </w:tc>
      </w:tr>
      <w:tr w14:paraId="2D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1E646076">
            <w:pPr>
              <w:snapToGrid w:val="0"/>
              <w:jc w:val="center"/>
              <w:rPr>
                <w:rFonts w:ascii="Times New Roman" w:hAnsi="Times New Roman"/>
                <w:kern w:val="0"/>
                <w:sz w:val="24"/>
              </w:rPr>
            </w:pPr>
            <w:r>
              <w:rPr>
                <w:rFonts w:ascii="Times New Roman" w:hAnsi="Times New Roman"/>
                <w:kern w:val="0"/>
                <w:sz w:val="24"/>
              </w:rPr>
              <w:t>6</w:t>
            </w:r>
          </w:p>
        </w:tc>
        <w:tc>
          <w:tcPr>
            <w:tcW w:w="4819" w:type="dxa"/>
            <w:noWrap w:val="0"/>
            <w:tcMar>
              <w:left w:w="28" w:type="dxa"/>
              <w:right w:w="28" w:type="dxa"/>
            </w:tcMar>
            <w:vAlign w:val="center"/>
          </w:tcPr>
          <w:p w14:paraId="3D5AF60F">
            <w:pPr>
              <w:snapToGrid w:val="0"/>
              <w:jc w:val="left"/>
              <w:rPr>
                <w:rStyle w:val="20"/>
                <w:rFonts w:hint="default" w:ascii="Times New Roman" w:hAnsi="Times New Roman"/>
                <w:sz w:val="21"/>
                <w:szCs w:val="21"/>
              </w:rPr>
            </w:pPr>
            <w:r>
              <w:rPr>
                <w:rFonts w:ascii="Times New Roman" w:hAnsi="Times New Roman"/>
                <w:szCs w:val="21"/>
              </w:rPr>
              <w:t>未建立非常规作业活动清单</w:t>
            </w:r>
          </w:p>
        </w:tc>
        <w:tc>
          <w:tcPr>
            <w:tcW w:w="2835" w:type="dxa"/>
            <w:noWrap w:val="0"/>
            <w:tcMar>
              <w:left w:w="28" w:type="dxa"/>
              <w:right w:w="28" w:type="dxa"/>
            </w:tcMar>
            <w:vAlign w:val="center"/>
          </w:tcPr>
          <w:p w14:paraId="78227A67">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建立非常规作业活动清单</w:t>
            </w:r>
          </w:p>
        </w:tc>
        <w:tc>
          <w:tcPr>
            <w:tcW w:w="1185" w:type="dxa"/>
            <w:noWrap w:val="0"/>
            <w:tcMar>
              <w:left w:w="28" w:type="dxa"/>
              <w:right w:w="28" w:type="dxa"/>
            </w:tcMar>
            <w:vAlign w:val="center"/>
          </w:tcPr>
          <w:p w14:paraId="73FB492C">
            <w:pPr>
              <w:snapToGrid w:val="0"/>
              <w:jc w:val="center"/>
              <w:rPr>
                <w:rFonts w:ascii="Times New Roman" w:hAnsi="Times New Roman"/>
                <w:sz w:val="24"/>
              </w:rPr>
            </w:pPr>
            <w:r>
              <w:rPr>
                <w:rFonts w:ascii="Times New Roman" w:hAnsi="Times New Roman"/>
                <w:sz w:val="24"/>
              </w:rPr>
              <w:t>已整改</w:t>
            </w:r>
          </w:p>
        </w:tc>
      </w:tr>
      <w:tr w14:paraId="34DF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76354557">
            <w:pPr>
              <w:snapToGrid w:val="0"/>
              <w:jc w:val="center"/>
              <w:rPr>
                <w:rFonts w:ascii="Times New Roman" w:hAnsi="Times New Roman"/>
                <w:kern w:val="0"/>
                <w:sz w:val="24"/>
              </w:rPr>
            </w:pPr>
            <w:r>
              <w:rPr>
                <w:rFonts w:ascii="Times New Roman" w:hAnsi="Times New Roman"/>
                <w:kern w:val="0"/>
                <w:sz w:val="24"/>
              </w:rPr>
              <w:t>7</w:t>
            </w:r>
          </w:p>
        </w:tc>
        <w:tc>
          <w:tcPr>
            <w:tcW w:w="4819" w:type="dxa"/>
            <w:noWrap w:val="0"/>
            <w:tcMar>
              <w:left w:w="28" w:type="dxa"/>
              <w:right w:w="28" w:type="dxa"/>
            </w:tcMar>
            <w:vAlign w:val="center"/>
          </w:tcPr>
          <w:p w14:paraId="6400F06C">
            <w:pPr>
              <w:snapToGrid w:val="0"/>
              <w:jc w:val="left"/>
              <w:rPr>
                <w:rFonts w:ascii="Times New Roman" w:hAnsi="Times New Roman"/>
                <w:szCs w:val="21"/>
              </w:rPr>
            </w:pPr>
            <w:r>
              <w:rPr>
                <w:rFonts w:ascii="Times New Roman" w:hAnsi="Times New Roman"/>
                <w:szCs w:val="21"/>
              </w:rPr>
              <w:t>隐患排查治理台账不完善，</w:t>
            </w:r>
            <w:r>
              <w:rPr>
                <w:rFonts w:hint="eastAsia" w:ascii="Times New Roman" w:hAnsi="Times New Roman"/>
                <w:szCs w:val="21"/>
              </w:rPr>
              <w:t>无检查类型、检查时间、原因分析、隐患等级、验收人及时间等内容</w:t>
            </w:r>
          </w:p>
        </w:tc>
        <w:tc>
          <w:tcPr>
            <w:tcW w:w="2835" w:type="dxa"/>
            <w:noWrap w:val="0"/>
            <w:tcMar>
              <w:left w:w="28" w:type="dxa"/>
              <w:right w:w="28" w:type="dxa"/>
            </w:tcMar>
            <w:vAlign w:val="center"/>
          </w:tcPr>
          <w:p w14:paraId="52525011">
            <w:pPr>
              <w:snapToGrid w:val="0"/>
              <w:jc w:val="left"/>
              <w:rPr>
                <w:rFonts w:hint="eastAsia" w:ascii="Times New Roman" w:hAnsi="Times New Roman"/>
                <w:szCs w:val="21"/>
              </w:rPr>
            </w:pPr>
            <w:r>
              <w:rPr>
                <w:rFonts w:hint="eastAsia" w:ascii="Times New Roman" w:hAnsi="Times New Roman"/>
                <w:szCs w:val="21"/>
              </w:rPr>
              <w:t>已</w:t>
            </w:r>
            <w:r>
              <w:rPr>
                <w:rFonts w:ascii="Times New Roman" w:hAnsi="Times New Roman"/>
                <w:szCs w:val="21"/>
              </w:rPr>
              <w:t>完善台账内容</w:t>
            </w:r>
          </w:p>
        </w:tc>
        <w:tc>
          <w:tcPr>
            <w:tcW w:w="1185" w:type="dxa"/>
            <w:noWrap w:val="0"/>
            <w:tcMar>
              <w:left w:w="28" w:type="dxa"/>
              <w:right w:w="28" w:type="dxa"/>
            </w:tcMar>
            <w:vAlign w:val="center"/>
          </w:tcPr>
          <w:p w14:paraId="6431152F">
            <w:pPr>
              <w:snapToGrid w:val="0"/>
              <w:jc w:val="center"/>
              <w:rPr>
                <w:rFonts w:ascii="Times New Roman" w:hAnsi="Times New Roman"/>
                <w:sz w:val="24"/>
              </w:rPr>
            </w:pPr>
            <w:r>
              <w:rPr>
                <w:rFonts w:ascii="Times New Roman" w:hAnsi="Times New Roman"/>
                <w:sz w:val="24"/>
              </w:rPr>
              <w:t>已整改</w:t>
            </w:r>
          </w:p>
        </w:tc>
      </w:tr>
      <w:tr w14:paraId="5DF8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302F7951">
            <w:pPr>
              <w:snapToGrid w:val="0"/>
              <w:jc w:val="center"/>
              <w:rPr>
                <w:rFonts w:ascii="Times New Roman" w:hAnsi="Times New Roman"/>
                <w:kern w:val="0"/>
                <w:sz w:val="24"/>
              </w:rPr>
            </w:pPr>
            <w:r>
              <w:rPr>
                <w:rFonts w:ascii="Times New Roman" w:hAnsi="Times New Roman"/>
                <w:kern w:val="0"/>
                <w:sz w:val="24"/>
              </w:rPr>
              <w:t>8</w:t>
            </w:r>
          </w:p>
        </w:tc>
        <w:tc>
          <w:tcPr>
            <w:tcW w:w="4819" w:type="dxa"/>
            <w:noWrap w:val="0"/>
            <w:tcMar>
              <w:left w:w="28" w:type="dxa"/>
              <w:right w:w="28" w:type="dxa"/>
            </w:tcMar>
            <w:vAlign w:val="center"/>
          </w:tcPr>
          <w:p w14:paraId="38389202">
            <w:pPr>
              <w:snapToGrid w:val="0"/>
              <w:spacing w:line="240" w:lineRule="exact"/>
              <w:jc w:val="left"/>
              <w:rPr>
                <w:rFonts w:ascii="Times New Roman" w:hAnsi="Times New Roman"/>
                <w:szCs w:val="21"/>
              </w:rPr>
            </w:pPr>
            <w:r>
              <w:rPr>
                <w:rFonts w:hint="eastAsia" w:ascii="Times New Roman" w:hAnsi="Times New Roman"/>
                <w:szCs w:val="21"/>
              </w:rPr>
              <w:t>无</w:t>
            </w:r>
            <w:r>
              <w:rPr>
                <w:rFonts w:ascii="Times New Roman" w:hAnsi="Times New Roman"/>
                <w:szCs w:val="21"/>
              </w:rPr>
              <w:t>培训效果评估记录</w:t>
            </w:r>
          </w:p>
        </w:tc>
        <w:tc>
          <w:tcPr>
            <w:tcW w:w="2835" w:type="dxa"/>
            <w:noWrap w:val="0"/>
            <w:tcMar>
              <w:left w:w="28" w:type="dxa"/>
              <w:right w:w="28" w:type="dxa"/>
            </w:tcMar>
            <w:vAlign w:val="center"/>
          </w:tcPr>
          <w:p w14:paraId="36D8BFB7">
            <w:pPr>
              <w:snapToGrid w:val="0"/>
              <w:jc w:val="left"/>
              <w:rPr>
                <w:rFonts w:hint="eastAsia" w:ascii="Times New Roman" w:hAnsi="Times New Roman"/>
                <w:szCs w:val="21"/>
              </w:rPr>
            </w:pPr>
            <w:r>
              <w:rPr>
                <w:rFonts w:hint="eastAsia" w:ascii="Times New Roman" w:hAnsi="Times New Roman"/>
                <w:szCs w:val="21"/>
              </w:rPr>
              <w:t>已</w:t>
            </w:r>
            <w:r>
              <w:rPr>
                <w:rFonts w:ascii="Times New Roman" w:hAnsi="Times New Roman"/>
                <w:szCs w:val="21"/>
              </w:rPr>
              <w:t>开展培训效果评估</w:t>
            </w:r>
          </w:p>
        </w:tc>
        <w:tc>
          <w:tcPr>
            <w:tcW w:w="1185" w:type="dxa"/>
            <w:noWrap w:val="0"/>
            <w:tcMar>
              <w:left w:w="28" w:type="dxa"/>
              <w:right w:w="28" w:type="dxa"/>
            </w:tcMar>
            <w:vAlign w:val="center"/>
          </w:tcPr>
          <w:p w14:paraId="56F41D3F">
            <w:pPr>
              <w:snapToGrid w:val="0"/>
              <w:jc w:val="center"/>
              <w:rPr>
                <w:rFonts w:ascii="Times New Roman" w:hAnsi="Times New Roman"/>
              </w:rPr>
            </w:pPr>
            <w:r>
              <w:rPr>
                <w:rFonts w:ascii="Times New Roman" w:hAnsi="Times New Roman"/>
                <w:sz w:val="24"/>
              </w:rPr>
              <w:t>已整改</w:t>
            </w:r>
          </w:p>
        </w:tc>
      </w:tr>
      <w:tr w14:paraId="2688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36CDD6DE">
            <w:pPr>
              <w:snapToGrid w:val="0"/>
              <w:jc w:val="center"/>
              <w:rPr>
                <w:rFonts w:ascii="Times New Roman" w:hAnsi="Times New Roman"/>
                <w:kern w:val="0"/>
                <w:sz w:val="24"/>
              </w:rPr>
            </w:pPr>
            <w:r>
              <w:rPr>
                <w:rFonts w:ascii="Times New Roman" w:hAnsi="Times New Roman"/>
                <w:kern w:val="0"/>
                <w:sz w:val="24"/>
              </w:rPr>
              <w:t>9</w:t>
            </w:r>
          </w:p>
        </w:tc>
        <w:tc>
          <w:tcPr>
            <w:tcW w:w="4819" w:type="dxa"/>
            <w:noWrap w:val="0"/>
            <w:tcMar>
              <w:left w:w="28" w:type="dxa"/>
              <w:right w:w="28" w:type="dxa"/>
            </w:tcMar>
            <w:vAlign w:val="center"/>
          </w:tcPr>
          <w:p w14:paraId="46D14E5F">
            <w:pPr>
              <w:tabs>
                <w:tab w:val="left" w:pos="531"/>
              </w:tabs>
              <w:snapToGrid w:val="0"/>
              <w:jc w:val="left"/>
              <w:rPr>
                <w:rFonts w:ascii="Times New Roman" w:hAnsi="Times New Roman"/>
                <w:szCs w:val="21"/>
              </w:rPr>
            </w:pPr>
            <w:r>
              <w:rPr>
                <w:rFonts w:hint="eastAsia" w:ascii="Times New Roman" w:hAnsi="Times New Roman"/>
                <w:szCs w:val="21"/>
              </w:rPr>
              <w:t>无转岗员工安全培训记录</w:t>
            </w:r>
          </w:p>
        </w:tc>
        <w:tc>
          <w:tcPr>
            <w:tcW w:w="2835" w:type="dxa"/>
            <w:noWrap w:val="0"/>
            <w:tcMar>
              <w:left w:w="28" w:type="dxa"/>
              <w:right w:w="28" w:type="dxa"/>
            </w:tcMar>
            <w:vAlign w:val="center"/>
          </w:tcPr>
          <w:p w14:paraId="2DF375DB">
            <w:pPr>
              <w:snapToGrid w:val="0"/>
              <w:jc w:val="left"/>
              <w:rPr>
                <w:rFonts w:hint="eastAsia" w:ascii="Times New Roman" w:hAnsi="Times New Roman"/>
                <w:szCs w:val="21"/>
              </w:rPr>
            </w:pPr>
            <w:r>
              <w:rPr>
                <w:rFonts w:hint="eastAsia" w:ascii="Times New Roman" w:hAnsi="Times New Roman"/>
                <w:szCs w:val="21"/>
              </w:rPr>
              <w:t>已</w:t>
            </w:r>
            <w:r>
              <w:rPr>
                <w:rFonts w:ascii="Times New Roman" w:hAnsi="Times New Roman"/>
                <w:szCs w:val="21"/>
              </w:rPr>
              <w:t>按要求予以培训，留存记录</w:t>
            </w:r>
          </w:p>
        </w:tc>
        <w:tc>
          <w:tcPr>
            <w:tcW w:w="1185" w:type="dxa"/>
            <w:noWrap w:val="0"/>
            <w:tcMar>
              <w:left w:w="28" w:type="dxa"/>
              <w:right w:w="28" w:type="dxa"/>
            </w:tcMar>
            <w:vAlign w:val="center"/>
          </w:tcPr>
          <w:p w14:paraId="77551311">
            <w:pPr>
              <w:snapToGrid w:val="0"/>
              <w:jc w:val="center"/>
              <w:rPr>
                <w:rFonts w:ascii="Times New Roman" w:hAnsi="Times New Roman"/>
              </w:rPr>
            </w:pPr>
            <w:r>
              <w:rPr>
                <w:rFonts w:ascii="Times New Roman" w:hAnsi="Times New Roman"/>
                <w:sz w:val="24"/>
              </w:rPr>
              <w:t>已整改</w:t>
            </w:r>
          </w:p>
        </w:tc>
      </w:tr>
      <w:tr w14:paraId="76E7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79F30F64">
            <w:pPr>
              <w:snapToGrid w:val="0"/>
              <w:jc w:val="center"/>
              <w:rPr>
                <w:rFonts w:ascii="Times New Roman" w:hAnsi="Times New Roman"/>
                <w:kern w:val="0"/>
                <w:sz w:val="24"/>
              </w:rPr>
            </w:pPr>
            <w:r>
              <w:rPr>
                <w:rFonts w:ascii="Times New Roman" w:hAnsi="Times New Roman"/>
                <w:kern w:val="0"/>
                <w:sz w:val="24"/>
              </w:rPr>
              <w:t>10</w:t>
            </w:r>
          </w:p>
        </w:tc>
        <w:tc>
          <w:tcPr>
            <w:tcW w:w="4819" w:type="dxa"/>
            <w:noWrap w:val="0"/>
            <w:tcMar>
              <w:left w:w="28" w:type="dxa"/>
              <w:right w:w="28" w:type="dxa"/>
            </w:tcMar>
            <w:vAlign w:val="center"/>
          </w:tcPr>
          <w:p w14:paraId="2022943B">
            <w:pPr>
              <w:snapToGrid w:val="0"/>
              <w:jc w:val="left"/>
              <w:rPr>
                <w:rFonts w:ascii="Times New Roman" w:hAnsi="Times New Roman"/>
                <w:szCs w:val="21"/>
              </w:rPr>
            </w:pPr>
            <w:r>
              <w:rPr>
                <w:rFonts w:ascii="Times New Roman" w:hAnsi="Times New Roman"/>
                <w:szCs w:val="21"/>
              </w:rPr>
              <w:t>部分班组安全活动记录填写不规范，频次不符合</w:t>
            </w:r>
          </w:p>
        </w:tc>
        <w:tc>
          <w:tcPr>
            <w:tcW w:w="2835" w:type="dxa"/>
            <w:noWrap w:val="0"/>
            <w:tcMar>
              <w:left w:w="28" w:type="dxa"/>
              <w:right w:w="28" w:type="dxa"/>
            </w:tcMar>
            <w:vAlign w:val="center"/>
          </w:tcPr>
          <w:p w14:paraId="02602783">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按要求落实班组安全活动，并记录</w:t>
            </w:r>
          </w:p>
        </w:tc>
        <w:tc>
          <w:tcPr>
            <w:tcW w:w="1185" w:type="dxa"/>
            <w:noWrap w:val="0"/>
            <w:tcMar>
              <w:left w:w="28" w:type="dxa"/>
              <w:right w:w="28" w:type="dxa"/>
            </w:tcMar>
            <w:vAlign w:val="center"/>
          </w:tcPr>
          <w:p w14:paraId="3FD50397">
            <w:pPr>
              <w:snapToGrid w:val="0"/>
              <w:jc w:val="center"/>
              <w:rPr>
                <w:rFonts w:ascii="Times New Roman" w:hAnsi="Times New Roman"/>
              </w:rPr>
            </w:pPr>
            <w:r>
              <w:rPr>
                <w:rFonts w:ascii="Times New Roman" w:hAnsi="Times New Roman"/>
                <w:sz w:val="24"/>
              </w:rPr>
              <w:t>已整改</w:t>
            </w:r>
          </w:p>
        </w:tc>
      </w:tr>
      <w:tr w14:paraId="6C97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5AAFEF44">
            <w:pPr>
              <w:snapToGrid w:val="0"/>
              <w:jc w:val="center"/>
              <w:rPr>
                <w:rFonts w:ascii="Times New Roman" w:hAnsi="Times New Roman"/>
                <w:kern w:val="0"/>
                <w:sz w:val="24"/>
              </w:rPr>
            </w:pPr>
            <w:r>
              <w:rPr>
                <w:rFonts w:ascii="Times New Roman" w:hAnsi="Times New Roman"/>
                <w:kern w:val="0"/>
                <w:sz w:val="24"/>
              </w:rPr>
              <w:t>11</w:t>
            </w:r>
          </w:p>
        </w:tc>
        <w:tc>
          <w:tcPr>
            <w:tcW w:w="4819" w:type="dxa"/>
            <w:noWrap w:val="0"/>
            <w:tcMar>
              <w:left w:w="28" w:type="dxa"/>
              <w:right w:w="28" w:type="dxa"/>
            </w:tcMar>
            <w:vAlign w:val="center"/>
          </w:tcPr>
          <w:p w14:paraId="2A9518A3">
            <w:pPr>
              <w:tabs>
                <w:tab w:val="left" w:pos="372"/>
                <w:tab w:val="left" w:pos="3976"/>
              </w:tabs>
              <w:autoSpaceDE w:val="0"/>
              <w:autoSpaceDN w:val="0"/>
              <w:adjustRightInd w:val="0"/>
              <w:snapToGrid w:val="0"/>
              <w:spacing w:line="240" w:lineRule="exact"/>
              <w:jc w:val="left"/>
              <w:rPr>
                <w:rFonts w:ascii="Times New Roman" w:hAnsi="Times New Roman"/>
                <w:szCs w:val="21"/>
              </w:rPr>
            </w:pPr>
            <w:r>
              <w:rPr>
                <w:rFonts w:hint="eastAsia" w:ascii="Times New Roman" w:hAnsi="Times New Roman"/>
                <w:szCs w:val="21"/>
                <w:lang w:val="en-US" w:eastAsia="zh-CN"/>
              </w:rPr>
              <w:t>变更管理无风险分析</w:t>
            </w:r>
          </w:p>
        </w:tc>
        <w:tc>
          <w:tcPr>
            <w:tcW w:w="2835" w:type="dxa"/>
            <w:noWrap w:val="0"/>
            <w:tcMar>
              <w:left w:w="28" w:type="dxa"/>
              <w:right w:w="28" w:type="dxa"/>
            </w:tcMar>
            <w:vAlign w:val="center"/>
          </w:tcPr>
          <w:p w14:paraId="7F889C35">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相应整改</w:t>
            </w:r>
          </w:p>
        </w:tc>
        <w:tc>
          <w:tcPr>
            <w:tcW w:w="1185" w:type="dxa"/>
            <w:noWrap w:val="0"/>
            <w:tcMar>
              <w:left w:w="28" w:type="dxa"/>
              <w:right w:w="28" w:type="dxa"/>
            </w:tcMar>
            <w:vAlign w:val="center"/>
          </w:tcPr>
          <w:p w14:paraId="56D6D1F8">
            <w:pPr>
              <w:snapToGrid w:val="0"/>
              <w:jc w:val="center"/>
              <w:rPr>
                <w:rFonts w:ascii="Times New Roman" w:hAnsi="Times New Roman"/>
              </w:rPr>
            </w:pPr>
            <w:r>
              <w:rPr>
                <w:rFonts w:ascii="Times New Roman" w:hAnsi="Times New Roman"/>
                <w:sz w:val="24"/>
              </w:rPr>
              <w:t>已整改</w:t>
            </w:r>
          </w:p>
        </w:tc>
      </w:tr>
      <w:tr w14:paraId="5066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65260909">
            <w:pPr>
              <w:snapToGrid w:val="0"/>
              <w:jc w:val="center"/>
              <w:rPr>
                <w:rFonts w:ascii="Times New Roman" w:hAnsi="Times New Roman"/>
                <w:kern w:val="0"/>
                <w:sz w:val="24"/>
              </w:rPr>
            </w:pPr>
            <w:r>
              <w:rPr>
                <w:rFonts w:ascii="Times New Roman" w:hAnsi="Times New Roman"/>
                <w:kern w:val="0"/>
                <w:sz w:val="24"/>
              </w:rPr>
              <w:t>12</w:t>
            </w:r>
          </w:p>
        </w:tc>
        <w:tc>
          <w:tcPr>
            <w:tcW w:w="4819" w:type="dxa"/>
            <w:noWrap w:val="0"/>
            <w:tcMar>
              <w:left w:w="28" w:type="dxa"/>
              <w:right w:w="28" w:type="dxa"/>
            </w:tcMar>
            <w:vAlign w:val="center"/>
          </w:tcPr>
          <w:p w14:paraId="01F4D60C">
            <w:pPr>
              <w:autoSpaceDE w:val="0"/>
              <w:autoSpaceDN w:val="0"/>
              <w:adjustRightInd w:val="0"/>
              <w:snapToGrid w:val="0"/>
              <w:jc w:val="left"/>
              <w:rPr>
                <w:rFonts w:ascii="Times New Roman" w:hAnsi="Times New Roman"/>
                <w:kern w:val="0"/>
                <w:szCs w:val="21"/>
              </w:rPr>
            </w:pPr>
            <w:r>
              <w:rPr>
                <w:rFonts w:hint="eastAsia" w:ascii="Times New Roman" w:hAnsi="Times New Roman"/>
                <w:kern w:val="0"/>
                <w:szCs w:val="21"/>
                <w:lang w:val="en-US" w:eastAsia="zh-CN"/>
              </w:rPr>
              <w:t>现场临时管线机吨桶过多</w:t>
            </w:r>
          </w:p>
        </w:tc>
        <w:tc>
          <w:tcPr>
            <w:tcW w:w="2835" w:type="dxa"/>
            <w:noWrap w:val="0"/>
            <w:tcMar>
              <w:left w:w="28" w:type="dxa"/>
              <w:right w:w="28" w:type="dxa"/>
            </w:tcMar>
            <w:vAlign w:val="center"/>
          </w:tcPr>
          <w:p w14:paraId="161EAEA4">
            <w:pPr>
              <w:snapToGrid w:val="0"/>
              <w:jc w:val="left"/>
              <w:rPr>
                <w:rFonts w:hint="eastAsia" w:ascii="Times New Roman" w:hAnsi="Times New Roman" w:eastAsiaTheme="minorEastAsia"/>
                <w:szCs w:val="21"/>
                <w:lang w:val="en-US" w:eastAsia="zh-CN"/>
              </w:rPr>
            </w:pPr>
            <w:r>
              <w:rPr>
                <w:rFonts w:ascii="Times New Roman" w:hAnsi="Times New Roman"/>
                <w:szCs w:val="21"/>
              </w:rPr>
              <w:t>已</w:t>
            </w:r>
            <w:r>
              <w:rPr>
                <w:rFonts w:hint="eastAsia" w:ascii="Times New Roman" w:hAnsi="Times New Roman"/>
                <w:szCs w:val="21"/>
                <w:lang w:val="en-US" w:eastAsia="zh-CN"/>
              </w:rPr>
              <w:t>完善</w:t>
            </w:r>
          </w:p>
        </w:tc>
        <w:tc>
          <w:tcPr>
            <w:tcW w:w="1185" w:type="dxa"/>
            <w:noWrap w:val="0"/>
            <w:tcMar>
              <w:left w:w="28" w:type="dxa"/>
              <w:right w:w="28" w:type="dxa"/>
            </w:tcMar>
            <w:vAlign w:val="center"/>
          </w:tcPr>
          <w:p w14:paraId="0FCC67F6">
            <w:pPr>
              <w:snapToGrid w:val="0"/>
              <w:jc w:val="center"/>
              <w:rPr>
                <w:rFonts w:ascii="Times New Roman" w:hAnsi="Times New Roman"/>
              </w:rPr>
            </w:pPr>
            <w:r>
              <w:rPr>
                <w:rFonts w:ascii="Times New Roman" w:hAnsi="Times New Roman"/>
                <w:sz w:val="24"/>
              </w:rPr>
              <w:t>已整改</w:t>
            </w:r>
          </w:p>
        </w:tc>
      </w:tr>
      <w:tr w14:paraId="3E8C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48D2AB25">
            <w:pPr>
              <w:snapToGrid w:val="0"/>
              <w:jc w:val="center"/>
              <w:rPr>
                <w:rFonts w:ascii="Times New Roman" w:hAnsi="Times New Roman"/>
                <w:kern w:val="0"/>
                <w:sz w:val="24"/>
              </w:rPr>
            </w:pPr>
            <w:r>
              <w:rPr>
                <w:rFonts w:ascii="Times New Roman" w:hAnsi="Times New Roman"/>
                <w:kern w:val="0"/>
                <w:sz w:val="24"/>
              </w:rPr>
              <w:t>13</w:t>
            </w:r>
          </w:p>
        </w:tc>
        <w:tc>
          <w:tcPr>
            <w:tcW w:w="4819" w:type="dxa"/>
            <w:noWrap w:val="0"/>
            <w:tcMar>
              <w:left w:w="28" w:type="dxa"/>
              <w:right w:w="28" w:type="dxa"/>
            </w:tcMar>
            <w:vAlign w:val="center"/>
          </w:tcPr>
          <w:p w14:paraId="3BC71FF0">
            <w:pPr>
              <w:autoSpaceDE w:val="0"/>
              <w:autoSpaceDN w:val="0"/>
              <w:adjustRightInd w:val="0"/>
              <w:snapToGrid w:val="0"/>
              <w:jc w:val="left"/>
              <w:rPr>
                <w:rFonts w:ascii="Times New Roman" w:hAnsi="Times New Roman"/>
                <w:szCs w:val="21"/>
                <w:lang w:val="zh-CN"/>
              </w:rPr>
            </w:pPr>
            <w:r>
              <w:rPr>
                <w:rFonts w:hint="eastAsia" w:ascii="Times New Roman" w:hAnsi="Times New Roman"/>
                <w:kern w:val="0"/>
                <w:szCs w:val="21"/>
                <w:lang w:val="en-US" w:eastAsia="zh-CN"/>
              </w:rPr>
              <w:t>公用工程使用盐酸区域无洗眼器</w:t>
            </w:r>
          </w:p>
        </w:tc>
        <w:tc>
          <w:tcPr>
            <w:tcW w:w="2835" w:type="dxa"/>
            <w:noWrap w:val="0"/>
            <w:tcMar>
              <w:left w:w="28" w:type="dxa"/>
              <w:right w:w="28" w:type="dxa"/>
            </w:tcMar>
            <w:vAlign w:val="center"/>
          </w:tcPr>
          <w:p w14:paraId="32F61CFE">
            <w:pPr>
              <w:snapToGrid w:val="0"/>
              <w:jc w:val="left"/>
              <w:rPr>
                <w:rFonts w:hint="eastAsia" w:ascii="Times New Roman" w:hAnsi="Times New Roman" w:eastAsiaTheme="minorEastAsia"/>
                <w:szCs w:val="21"/>
                <w:lang w:val="en-US" w:eastAsia="zh-CN"/>
              </w:rPr>
            </w:pPr>
            <w:r>
              <w:rPr>
                <w:rFonts w:hint="eastAsia" w:ascii="Times New Roman" w:hAnsi="Times New Roman"/>
                <w:szCs w:val="21"/>
              </w:rPr>
              <w:t>已</w:t>
            </w:r>
            <w:r>
              <w:rPr>
                <w:rFonts w:hint="eastAsia" w:ascii="Times New Roman" w:hAnsi="Times New Roman"/>
                <w:szCs w:val="21"/>
                <w:lang w:val="en-US" w:eastAsia="zh-CN"/>
              </w:rPr>
              <w:t>增加</w:t>
            </w:r>
          </w:p>
        </w:tc>
        <w:tc>
          <w:tcPr>
            <w:tcW w:w="1185" w:type="dxa"/>
            <w:noWrap w:val="0"/>
            <w:tcMar>
              <w:left w:w="28" w:type="dxa"/>
              <w:right w:w="28" w:type="dxa"/>
            </w:tcMar>
            <w:vAlign w:val="center"/>
          </w:tcPr>
          <w:p w14:paraId="78684454">
            <w:pPr>
              <w:snapToGrid w:val="0"/>
              <w:jc w:val="center"/>
              <w:rPr>
                <w:rFonts w:ascii="Times New Roman" w:hAnsi="Times New Roman"/>
              </w:rPr>
            </w:pPr>
            <w:r>
              <w:rPr>
                <w:rFonts w:ascii="Times New Roman" w:hAnsi="Times New Roman"/>
                <w:sz w:val="24"/>
              </w:rPr>
              <w:t>已整改</w:t>
            </w:r>
          </w:p>
        </w:tc>
      </w:tr>
      <w:tr w14:paraId="551D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3218B0CC">
            <w:pPr>
              <w:snapToGrid w:val="0"/>
              <w:jc w:val="center"/>
              <w:rPr>
                <w:rFonts w:ascii="Times New Roman" w:hAnsi="Times New Roman"/>
                <w:kern w:val="0"/>
                <w:sz w:val="24"/>
              </w:rPr>
            </w:pPr>
            <w:r>
              <w:rPr>
                <w:rFonts w:ascii="Times New Roman" w:hAnsi="Times New Roman"/>
                <w:kern w:val="0"/>
                <w:sz w:val="24"/>
              </w:rPr>
              <w:t>14</w:t>
            </w:r>
          </w:p>
        </w:tc>
        <w:tc>
          <w:tcPr>
            <w:tcW w:w="4819" w:type="dxa"/>
            <w:noWrap w:val="0"/>
            <w:tcMar>
              <w:left w:w="28" w:type="dxa"/>
              <w:right w:w="28" w:type="dxa"/>
            </w:tcMar>
            <w:vAlign w:val="center"/>
          </w:tcPr>
          <w:p w14:paraId="067B3C18">
            <w:pPr>
              <w:snapToGrid w:val="0"/>
              <w:jc w:val="left"/>
              <w:rPr>
                <w:rFonts w:ascii="Times New Roman" w:hAnsi="Times New Roman"/>
                <w:szCs w:val="21"/>
              </w:rPr>
            </w:pPr>
            <w:r>
              <w:rPr>
                <w:rFonts w:ascii="Times New Roman" w:hAnsi="Times New Roman"/>
                <w:szCs w:val="21"/>
              </w:rPr>
              <w:t>关键装置重点部位清单不</w:t>
            </w:r>
            <w:r>
              <w:rPr>
                <w:rFonts w:hint="eastAsia" w:ascii="Times New Roman" w:hAnsi="Times New Roman"/>
                <w:szCs w:val="21"/>
              </w:rPr>
              <w:t>完善</w:t>
            </w:r>
          </w:p>
        </w:tc>
        <w:tc>
          <w:tcPr>
            <w:tcW w:w="2835" w:type="dxa"/>
            <w:noWrap w:val="0"/>
            <w:tcMar>
              <w:left w:w="28" w:type="dxa"/>
              <w:right w:w="28" w:type="dxa"/>
            </w:tcMar>
            <w:vAlign w:val="center"/>
          </w:tcPr>
          <w:p w14:paraId="4DF1D69F">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完善清单</w:t>
            </w:r>
          </w:p>
        </w:tc>
        <w:tc>
          <w:tcPr>
            <w:tcW w:w="1185" w:type="dxa"/>
            <w:noWrap w:val="0"/>
            <w:tcMar>
              <w:left w:w="28" w:type="dxa"/>
              <w:right w:w="28" w:type="dxa"/>
            </w:tcMar>
            <w:vAlign w:val="center"/>
          </w:tcPr>
          <w:p w14:paraId="3711B8E2">
            <w:pPr>
              <w:snapToGrid w:val="0"/>
              <w:jc w:val="center"/>
              <w:rPr>
                <w:rFonts w:ascii="Times New Roman" w:hAnsi="Times New Roman"/>
              </w:rPr>
            </w:pPr>
            <w:r>
              <w:rPr>
                <w:rFonts w:ascii="Times New Roman" w:hAnsi="Times New Roman"/>
                <w:sz w:val="24"/>
              </w:rPr>
              <w:t>已整改</w:t>
            </w:r>
          </w:p>
        </w:tc>
      </w:tr>
      <w:tr w14:paraId="41E5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542855E5">
            <w:pPr>
              <w:snapToGrid w:val="0"/>
              <w:jc w:val="center"/>
              <w:rPr>
                <w:rFonts w:ascii="Times New Roman" w:hAnsi="Times New Roman"/>
                <w:kern w:val="0"/>
                <w:sz w:val="24"/>
              </w:rPr>
            </w:pPr>
            <w:r>
              <w:rPr>
                <w:rFonts w:ascii="Times New Roman" w:hAnsi="Times New Roman"/>
                <w:kern w:val="0"/>
                <w:sz w:val="24"/>
              </w:rPr>
              <w:t>15</w:t>
            </w:r>
          </w:p>
        </w:tc>
        <w:tc>
          <w:tcPr>
            <w:tcW w:w="4819" w:type="dxa"/>
            <w:noWrap w:val="0"/>
            <w:tcMar>
              <w:left w:w="28" w:type="dxa"/>
              <w:right w:w="28" w:type="dxa"/>
            </w:tcMar>
            <w:vAlign w:val="center"/>
          </w:tcPr>
          <w:p w14:paraId="1FF447D7">
            <w:pPr>
              <w:snapToGrid w:val="0"/>
              <w:jc w:val="left"/>
              <w:rPr>
                <w:rStyle w:val="20"/>
                <w:rFonts w:hint="eastAsia" w:ascii="Times New Roman" w:hAnsi="Times New Roman" w:eastAsia="宋体"/>
                <w:sz w:val="21"/>
                <w:szCs w:val="21"/>
                <w:lang w:val="en-US" w:eastAsia="zh-CN"/>
              </w:rPr>
            </w:pPr>
            <w:r>
              <w:rPr>
                <w:rStyle w:val="20"/>
                <w:rFonts w:hint="eastAsia" w:ascii="Times New Roman" w:hAnsi="Times New Roman" w:eastAsia="宋体"/>
                <w:sz w:val="21"/>
                <w:szCs w:val="21"/>
                <w:lang w:val="en-US" w:eastAsia="zh-CN"/>
              </w:rPr>
              <w:t>2</w:t>
            </w:r>
            <w:r>
              <w:rPr>
                <w:rStyle w:val="20"/>
                <w:rFonts w:hint="default" w:ascii="Times New Roman" w:hAnsi="Times New Roman"/>
                <w:sz w:val="21"/>
                <w:szCs w:val="21"/>
              </w:rPr>
              <w:t>车间</w:t>
            </w:r>
            <w:r>
              <w:rPr>
                <w:rStyle w:val="20"/>
                <w:rFonts w:hint="eastAsia" w:ascii="Times New Roman" w:hAnsi="Times New Roman" w:eastAsia="宋体"/>
                <w:sz w:val="21"/>
                <w:szCs w:val="21"/>
                <w:lang w:val="en-US" w:eastAsia="zh-CN"/>
              </w:rPr>
              <w:t>安全</w:t>
            </w:r>
            <w:r>
              <w:rPr>
                <w:rStyle w:val="20"/>
                <w:rFonts w:hint="default" w:ascii="Times New Roman" w:hAnsi="Times New Roman"/>
                <w:sz w:val="21"/>
                <w:szCs w:val="21"/>
              </w:rPr>
              <w:t>警示标识</w:t>
            </w:r>
            <w:r>
              <w:rPr>
                <w:rStyle w:val="20"/>
                <w:rFonts w:hint="eastAsia" w:ascii="Times New Roman" w:hAnsi="Times New Roman" w:eastAsia="宋体"/>
                <w:sz w:val="21"/>
                <w:szCs w:val="21"/>
                <w:lang w:val="en-US" w:eastAsia="zh-CN"/>
              </w:rPr>
              <w:t>不足</w:t>
            </w:r>
          </w:p>
        </w:tc>
        <w:tc>
          <w:tcPr>
            <w:tcW w:w="2835" w:type="dxa"/>
            <w:noWrap w:val="0"/>
            <w:tcMar>
              <w:left w:w="28" w:type="dxa"/>
              <w:right w:w="28" w:type="dxa"/>
            </w:tcMar>
            <w:vAlign w:val="center"/>
          </w:tcPr>
          <w:p w14:paraId="288CDC47">
            <w:pPr>
              <w:snapToGrid w:val="0"/>
              <w:jc w:val="left"/>
              <w:rPr>
                <w:rFonts w:hint="eastAsia" w:ascii="Times New Roman" w:hAnsi="Times New Roman" w:eastAsiaTheme="minorEastAsia"/>
                <w:szCs w:val="21"/>
                <w:lang w:val="en-US" w:eastAsia="zh-CN"/>
              </w:rPr>
            </w:pPr>
            <w:r>
              <w:rPr>
                <w:rFonts w:hint="eastAsia" w:ascii="Times New Roman" w:hAnsi="Times New Roman"/>
                <w:szCs w:val="21"/>
              </w:rPr>
              <w:t>已</w:t>
            </w:r>
            <w:r>
              <w:rPr>
                <w:rFonts w:hint="eastAsia" w:ascii="Times New Roman" w:hAnsi="Times New Roman"/>
                <w:szCs w:val="21"/>
                <w:lang w:val="en-US" w:eastAsia="zh-CN"/>
              </w:rPr>
              <w:t>增加</w:t>
            </w:r>
          </w:p>
        </w:tc>
        <w:tc>
          <w:tcPr>
            <w:tcW w:w="1185" w:type="dxa"/>
            <w:noWrap w:val="0"/>
            <w:tcMar>
              <w:left w:w="28" w:type="dxa"/>
              <w:right w:w="28" w:type="dxa"/>
            </w:tcMar>
            <w:vAlign w:val="center"/>
          </w:tcPr>
          <w:p w14:paraId="44B5C954">
            <w:pPr>
              <w:snapToGrid w:val="0"/>
              <w:jc w:val="center"/>
              <w:rPr>
                <w:rFonts w:ascii="Times New Roman" w:hAnsi="Times New Roman"/>
              </w:rPr>
            </w:pPr>
            <w:r>
              <w:rPr>
                <w:rFonts w:ascii="Times New Roman" w:hAnsi="Times New Roman"/>
                <w:sz w:val="24"/>
              </w:rPr>
              <w:t>已整改</w:t>
            </w:r>
          </w:p>
        </w:tc>
      </w:tr>
      <w:tr w14:paraId="2802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23B8DD54">
            <w:pPr>
              <w:snapToGrid w:val="0"/>
              <w:jc w:val="center"/>
              <w:rPr>
                <w:rFonts w:ascii="Times New Roman" w:hAnsi="Times New Roman"/>
                <w:kern w:val="0"/>
                <w:sz w:val="24"/>
              </w:rPr>
            </w:pPr>
            <w:r>
              <w:rPr>
                <w:rFonts w:ascii="Times New Roman" w:hAnsi="Times New Roman"/>
                <w:kern w:val="0"/>
                <w:sz w:val="24"/>
              </w:rPr>
              <w:t>16</w:t>
            </w:r>
          </w:p>
        </w:tc>
        <w:tc>
          <w:tcPr>
            <w:tcW w:w="4819" w:type="dxa"/>
            <w:noWrap w:val="0"/>
            <w:tcMar>
              <w:left w:w="28" w:type="dxa"/>
              <w:right w:w="28" w:type="dxa"/>
            </w:tcMar>
            <w:vAlign w:val="center"/>
          </w:tcPr>
          <w:p w14:paraId="72298EF9">
            <w:pPr>
              <w:snapToGrid w:val="0"/>
              <w:jc w:val="left"/>
              <w:rPr>
                <w:rStyle w:val="20"/>
                <w:rFonts w:hint="default" w:ascii="Times New Roman" w:hAnsi="Times New Roman"/>
                <w:sz w:val="21"/>
                <w:szCs w:val="21"/>
              </w:rPr>
            </w:pPr>
            <w:r>
              <w:rPr>
                <w:rStyle w:val="20"/>
                <w:rFonts w:hint="default" w:ascii="Times New Roman" w:hAnsi="Times New Roman"/>
                <w:sz w:val="21"/>
                <w:szCs w:val="21"/>
              </w:rPr>
              <w:t>承包商档案不完善</w:t>
            </w:r>
          </w:p>
        </w:tc>
        <w:tc>
          <w:tcPr>
            <w:tcW w:w="2835" w:type="dxa"/>
            <w:noWrap w:val="0"/>
            <w:tcMar>
              <w:left w:w="28" w:type="dxa"/>
              <w:right w:w="28" w:type="dxa"/>
            </w:tcMar>
            <w:vAlign w:val="center"/>
          </w:tcPr>
          <w:p w14:paraId="7805E6C4">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完善档案</w:t>
            </w:r>
          </w:p>
        </w:tc>
        <w:tc>
          <w:tcPr>
            <w:tcW w:w="1185" w:type="dxa"/>
            <w:noWrap w:val="0"/>
            <w:tcMar>
              <w:left w:w="28" w:type="dxa"/>
              <w:right w:w="28" w:type="dxa"/>
            </w:tcMar>
            <w:vAlign w:val="center"/>
          </w:tcPr>
          <w:p w14:paraId="119F6D38">
            <w:pPr>
              <w:snapToGrid w:val="0"/>
              <w:jc w:val="center"/>
              <w:rPr>
                <w:rFonts w:ascii="Times New Roman" w:hAnsi="Times New Roman"/>
              </w:rPr>
            </w:pPr>
            <w:r>
              <w:rPr>
                <w:rFonts w:ascii="Times New Roman" w:hAnsi="Times New Roman"/>
                <w:sz w:val="24"/>
              </w:rPr>
              <w:t>已整改</w:t>
            </w:r>
          </w:p>
        </w:tc>
      </w:tr>
      <w:tr w14:paraId="2648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5C56FC79">
            <w:pPr>
              <w:snapToGrid w:val="0"/>
              <w:jc w:val="center"/>
              <w:rPr>
                <w:rFonts w:ascii="Times New Roman" w:hAnsi="Times New Roman"/>
                <w:kern w:val="0"/>
                <w:sz w:val="24"/>
              </w:rPr>
            </w:pPr>
            <w:r>
              <w:rPr>
                <w:rFonts w:ascii="Times New Roman" w:hAnsi="Times New Roman"/>
                <w:kern w:val="0"/>
                <w:sz w:val="24"/>
              </w:rPr>
              <w:t>18</w:t>
            </w:r>
          </w:p>
        </w:tc>
        <w:tc>
          <w:tcPr>
            <w:tcW w:w="4819" w:type="dxa"/>
            <w:noWrap w:val="0"/>
            <w:tcMar>
              <w:left w:w="28" w:type="dxa"/>
              <w:right w:w="28" w:type="dxa"/>
            </w:tcMar>
            <w:vAlign w:val="center"/>
          </w:tcPr>
          <w:p w14:paraId="0D3E6E52">
            <w:pPr>
              <w:snapToGrid w:val="0"/>
              <w:jc w:val="left"/>
              <w:rPr>
                <w:rFonts w:ascii="Times New Roman" w:hAnsi="Times New Roman"/>
                <w:kern w:val="0"/>
                <w:szCs w:val="21"/>
              </w:rPr>
            </w:pPr>
            <w:r>
              <w:rPr>
                <w:rFonts w:ascii="Times New Roman" w:hAnsi="Times New Roman"/>
                <w:kern w:val="0"/>
                <w:szCs w:val="21"/>
              </w:rPr>
              <w:t>未建立化验室化学试剂清单</w:t>
            </w:r>
          </w:p>
        </w:tc>
        <w:tc>
          <w:tcPr>
            <w:tcW w:w="2835" w:type="dxa"/>
            <w:noWrap w:val="0"/>
            <w:tcMar>
              <w:left w:w="28" w:type="dxa"/>
              <w:right w:w="28" w:type="dxa"/>
            </w:tcMar>
            <w:vAlign w:val="center"/>
          </w:tcPr>
          <w:p w14:paraId="18EB1BB7">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建立清单</w:t>
            </w:r>
          </w:p>
        </w:tc>
        <w:tc>
          <w:tcPr>
            <w:tcW w:w="1185" w:type="dxa"/>
            <w:noWrap w:val="0"/>
            <w:tcMar>
              <w:left w:w="28" w:type="dxa"/>
              <w:right w:w="28" w:type="dxa"/>
            </w:tcMar>
            <w:vAlign w:val="center"/>
          </w:tcPr>
          <w:p w14:paraId="3FF8328D">
            <w:pPr>
              <w:snapToGrid w:val="0"/>
              <w:jc w:val="center"/>
              <w:rPr>
                <w:rFonts w:ascii="Times New Roman" w:hAnsi="Times New Roman"/>
              </w:rPr>
            </w:pPr>
            <w:r>
              <w:rPr>
                <w:rFonts w:ascii="Times New Roman" w:hAnsi="Times New Roman"/>
                <w:sz w:val="24"/>
              </w:rPr>
              <w:t>已整改</w:t>
            </w:r>
          </w:p>
        </w:tc>
      </w:tr>
      <w:tr w14:paraId="4806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414E5E13">
            <w:pPr>
              <w:snapToGrid w:val="0"/>
              <w:jc w:val="center"/>
              <w:rPr>
                <w:rFonts w:ascii="Times New Roman" w:hAnsi="Times New Roman"/>
                <w:kern w:val="0"/>
                <w:sz w:val="24"/>
              </w:rPr>
            </w:pPr>
            <w:r>
              <w:rPr>
                <w:rFonts w:ascii="Times New Roman" w:hAnsi="Times New Roman"/>
                <w:kern w:val="0"/>
                <w:sz w:val="24"/>
              </w:rPr>
              <w:t>19</w:t>
            </w:r>
          </w:p>
        </w:tc>
        <w:tc>
          <w:tcPr>
            <w:tcW w:w="4819" w:type="dxa"/>
            <w:noWrap w:val="0"/>
            <w:tcMar>
              <w:left w:w="28" w:type="dxa"/>
              <w:right w:w="28" w:type="dxa"/>
            </w:tcMar>
            <w:vAlign w:val="center"/>
          </w:tcPr>
          <w:p w14:paraId="55E2D400">
            <w:pPr>
              <w:snapToGrid w:val="0"/>
              <w:spacing w:line="240" w:lineRule="exact"/>
              <w:jc w:val="left"/>
              <w:rPr>
                <w:rFonts w:hint="eastAsia" w:ascii="Times New Roman" w:hAnsi="Times New Roman"/>
                <w:bCs/>
                <w:szCs w:val="21"/>
              </w:rPr>
            </w:pPr>
            <w:r>
              <w:rPr>
                <w:rFonts w:hint="eastAsia" w:ascii="Times New Roman" w:hAnsi="Times New Roman"/>
                <w:bCs/>
                <w:szCs w:val="21"/>
                <w:lang w:val="en-US" w:eastAsia="zh-CN"/>
              </w:rPr>
              <w:t>2#车间应急物资使用未及时补充</w:t>
            </w:r>
          </w:p>
        </w:tc>
        <w:tc>
          <w:tcPr>
            <w:tcW w:w="2835" w:type="dxa"/>
            <w:noWrap w:val="0"/>
            <w:tcMar>
              <w:left w:w="28" w:type="dxa"/>
              <w:right w:w="28" w:type="dxa"/>
            </w:tcMar>
            <w:vAlign w:val="center"/>
          </w:tcPr>
          <w:p w14:paraId="77B60774">
            <w:pPr>
              <w:snapToGrid w:val="0"/>
              <w:jc w:val="left"/>
              <w:rPr>
                <w:rFonts w:hint="eastAsia" w:ascii="Times New Roman" w:hAnsi="Times New Roman" w:eastAsiaTheme="minorEastAsia"/>
                <w:szCs w:val="21"/>
                <w:lang w:eastAsia="zh-CN"/>
              </w:rPr>
            </w:pPr>
            <w:r>
              <w:rPr>
                <w:rFonts w:hint="eastAsia" w:ascii="Times New Roman" w:hAnsi="Times New Roman"/>
                <w:szCs w:val="21"/>
              </w:rPr>
              <w:t>已</w:t>
            </w:r>
            <w:r>
              <w:rPr>
                <w:rFonts w:hint="eastAsia" w:ascii="Times New Roman" w:hAnsi="Times New Roman"/>
                <w:szCs w:val="21"/>
                <w:lang w:val="en-US" w:eastAsia="zh-CN"/>
              </w:rPr>
              <w:t>补充</w:t>
            </w:r>
          </w:p>
        </w:tc>
        <w:tc>
          <w:tcPr>
            <w:tcW w:w="1185" w:type="dxa"/>
            <w:noWrap w:val="0"/>
            <w:tcMar>
              <w:left w:w="28" w:type="dxa"/>
              <w:right w:w="28" w:type="dxa"/>
            </w:tcMar>
            <w:vAlign w:val="center"/>
          </w:tcPr>
          <w:p w14:paraId="3E4660A8">
            <w:pPr>
              <w:snapToGrid w:val="0"/>
              <w:jc w:val="center"/>
              <w:rPr>
                <w:rFonts w:ascii="Times New Roman" w:hAnsi="Times New Roman"/>
              </w:rPr>
            </w:pPr>
            <w:r>
              <w:rPr>
                <w:rFonts w:ascii="Times New Roman" w:hAnsi="Times New Roman"/>
                <w:sz w:val="24"/>
              </w:rPr>
              <w:t>已整改</w:t>
            </w:r>
          </w:p>
        </w:tc>
      </w:tr>
      <w:tr w14:paraId="11BD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26553311">
            <w:pPr>
              <w:snapToGrid w:val="0"/>
              <w:jc w:val="center"/>
              <w:rPr>
                <w:rFonts w:hint="default" w:ascii="Times New Roman" w:hAnsi="Times New Roman" w:eastAsiaTheme="minorEastAsia"/>
                <w:kern w:val="0"/>
                <w:sz w:val="24"/>
                <w:lang w:val="en-US" w:eastAsia="zh-CN"/>
              </w:rPr>
            </w:pPr>
            <w:r>
              <w:rPr>
                <w:rFonts w:hint="eastAsia" w:ascii="Times New Roman" w:hAnsi="Times New Roman"/>
                <w:kern w:val="0"/>
                <w:sz w:val="24"/>
                <w:lang w:val="en-US" w:eastAsia="zh-CN"/>
              </w:rPr>
              <w:t>20</w:t>
            </w:r>
          </w:p>
        </w:tc>
        <w:tc>
          <w:tcPr>
            <w:tcW w:w="4819" w:type="dxa"/>
            <w:noWrap w:val="0"/>
            <w:tcMar>
              <w:left w:w="28" w:type="dxa"/>
              <w:right w:w="28" w:type="dxa"/>
            </w:tcMar>
            <w:vAlign w:val="center"/>
          </w:tcPr>
          <w:p w14:paraId="1B113714">
            <w:pPr>
              <w:snapToGrid w:val="0"/>
              <w:spacing w:line="240" w:lineRule="exact"/>
              <w:jc w:val="left"/>
              <w:rPr>
                <w:rFonts w:hint="eastAsia" w:ascii="Times New Roman" w:hAnsi="Times New Roman"/>
                <w:bCs/>
                <w:szCs w:val="21"/>
              </w:rPr>
            </w:pPr>
            <w:r>
              <w:rPr>
                <w:rFonts w:hint="eastAsia" w:ascii="Times New Roman" w:hAnsi="Times New Roman"/>
                <w:bCs/>
                <w:szCs w:val="21"/>
                <w:lang w:val="en-US" w:eastAsia="zh-CN"/>
              </w:rPr>
              <w:t>应急预案人员变动未及时更新</w:t>
            </w:r>
          </w:p>
        </w:tc>
        <w:tc>
          <w:tcPr>
            <w:tcW w:w="2835" w:type="dxa"/>
            <w:noWrap w:val="0"/>
            <w:tcMar>
              <w:left w:w="28" w:type="dxa"/>
              <w:right w:w="28" w:type="dxa"/>
            </w:tcMar>
            <w:vAlign w:val="center"/>
          </w:tcPr>
          <w:p w14:paraId="5A5711DD">
            <w:pPr>
              <w:snapToGrid w:val="0"/>
              <w:jc w:val="left"/>
              <w:rPr>
                <w:rFonts w:hint="default" w:ascii="Times New Roman" w:hAnsi="Times New Roman" w:eastAsiaTheme="minorEastAsia"/>
                <w:szCs w:val="21"/>
                <w:lang w:val="en-US" w:eastAsia="zh-CN"/>
              </w:rPr>
            </w:pPr>
            <w:r>
              <w:rPr>
                <w:rFonts w:hint="eastAsia" w:ascii="Times New Roman" w:hAnsi="Times New Roman"/>
                <w:szCs w:val="21"/>
                <w:lang w:val="en-US" w:eastAsia="zh-CN"/>
              </w:rPr>
              <w:t>已更新</w:t>
            </w:r>
          </w:p>
        </w:tc>
        <w:tc>
          <w:tcPr>
            <w:tcW w:w="1185" w:type="dxa"/>
            <w:noWrap w:val="0"/>
            <w:tcMar>
              <w:left w:w="28" w:type="dxa"/>
              <w:right w:w="28" w:type="dxa"/>
            </w:tcMar>
            <w:vAlign w:val="center"/>
          </w:tcPr>
          <w:p w14:paraId="6646D85C">
            <w:pPr>
              <w:snapToGrid w:val="0"/>
              <w:jc w:val="center"/>
              <w:rPr>
                <w:rFonts w:ascii="Times New Roman" w:hAnsi="Times New Roman"/>
                <w:sz w:val="24"/>
              </w:rPr>
            </w:pPr>
          </w:p>
        </w:tc>
      </w:tr>
      <w:tr w14:paraId="3B55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4B0EEC24">
            <w:pPr>
              <w:snapToGrid w:val="0"/>
              <w:jc w:val="center"/>
              <w:rPr>
                <w:rFonts w:hint="eastAsia" w:ascii="Times New Roman" w:hAnsi="Times New Roman" w:eastAsiaTheme="minorEastAsia"/>
                <w:kern w:val="0"/>
                <w:sz w:val="24"/>
                <w:lang w:eastAsia="zh-CN"/>
              </w:rPr>
            </w:pPr>
            <w:r>
              <w:rPr>
                <w:rFonts w:ascii="Times New Roman" w:hAnsi="Times New Roman"/>
                <w:kern w:val="0"/>
                <w:sz w:val="24"/>
              </w:rPr>
              <w:t>2</w:t>
            </w:r>
            <w:r>
              <w:rPr>
                <w:rFonts w:hint="eastAsia" w:ascii="Times New Roman" w:hAnsi="Times New Roman"/>
                <w:kern w:val="0"/>
                <w:sz w:val="24"/>
                <w:lang w:val="en-US" w:eastAsia="zh-CN"/>
              </w:rPr>
              <w:t>1</w:t>
            </w:r>
          </w:p>
        </w:tc>
        <w:tc>
          <w:tcPr>
            <w:tcW w:w="4819" w:type="dxa"/>
            <w:noWrap w:val="0"/>
            <w:tcMar>
              <w:left w:w="28" w:type="dxa"/>
              <w:right w:w="28" w:type="dxa"/>
            </w:tcMar>
            <w:vAlign w:val="center"/>
          </w:tcPr>
          <w:p w14:paraId="57FA005D">
            <w:pPr>
              <w:snapToGrid w:val="0"/>
              <w:spacing w:line="240" w:lineRule="exact"/>
              <w:jc w:val="left"/>
              <w:rPr>
                <w:rFonts w:hint="default" w:ascii="Times New Roman" w:hAnsi="Times New Roman" w:eastAsiaTheme="minorEastAsia"/>
                <w:bCs/>
                <w:szCs w:val="21"/>
                <w:lang w:val="en-US" w:eastAsia="zh-CN"/>
              </w:rPr>
            </w:pPr>
            <w:r>
              <w:rPr>
                <w:rFonts w:hint="eastAsia" w:ascii="Times New Roman" w:hAnsi="Times New Roman"/>
                <w:bCs/>
                <w:szCs w:val="21"/>
                <w:lang w:val="en-US" w:eastAsia="zh-CN"/>
              </w:rPr>
              <w:t>检查表不全</w:t>
            </w:r>
          </w:p>
        </w:tc>
        <w:tc>
          <w:tcPr>
            <w:tcW w:w="2835" w:type="dxa"/>
            <w:noWrap w:val="0"/>
            <w:tcMar>
              <w:left w:w="28" w:type="dxa"/>
              <w:right w:w="28" w:type="dxa"/>
            </w:tcMar>
            <w:vAlign w:val="center"/>
          </w:tcPr>
          <w:p w14:paraId="135E46C2">
            <w:pPr>
              <w:snapToGrid w:val="0"/>
              <w:jc w:val="left"/>
              <w:rPr>
                <w:rFonts w:hint="eastAsia" w:ascii="Times New Roman" w:hAnsi="Times New Roman" w:eastAsiaTheme="minorEastAsia"/>
                <w:szCs w:val="21"/>
                <w:lang w:eastAsia="zh-CN"/>
              </w:rPr>
            </w:pPr>
            <w:r>
              <w:rPr>
                <w:rFonts w:hint="eastAsia" w:ascii="Times New Roman" w:hAnsi="Times New Roman"/>
                <w:szCs w:val="21"/>
              </w:rPr>
              <w:t>已</w:t>
            </w:r>
            <w:r>
              <w:rPr>
                <w:rFonts w:hint="eastAsia" w:ascii="Times New Roman" w:hAnsi="Times New Roman"/>
                <w:szCs w:val="21"/>
                <w:lang w:val="en-US" w:eastAsia="zh-CN"/>
              </w:rPr>
              <w:t>补充</w:t>
            </w:r>
          </w:p>
        </w:tc>
        <w:tc>
          <w:tcPr>
            <w:tcW w:w="1185" w:type="dxa"/>
            <w:noWrap w:val="0"/>
            <w:tcMar>
              <w:left w:w="28" w:type="dxa"/>
              <w:right w:w="28" w:type="dxa"/>
            </w:tcMar>
            <w:vAlign w:val="center"/>
          </w:tcPr>
          <w:p w14:paraId="28AFF805">
            <w:pPr>
              <w:snapToGrid w:val="0"/>
              <w:jc w:val="center"/>
              <w:rPr>
                <w:rFonts w:ascii="Times New Roman" w:hAnsi="Times New Roman"/>
              </w:rPr>
            </w:pPr>
            <w:r>
              <w:rPr>
                <w:rFonts w:ascii="Times New Roman" w:hAnsi="Times New Roman"/>
                <w:sz w:val="24"/>
              </w:rPr>
              <w:t>已整改</w:t>
            </w:r>
          </w:p>
        </w:tc>
      </w:tr>
      <w:tr w14:paraId="2973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noWrap w:val="0"/>
            <w:tcMar>
              <w:left w:w="28" w:type="dxa"/>
              <w:right w:w="28" w:type="dxa"/>
            </w:tcMar>
            <w:vAlign w:val="center"/>
          </w:tcPr>
          <w:p w14:paraId="3D2D68DA">
            <w:pPr>
              <w:snapToGrid w:val="0"/>
              <w:jc w:val="center"/>
              <w:rPr>
                <w:rFonts w:hint="eastAsia" w:ascii="Times New Roman" w:hAnsi="Times New Roman" w:eastAsiaTheme="minorEastAsia"/>
                <w:kern w:val="0"/>
                <w:sz w:val="24"/>
                <w:lang w:eastAsia="zh-CN"/>
              </w:rPr>
            </w:pPr>
            <w:r>
              <w:rPr>
                <w:rFonts w:ascii="Times New Roman" w:hAnsi="Times New Roman"/>
                <w:kern w:val="0"/>
                <w:sz w:val="24"/>
              </w:rPr>
              <w:t>2</w:t>
            </w:r>
            <w:r>
              <w:rPr>
                <w:rFonts w:hint="eastAsia" w:ascii="Times New Roman" w:hAnsi="Times New Roman"/>
                <w:kern w:val="0"/>
                <w:sz w:val="24"/>
                <w:lang w:val="en-US" w:eastAsia="zh-CN"/>
              </w:rPr>
              <w:t>2</w:t>
            </w:r>
          </w:p>
        </w:tc>
        <w:tc>
          <w:tcPr>
            <w:tcW w:w="4819" w:type="dxa"/>
            <w:noWrap w:val="0"/>
            <w:tcMar>
              <w:left w:w="28" w:type="dxa"/>
              <w:right w:w="28" w:type="dxa"/>
            </w:tcMar>
            <w:vAlign w:val="center"/>
          </w:tcPr>
          <w:p w14:paraId="05B742C6">
            <w:pPr>
              <w:snapToGrid w:val="0"/>
              <w:spacing w:line="240" w:lineRule="exact"/>
              <w:jc w:val="left"/>
              <w:rPr>
                <w:rFonts w:ascii="Times New Roman" w:hAnsi="Times New Roman"/>
                <w:bCs/>
                <w:szCs w:val="21"/>
              </w:rPr>
            </w:pPr>
            <w:r>
              <w:rPr>
                <w:rFonts w:ascii="Times New Roman" w:hAnsi="Times New Roman"/>
                <w:bCs/>
                <w:szCs w:val="21"/>
              </w:rPr>
              <w:t>检查台账内容不全</w:t>
            </w:r>
          </w:p>
        </w:tc>
        <w:tc>
          <w:tcPr>
            <w:tcW w:w="2835" w:type="dxa"/>
            <w:noWrap w:val="0"/>
            <w:tcMar>
              <w:left w:w="28" w:type="dxa"/>
              <w:right w:w="28" w:type="dxa"/>
            </w:tcMar>
            <w:vAlign w:val="center"/>
          </w:tcPr>
          <w:p w14:paraId="21591755">
            <w:pPr>
              <w:snapToGrid w:val="0"/>
              <w:jc w:val="left"/>
              <w:rPr>
                <w:rFonts w:ascii="Times New Roman" w:hAnsi="Times New Roman"/>
                <w:szCs w:val="21"/>
              </w:rPr>
            </w:pPr>
            <w:r>
              <w:rPr>
                <w:rFonts w:hint="eastAsia" w:ascii="Times New Roman" w:hAnsi="Times New Roman"/>
                <w:szCs w:val="21"/>
              </w:rPr>
              <w:t>已</w:t>
            </w:r>
            <w:r>
              <w:rPr>
                <w:rFonts w:ascii="Times New Roman" w:hAnsi="Times New Roman"/>
                <w:szCs w:val="21"/>
              </w:rPr>
              <w:t>完善</w:t>
            </w:r>
            <w:r>
              <w:rPr>
                <w:rFonts w:hint="eastAsia" w:ascii="Times New Roman" w:hAnsi="Times New Roman"/>
                <w:szCs w:val="21"/>
              </w:rPr>
              <w:t>台账</w:t>
            </w:r>
          </w:p>
        </w:tc>
        <w:tc>
          <w:tcPr>
            <w:tcW w:w="1185" w:type="dxa"/>
            <w:noWrap w:val="0"/>
            <w:tcMar>
              <w:left w:w="28" w:type="dxa"/>
              <w:right w:w="28" w:type="dxa"/>
            </w:tcMar>
            <w:vAlign w:val="center"/>
          </w:tcPr>
          <w:p w14:paraId="70ABABBC">
            <w:pPr>
              <w:snapToGrid w:val="0"/>
              <w:jc w:val="center"/>
              <w:rPr>
                <w:rFonts w:ascii="Times New Roman" w:hAnsi="Times New Roman"/>
              </w:rPr>
            </w:pPr>
            <w:r>
              <w:rPr>
                <w:rFonts w:ascii="Times New Roman" w:hAnsi="Times New Roman"/>
                <w:sz w:val="24"/>
              </w:rPr>
              <w:t>已整改</w:t>
            </w:r>
          </w:p>
        </w:tc>
      </w:tr>
    </w:tbl>
    <w:p w14:paraId="266A4648">
      <w:pPr>
        <w:widowControl/>
        <w:numPr>
          <w:ilvl w:val="0"/>
          <w:numId w:val="0"/>
        </w:numPr>
        <w:spacing w:line="540" w:lineRule="exact"/>
        <w:ind w:leftChars="0"/>
        <w:outlineLvl w:val="9"/>
        <w:rPr>
          <w:rFonts w:hint="eastAsia" w:ascii="宋体" w:hAnsi="宋体"/>
          <w:b/>
          <w:kern w:val="0"/>
          <w:sz w:val="28"/>
          <w:szCs w:val="28"/>
        </w:rPr>
      </w:pPr>
    </w:p>
    <w:p w14:paraId="713A939C">
      <w:pPr>
        <w:widowControl/>
        <w:numPr>
          <w:ilvl w:val="0"/>
          <w:numId w:val="1"/>
        </w:numPr>
        <w:spacing w:line="540" w:lineRule="exact"/>
        <w:ind w:left="425" w:leftChars="0" w:hanging="425" w:firstLineChars="0"/>
        <w:outlineLvl w:val="0"/>
        <w:rPr>
          <w:rFonts w:hint="eastAsia" w:ascii="宋体" w:hAnsi="宋体"/>
          <w:b/>
          <w:kern w:val="0"/>
          <w:sz w:val="28"/>
          <w:szCs w:val="28"/>
        </w:rPr>
      </w:pPr>
      <w:bookmarkStart w:id="11" w:name="_Toc30509"/>
      <w:r>
        <w:rPr>
          <w:rFonts w:hint="eastAsia" w:ascii="宋体" w:hAnsi="宋体"/>
          <w:b/>
          <w:kern w:val="0"/>
          <w:sz w:val="28"/>
          <w:szCs w:val="28"/>
        </w:rPr>
        <w:t>自评结论</w:t>
      </w:r>
      <w:bookmarkEnd w:id="11"/>
    </w:p>
    <w:p w14:paraId="7D81AB20">
      <w:pPr>
        <w:adjustRightInd w:val="0"/>
        <w:snapToGrid w:val="0"/>
        <w:spacing w:line="300" w:lineRule="auto"/>
        <w:ind w:firstLine="480" w:firstLineChars="200"/>
        <w:rPr>
          <w:rFonts w:ascii="Times New Roman" w:hAnsi="Times New Roman"/>
          <w:snapToGrid w:val="0"/>
          <w:kern w:val="0"/>
          <w:sz w:val="24"/>
        </w:rPr>
      </w:pPr>
      <w:r>
        <w:rPr>
          <w:rFonts w:ascii="Times New Roman" w:hAnsi="Times New Roman"/>
          <w:snapToGrid w:val="0"/>
          <w:kern w:val="0"/>
          <w:sz w:val="24"/>
        </w:rPr>
        <w:t>本次自评选用的标准为</w:t>
      </w:r>
      <w:r>
        <w:rPr>
          <w:rFonts w:ascii="Times New Roman" w:hAnsi="Times New Roman"/>
          <w:color w:val="000000"/>
          <w:sz w:val="24"/>
        </w:rPr>
        <w:t>《</w:t>
      </w:r>
      <w:r>
        <w:rPr>
          <w:rFonts w:ascii="Times New Roman" w:hAnsi="Times New Roman"/>
          <w:snapToGrid w:val="0"/>
          <w:kern w:val="0"/>
          <w:sz w:val="24"/>
        </w:rPr>
        <w:t>危险化学品从业单位安全生产标准化评审标准</w:t>
      </w:r>
      <w:r>
        <w:rPr>
          <w:rFonts w:ascii="Times New Roman" w:hAnsi="Times New Roman"/>
          <w:color w:val="000000"/>
          <w:sz w:val="24"/>
        </w:rPr>
        <w:t>》（安监总管三发〔2011〕93号）</w:t>
      </w:r>
      <w:r>
        <w:rPr>
          <w:rFonts w:ascii="Times New Roman" w:hAnsi="Times New Roman"/>
          <w:snapToGrid w:val="0"/>
          <w:kern w:val="0"/>
          <w:sz w:val="24"/>
        </w:rPr>
        <w:t>（以下简称评审标准），标准的适用性在第三章进行了论述。</w:t>
      </w:r>
    </w:p>
    <w:p w14:paraId="3402352C">
      <w:pPr>
        <w:adjustRightInd w:val="0"/>
        <w:snapToGrid w:val="0"/>
        <w:spacing w:line="300" w:lineRule="auto"/>
        <w:ind w:firstLine="480" w:firstLineChars="200"/>
        <w:rPr>
          <w:rFonts w:ascii="Times New Roman" w:hAnsi="Times New Roman"/>
          <w:snapToGrid w:val="0"/>
          <w:kern w:val="0"/>
          <w:sz w:val="24"/>
        </w:rPr>
      </w:pPr>
      <w:r>
        <w:rPr>
          <w:rFonts w:ascii="Times New Roman" w:hAnsi="Times New Roman"/>
          <w:snapToGrid w:val="0"/>
          <w:kern w:val="0"/>
          <w:sz w:val="24"/>
        </w:rPr>
        <w:t>2、本次自评未发现A级要素否决项，自评的等级为三级。</w:t>
      </w:r>
    </w:p>
    <w:p w14:paraId="6F7502AF">
      <w:pPr>
        <w:adjustRightInd w:val="0"/>
        <w:snapToGrid w:val="0"/>
        <w:spacing w:line="300" w:lineRule="auto"/>
        <w:ind w:firstLine="480" w:firstLineChars="200"/>
        <w:rPr>
          <w:rFonts w:ascii="Times New Roman" w:hAnsi="Times New Roman"/>
          <w:snapToGrid w:val="0"/>
          <w:kern w:val="0"/>
          <w:sz w:val="24"/>
        </w:rPr>
      </w:pPr>
      <w:r>
        <w:rPr>
          <w:rFonts w:ascii="Times New Roman" w:hAnsi="Times New Roman"/>
          <w:snapToGrid w:val="0"/>
          <w:kern w:val="0"/>
          <w:sz w:val="24"/>
        </w:rPr>
        <w:t>3、公司本次申请定级之日的前1年内，未发生生产安全死亡事故。</w:t>
      </w:r>
    </w:p>
    <w:p w14:paraId="0983B00A">
      <w:pPr>
        <w:adjustRightInd w:val="0"/>
        <w:snapToGrid w:val="0"/>
        <w:spacing w:line="300" w:lineRule="auto"/>
        <w:ind w:firstLine="480" w:firstLineChars="200"/>
        <w:rPr>
          <w:rFonts w:ascii="Times New Roman" w:hAnsi="Times New Roman"/>
          <w:snapToGrid w:val="0"/>
          <w:kern w:val="0"/>
          <w:sz w:val="24"/>
          <w:u w:val="single"/>
        </w:rPr>
      </w:pPr>
      <w:r>
        <w:rPr>
          <w:rFonts w:ascii="Times New Roman" w:hAnsi="Times New Roman"/>
          <w:snapToGrid w:val="0"/>
          <w:kern w:val="0"/>
          <w:sz w:val="24"/>
        </w:rPr>
        <w:t>4、根据</w:t>
      </w:r>
      <w:r>
        <w:rPr>
          <w:rFonts w:ascii="Times New Roman" w:hAnsi="Times New Roman"/>
          <w:kern w:val="0"/>
          <w:sz w:val="24"/>
        </w:rPr>
        <w:t>《企业安全生产标准化建设定级办法》（应急〔2021〕83号）、《省应急管理厅办公室关于认真落实《企业安全生产标准化建设定级办法》的通知》（鄂应急办〔2022〕6 号）</w:t>
      </w:r>
      <w:r>
        <w:rPr>
          <w:rFonts w:ascii="Times New Roman" w:hAnsi="Times New Roman"/>
          <w:bCs/>
          <w:snapToGrid w:val="0"/>
          <w:kern w:val="0"/>
          <w:sz w:val="24"/>
        </w:rPr>
        <w:t>、</w:t>
      </w:r>
      <w:r>
        <w:rPr>
          <w:rFonts w:ascii="Times New Roman" w:hAnsi="Times New Roman"/>
          <w:kern w:val="0"/>
          <w:sz w:val="24"/>
        </w:rPr>
        <w:t>《危险化学品从业单位安全生产标准化评审标准》（安监总管三[2011]93号）</w:t>
      </w:r>
      <w:r>
        <w:rPr>
          <w:rFonts w:ascii="Times New Roman" w:hAnsi="Times New Roman"/>
          <w:bCs/>
          <w:snapToGrid w:val="0"/>
          <w:kern w:val="0"/>
          <w:sz w:val="24"/>
        </w:rPr>
        <w:t>的要求，三级企业达标要求是评审得分在80分（含）以上，且每个A级要素评审得分均在60分（含）以上。</w:t>
      </w:r>
      <w:r>
        <w:rPr>
          <w:rFonts w:ascii="Times New Roman" w:hAnsi="Times New Roman"/>
          <w:snapToGrid w:val="0"/>
          <w:kern w:val="0"/>
          <w:sz w:val="24"/>
        </w:rPr>
        <w:t>通过本次评审，企业的实际得分为92.0分(保留一位有效数字)，且每个A级要素评审得分都在60分以上，满足危险化学品安全生产标准化三级企业达标要求。</w:t>
      </w:r>
    </w:p>
    <w:p w14:paraId="14CD4D61">
      <w:pPr>
        <w:adjustRightInd w:val="0"/>
        <w:snapToGrid w:val="0"/>
        <w:spacing w:line="300" w:lineRule="auto"/>
        <w:ind w:firstLine="480" w:firstLineChars="200"/>
        <w:rPr>
          <w:rFonts w:hint="eastAsia" w:ascii="宋体" w:hAnsi="宋体"/>
          <w:b/>
          <w:kern w:val="0"/>
          <w:sz w:val="28"/>
          <w:szCs w:val="28"/>
        </w:rPr>
      </w:pPr>
      <w:r>
        <w:rPr>
          <w:rFonts w:ascii="Times New Roman" w:hAnsi="Times New Roman"/>
          <w:snapToGrid w:val="0"/>
          <w:kern w:val="0"/>
          <w:sz w:val="24"/>
        </w:rPr>
        <w:t>5、通过本次自评可以看出，本公司安全管理系统基本能够按照安全生产标准化三级企业要求运行，但是评审中也发现了一些不符合项，在今后的工作中要加强安全生产标准化运行管理，定期开展自查自评，持续改进安全生产条件，不断完善安全生产运行体制，提高安全生产管理水平和安全保障能力。通过自我检查、自我纠正和自我完善，建立起安全绩效持续改进的长效机制</w:t>
      </w:r>
      <w:r>
        <w:rPr>
          <w:rFonts w:hint="eastAsia" w:ascii="Times New Roman" w:hAnsi="Times New Roman"/>
          <w:snapToGrid w:val="0"/>
          <w:kern w:val="0"/>
          <w:sz w:val="24"/>
          <w:lang w:eastAsia="zh-CN"/>
        </w:rPr>
        <w:t>。</w:t>
      </w:r>
    </w:p>
    <w:p w14:paraId="6440315A">
      <w:pPr>
        <w:widowControl/>
        <w:numPr>
          <w:ilvl w:val="0"/>
          <w:numId w:val="1"/>
        </w:numPr>
        <w:spacing w:line="540" w:lineRule="exact"/>
        <w:ind w:left="425" w:leftChars="0" w:hanging="425" w:firstLineChars="0"/>
        <w:outlineLvl w:val="0"/>
        <w:rPr>
          <w:rFonts w:hint="eastAsia" w:ascii="宋体" w:hAnsi="宋体"/>
          <w:b/>
          <w:kern w:val="0"/>
          <w:sz w:val="28"/>
          <w:szCs w:val="28"/>
        </w:rPr>
      </w:pPr>
      <w:bookmarkStart w:id="12" w:name="_Toc444"/>
      <w:r>
        <w:rPr>
          <w:rFonts w:hint="eastAsia" w:ascii="宋体" w:hAnsi="宋体"/>
          <w:b/>
          <w:kern w:val="0"/>
          <w:sz w:val="28"/>
          <w:szCs w:val="28"/>
        </w:rPr>
        <w:t>附录A</w:t>
      </w:r>
      <w:bookmarkEnd w:id="12"/>
    </w:p>
    <w:p w14:paraId="427A9054">
      <w:pPr>
        <w:widowControl/>
        <w:numPr>
          <w:ilvl w:val="1"/>
          <w:numId w:val="1"/>
        </w:numPr>
        <w:spacing w:line="540" w:lineRule="exact"/>
        <w:ind w:left="567" w:leftChars="0" w:hanging="567" w:firstLineChars="0"/>
        <w:rPr>
          <w:rFonts w:hint="eastAsia" w:ascii="宋体" w:hAnsi="宋体"/>
          <w:b/>
          <w:kern w:val="0"/>
          <w:sz w:val="28"/>
          <w:szCs w:val="28"/>
        </w:rPr>
      </w:pPr>
      <w:r>
        <w:rPr>
          <w:rFonts w:hint="eastAsia" w:ascii="宋体" w:hAnsi="宋体"/>
          <w:b/>
          <w:kern w:val="0"/>
          <w:sz w:val="28"/>
          <w:szCs w:val="28"/>
        </w:rPr>
        <w:t>企业相关资质、证照；</w:t>
      </w:r>
    </w:p>
    <w:p w14:paraId="1E0DA4BF">
      <w:pPr>
        <w:widowControl/>
        <w:numPr>
          <w:ilvl w:val="0"/>
          <w:numId w:val="0"/>
        </w:numPr>
        <w:spacing w:line="240" w:lineRule="auto"/>
        <w:ind w:leftChars="0"/>
        <w:rPr>
          <w:rFonts w:hint="eastAsia" w:ascii="宋体" w:hAnsi="宋体" w:eastAsiaTheme="minorEastAsia"/>
          <w:b/>
          <w:kern w:val="0"/>
          <w:sz w:val="28"/>
          <w:szCs w:val="28"/>
          <w:lang w:eastAsia="zh-CN"/>
        </w:rPr>
      </w:pPr>
      <w:r>
        <w:rPr>
          <w:rFonts w:hint="eastAsia" w:ascii="宋体" w:hAnsi="宋体" w:eastAsiaTheme="minorEastAsia"/>
          <w:b/>
          <w:kern w:val="0"/>
          <w:sz w:val="28"/>
          <w:szCs w:val="28"/>
          <w:lang w:eastAsia="zh-CN"/>
        </w:rPr>
        <w:drawing>
          <wp:inline distT="0" distB="0" distL="114300" distR="114300">
            <wp:extent cx="5276215" cy="3732530"/>
            <wp:effectExtent l="0" t="0" r="12065" b="1270"/>
            <wp:docPr id="1" name="图片 1" descr="2、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营业执照_00"/>
                    <pic:cNvPicPr>
                      <a:picLocks noChangeAspect="1"/>
                    </pic:cNvPicPr>
                  </pic:nvPicPr>
                  <pic:blipFill>
                    <a:blip r:embed="rId39"/>
                    <a:stretch>
                      <a:fillRect/>
                    </a:stretch>
                  </pic:blipFill>
                  <pic:spPr>
                    <a:xfrm>
                      <a:off x="0" y="0"/>
                      <a:ext cx="5276215" cy="3732530"/>
                    </a:xfrm>
                    <a:prstGeom prst="rect">
                      <a:avLst/>
                    </a:prstGeom>
                  </pic:spPr>
                </pic:pic>
              </a:graphicData>
            </a:graphic>
          </wp:inline>
        </w:drawing>
      </w:r>
    </w:p>
    <w:p w14:paraId="0ABD79DD">
      <w:pPr>
        <w:widowControl/>
        <w:numPr>
          <w:ilvl w:val="0"/>
          <w:numId w:val="0"/>
        </w:numPr>
        <w:spacing w:line="240" w:lineRule="auto"/>
        <w:ind w:leftChars="0"/>
        <w:rPr>
          <w:rFonts w:hint="eastAsia" w:ascii="宋体" w:hAnsi="宋体" w:eastAsiaTheme="minorEastAsia"/>
          <w:b/>
          <w:kern w:val="0"/>
          <w:sz w:val="28"/>
          <w:szCs w:val="28"/>
          <w:lang w:eastAsia="zh-CN"/>
        </w:rPr>
      </w:pPr>
      <w:r>
        <w:rPr>
          <w:rFonts w:hint="eastAsia" w:ascii="宋体" w:hAnsi="宋体" w:eastAsiaTheme="minorEastAsia"/>
          <w:b/>
          <w:kern w:val="0"/>
          <w:sz w:val="28"/>
          <w:szCs w:val="28"/>
          <w:lang w:eastAsia="zh-CN"/>
        </w:rPr>
        <w:drawing>
          <wp:inline distT="0" distB="0" distL="114300" distR="114300">
            <wp:extent cx="5276850" cy="3733165"/>
            <wp:effectExtent l="0" t="0" r="11430" b="635"/>
            <wp:docPr id="3" name="图片 3" descr="2、安全生产许可证-副本20231114 (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安全生产许可证-副本20231114 (2)_00"/>
                    <pic:cNvPicPr>
                      <a:picLocks noChangeAspect="1"/>
                    </pic:cNvPicPr>
                  </pic:nvPicPr>
                  <pic:blipFill>
                    <a:blip r:embed="rId40"/>
                    <a:stretch>
                      <a:fillRect/>
                    </a:stretch>
                  </pic:blipFill>
                  <pic:spPr>
                    <a:xfrm>
                      <a:off x="0" y="0"/>
                      <a:ext cx="5276850" cy="3733165"/>
                    </a:xfrm>
                    <a:prstGeom prst="rect">
                      <a:avLst/>
                    </a:prstGeom>
                  </pic:spPr>
                </pic:pic>
              </a:graphicData>
            </a:graphic>
          </wp:inline>
        </w:drawing>
      </w:r>
    </w:p>
    <w:p w14:paraId="558EA5A8">
      <w:pPr>
        <w:widowControl/>
        <w:numPr>
          <w:ilvl w:val="0"/>
          <w:numId w:val="0"/>
        </w:numPr>
        <w:spacing w:line="240" w:lineRule="auto"/>
        <w:ind w:leftChars="0"/>
        <w:rPr>
          <w:rFonts w:hint="eastAsia" w:ascii="宋体" w:hAnsi="宋体" w:eastAsiaTheme="minorEastAsia"/>
          <w:b/>
          <w:kern w:val="0"/>
          <w:sz w:val="28"/>
          <w:szCs w:val="28"/>
          <w:lang w:eastAsia="zh-CN"/>
        </w:rPr>
      </w:pPr>
    </w:p>
    <w:p w14:paraId="70163624">
      <w:pPr>
        <w:widowControl/>
        <w:numPr>
          <w:ilvl w:val="1"/>
          <w:numId w:val="1"/>
        </w:numPr>
        <w:spacing w:line="540" w:lineRule="exact"/>
        <w:ind w:left="567" w:leftChars="0" w:hanging="567" w:firstLineChars="0"/>
        <w:rPr>
          <w:rFonts w:hint="eastAsia" w:ascii="宋体" w:hAnsi="宋体"/>
          <w:b/>
          <w:kern w:val="0"/>
          <w:sz w:val="28"/>
          <w:szCs w:val="28"/>
        </w:rPr>
      </w:pPr>
      <w:r>
        <w:rPr>
          <w:rFonts w:hint="eastAsia" w:ascii="宋体" w:hAnsi="宋体"/>
          <w:b/>
          <w:kern w:val="0"/>
          <w:sz w:val="28"/>
          <w:szCs w:val="28"/>
        </w:rPr>
        <w:t xml:space="preserve"> 工厂平面布置图</w:t>
      </w:r>
    </w:p>
    <w:p w14:paraId="17B37B8A">
      <w:pPr>
        <w:widowControl/>
        <w:numPr>
          <w:ilvl w:val="0"/>
          <w:numId w:val="0"/>
        </w:numPr>
        <w:spacing w:line="240" w:lineRule="auto"/>
        <w:ind w:leftChars="0"/>
        <w:rPr>
          <w:rFonts w:hint="eastAsia" w:ascii="宋体" w:hAnsi="宋体" w:eastAsiaTheme="minorEastAsia"/>
          <w:b/>
          <w:kern w:val="0"/>
          <w:sz w:val="28"/>
          <w:szCs w:val="28"/>
          <w:lang w:eastAsia="zh-CN"/>
        </w:rPr>
      </w:pPr>
      <w:r>
        <w:rPr>
          <w:rFonts w:hint="eastAsia" w:ascii="宋体" w:hAnsi="宋体" w:eastAsiaTheme="minorEastAsia"/>
          <w:b/>
          <w:kern w:val="0"/>
          <w:sz w:val="28"/>
          <w:szCs w:val="28"/>
          <w:lang w:eastAsia="zh-CN"/>
        </w:rPr>
        <w:drawing>
          <wp:inline distT="0" distB="0" distL="114300" distR="114300">
            <wp:extent cx="5267960" cy="3173730"/>
            <wp:effectExtent l="0" t="0" r="5080" b="11430"/>
            <wp:docPr id="8" name="图片 8" descr="mmexport17192115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719211547904"/>
                    <pic:cNvPicPr>
                      <a:picLocks noChangeAspect="1"/>
                    </pic:cNvPicPr>
                  </pic:nvPicPr>
                  <pic:blipFill>
                    <a:blip r:embed="rId41"/>
                    <a:stretch>
                      <a:fillRect/>
                    </a:stretch>
                  </pic:blipFill>
                  <pic:spPr>
                    <a:xfrm>
                      <a:off x="0" y="0"/>
                      <a:ext cx="5267960" cy="3173730"/>
                    </a:xfrm>
                    <a:prstGeom prst="rect">
                      <a:avLst/>
                    </a:prstGeom>
                  </pic:spPr>
                </pic:pic>
              </a:graphicData>
            </a:graphic>
          </wp:inline>
        </w:drawing>
      </w:r>
    </w:p>
    <w:p w14:paraId="77E0CC3E">
      <w:pPr>
        <w:widowControl/>
        <w:numPr>
          <w:ilvl w:val="1"/>
          <w:numId w:val="1"/>
        </w:numPr>
        <w:spacing w:line="240" w:lineRule="auto"/>
        <w:ind w:left="567" w:leftChars="0" w:hanging="567" w:firstLineChars="0"/>
        <w:jc w:val="left"/>
        <w:rPr>
          <w:rFonts w:hint="eastAsia" w:ascii="宋体" w:hAnsi="宋体"/>
          <w:b/>
          <w:kern w:val="0"/>
          <w:sz w:val="28"/>
          <w:szCs w:val="28"/>
        </w:rPr>
      </w:pPr>
      <w:r>
        <w:rPr>
          <w:rFonts w:hint="eastAsia" w:ascii="宋体" w:hAnsi="宋体"/>
          <w:b/>
          <w:kern w:val="0"/>
          <w:sz w:val="28"/>
          <w:szCs w:val="28"/>
          <w:lang w:val="en-US" w:eastAsia="zh-CN"/>
        </w:rPr>
        <w:t>安全管理机构设置文件</w:t>
      </w:r>
      <w:r>
        <w:rPr>
          <w:rFonts w:hint="eastAsia" w:ascii="宋体" w:hAnsi="宋体"/>
          <w:b/>
          <w:kern w:val="0"/>
          <w:sz w:val="28"/>
          <w:szCs w:val="28"/>
        </w:rPr>
        <w:drawing>
          <wp:inline distT="0" distB="0" distL="114300" distR="114300">
            <wp:extent cx="5266055" cy="7882890"/>
            <wp:effectExtent l="0" t="0" r="6985" b="11430"/>
            <wp:docPr id="11" name="图片 11" descr="达诺尔湖北微电子材料有限公司(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达诺尔湖北微电子材料有限公司(4)_2"/>
                    <pic:cNvPicPr>
                      <a:picLocks noChangeAspect="1"/>
                    </pic:cNvPicPr>
                  </pic:nvPicPr>
                  <pic:blipFill>
                    <a:blip r:embed="rId42"/>
                    <a:stretch>
                      <a:fillRect/>
                    </a:stretch>
                  </pic:blipFill>
                  <pic:spPr>
                    <a:xfrm>
                      <a:off x="0" y="0"/>
                      <a:ext cx="5266055" cy="7882890"/>
                    </a:xfrm>
                    <a:prstGeom prst="rect">
                      <a:avLst/>
                    </a:prstGeom>
                  </pic:spPr>
                </pic:pic>
              </a:graphicData>
            </a:graphic>
          </wp:inline>
        </w:drawing>
      </w:r>
      <w:r>
        <w:rPr>
          <w:rFonts w:hint="eastAsia" w:ascii="宋体" w:hAnsi="宋体"/>
          <w:b/>
          <w:kern w:val="0"/>
          <w:sz w:val="28"/>
          <w:szCs w:val="28"/>
        </w:rPr>
        <w:drawing>
          <wp:inline distT="0" distB="0" distL="114300" distR="114300">
            <wp:extent cx="5268595" cy="7712710"/>
            <wp:effectExtent l="0" t="0" r="4445" b="13970"/>
            <wp:docPr id="10" name="图片 10" descr="达诺尔湖北微电子材料有限公司(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达诺尔湖北微电子材料有限公司(4)_1"/>
                    <pic:cNvPicPr>
                      <a:picLocks noChangeAspect="1"/>
                    </pic:cNvPicPr>
                  </pic:nvPicPr>
                  <pic:blipFill>
                    <a:blip r:embed="rId43"/>
                    <a:stretch>
                      <a:fillRect/>
                    </a:stretch>
                  </pic:blipFill>
                  <pic:spPr>
                    <a:xfrm>
                      <a:off x="0" y="0"/>
                      <a:ext cx="5268595" cy="7712710"/>
                    </a:xfrm>
                    <a:prstGeom prst="rect">
                      <a:avLst/>
                    </a:prstGeom>
                  </pic:spPr>
                </pic:pic>
              </a:graphicData>
            </a:graphic>
          </wp:inline>
        </w:drawing>
      </w:r>
    </w:p>
    <w:p w14:paraId="57080AD5">
      <w:pPr>
        <w:widowControl/>
        <w:numPr>
          <w:ilvl w:val="0"/>
          <w:numId w:val="0"/>
        </w:numPr>
        <w:spacing w:line="540" w:lineRule="exact"/>
        <w:ind w:leftChars="0"/>
        <w:rPr>
          <w:rFonts w:hint="eastAsia" w:ascii="宋体" w:hAnsi="宋体"/>
          <w:b/>
          <w:kern w:val="0"/>
          <w:sz w:val="28"/>
          <w:szCs w:val="28"/>
        </w:rPr>
      </w:pPr>
    </w:p>
    <w:p w14:paraId="3EF5A9F3">
      <w:pPr>
        <w:widowControl/>
        <w:numPr>
          <w:ilvl w:val="1"/>
          <w:numId w:val="1"/>
        </w:numPr>
        <w:spacing w:line="540" w:lineRule="exact"/>
        <w:ind w:left="567" w:leftChars="0" w:hanging="567" w:firstLineChars="0"/>
        <w:rPr>
          <w:rFonts w:hint="eastAsia" w:ascii="宋体" w:hAnsi="宋体"/>
          <w:b/>
          <w:kern w:val="0"/>
          <w:sz w:val="28"/>
          <w:szCs w:val="28"/>
        </w:rPr>
      </w:pPr>
      <w:r>
        <w:rPr>
          <w:rFonts w:hint="eastAsia" w:ascii="宋体" w:hAnsi="宋体"/>
          <w:b/>
          <w:kern w:val="0"/>
          <w:sz w:val="28"/>
          <w:szCs w:val="28"/>
        </w:rPr>
        <w:t>参与自评及首次会、末次会议议程及人员签到表;</w:t>
      </w:r>
    </w:p>
    <w:p w14:paraId="1AFEAD2A">
      <w:pPr>
        <w:widowControl/>
        <w:numPr>
          <w:ilvl w:val="0"/>
          <w:numId w:val="0"/>
        </w:numPr>
        <w:spacing w:line="240" w:lineRule="auto"/>
        <w:ind w:leftChars="0"/>
        <w:rPr>
          <w:rFonts w:hint="eastAsia" w:ascii="宋体" w:hAnsi="宋体" w:eastAsiaTheme="minorEastAsia"/>
          <w:b/>
          <w:kern w:val="0"/>
          <w:sz w:val="28"/>
          <w:szCs w:val="28"/>
          <w:lang w:eastAsia="zh-CN"/>
        </w:rPr>
      </w:pPr>
      <w:r>
        <w:rPr>
          <w:rFonts w:hint="eastAsia" w:ascii="宋体" w:hAnsi="宋体" w:eastAsiaTheme="minorEastAsia"/>
          <w:b/>
          <w:kern w:val="0"/>
          <w:sz w:val="28"/>
          <w:szCs w:val="28"/>
          <w:lang w:eastAsia="zh-CN"/>
        </w:rPr>
        <w:drawing>
          <wp:inline distT="0" distB="0" distL="114300" distR="114300">
            <wp:extent cx="5271770" cy="7519670"/>
            <wp:effectExtent l="0" t="0" r="1270" b="8890"/>
            <wp:docPr id="9" name="图片 9" descr="CCI_0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I_000121"/>
                    <pic:cNvPicPr>
                      <a:picLocks noChangeAspect="1"/>
                    </pic:cNvPicPr>
                  </pic:nvPicPr>
                  <pic:blipFill>
                    <a:blip r:embed="rId44"/>
                    <a:stretch>
                      <a:fillRect/>
                    </a:stretch>
                  </pic:blipFill>
                  <pic:spPr>
                    <a:xfrm>
                      <a:off x="0" y="0"/>
                      <a:ext cx="5271770" cy="7519670"/>
                    </a:xfrm>
                    <a:prstGeom prst="rect">
                      <a:avLst/>
                    </a:prstGeom>
                  </pic:spPr>
                </pic:pic>
              </a:graphicData>
            </a:graphic>
          </wp:inline>
        </w:drawing>
      </w:r>
    </w:p>
    <w:p w14:paraId="1740D302">
      <w:pPr>
        <w:widowControl/>
        <w:numPr>
          <w:ilvl w:val="0"/>
          <w:numId w:val="0"/>
        </w:numPr>
        <w:spacing w:line="540" w:lineRule="exact"/>
        <w:ind w:leftChars="0"/>
        <w:rPr>
          <w:rFonts w:hint="eastAsia" w:ascii="宋体" w:hAnsi="宋体"/>
          <w:b/>
          <w:kern w:val="0"/>
          <w:sz w:val="28"/>
          <w:szCs w:val="28"/>
        </w:rPr>
      </w:pPr>
    </w:p>
    <w:p w14:paraId="5D8223C8">
      <w:pPr>
        <w:widowControl/>
        <w:numPr>
          <w:ilvl w:val="1"/>
          <w:numId w:val="1"/>
        </w:numPr>
        <w:spacing w:line="540" w:lineRule="exact"/>
        <w:ind w:left="567" w:leftChars="0" w:hanging="567" w:firstLineChars="0"/>
        <w:rPr>
          <w:rFonts w:hint="eastAsia" w:ascii="宋体" w:hAnsi="宋体"/>
          <w:b/>
          <w:kern w:val="0"/>
          <w:sz w:val="28"/>
          <w:szCs w:val="28"/>
        </w:rPr>
      </w:pPr>
      <w:r>
        <w:rPr>
          <w:rFonts w:hint="eastAsia" w:ascii="宋体" w:hAnsi="宋体"/>
          <w:b/>
          <w:kern w:val="0"/>
          <w:sz w:val="28"/>
          <w:szCs w:val="28"/>
        </w:rPr>
        <w:t>安全生产责任保险、工伤保险缴纳情况（复印件）;</w:t>
      </w:r>
    </w:p>
    <w:p w14:paraId="6EB13052">
      <w:pPr>
        <w:widowControl/>
        <w:numPr>
          <w:ilvl w:val="0"/>
          <w:numId w:val="0"/>
        </w:numPr>
        <w:spacing w:line="540" w:lineRule="exact"/>
        <w:ind w:leftChars="0"/>
        <w:rPr>
          <w:rFonts w:hint="eastAsia" w:ascii="宋体" w:hAnsi="宋体"/>
          <w:b/>
          <w:kern w:val="0"/>
          <w:sz w:val="28"/>
          <w:szCs w:val="28"/>
        </w:rPr>
      </w:pPr>
    </w:p>
    <w:p w14:paraId="6D233935">
      <w:pPr>
        <w:widowControl/>
        <w:numPr>
          <w:ilvl w:val="0"/>
          <w:numId w:val="0"/>
        </w:numPr>
        <w:spacing w:line="240" w:lineRule="auto"/>
        <w:ind w:leftChars="0"/>
        <w:rPr>
          <w:rFonts w:hint="eastAsia" w:ascii="宋体" w:hAnsi="宋体" w:eastAsiaTheme="minorEastAsia"/>
          <w:b/>
          <w:kern w:val="0"/>
          <w:sz w:val="28"/>
          <w:szCs w:val="28"/>
          <w:lang w:eastAsia="zh-CN"/>
        </w:rPr>
      </w:pPr>
      <w:r>
        <w:rPr>
          <w:rFonts w:hint="eastAsia" w:ascii="宋体" w:hAnsi="宋体" w:eastAsiaTheme="minorEastAsia"/>
          <w:b/>
          <w:kern w:val="0"/>
          <w:sz w:val="28"/>
          <w:szCs w:val="28"/>
          <w:lang w:eastAsia="zh-CN"/>
        </w:rPr>
        <w:drawing>
          <wp:inline distT="0" distB="0" distL="114300" distR="114300">
            <wp:extent cx="5274945" cy="7463790"/>
            <wp:effectExtent l="0" t="0" r="13335" b="3810"/>
            <wp:docPr id="7" name="图片 7" descr="安全生产责任保险（达诺尔（湖北）微电子材料有限公司）_2988126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安全生产责任保险（达诺尔（湖北）微电子材料有限公司）_29881267_00"/>
                    <pic:cNvPicPr>
                      <a:picLocks noChangeAspect="1"/>
                    </pic:cNvPicPr>
                  </pic:nvPicPr>
                  <pic:blipFill>
                    <a:blip r:embed="rId45"/>
                    <a:stretch>
                      <a:fillRect/>
                    </a:stretch>
                  </pic:blipFill>
                  <pic:spPr>
                    <a:xfrm>
                      <a:off x="0" y="0"/>
                      <a:ext cx="5274945" cy="7463790"/>
                    </a:xfrm>
                    <a:prstGeom prst="rect">
                      <a:avLst/>
                    </a:prstGeom>
                  </pic:spPr>
                </pic:pic>
              </a:graphicData>
            </a:graphic>
          </wp:inline>
        </w:drawing>
      </w:r>
    </w:p>
    <w:p w14:paraId="1834AF9F">
      <w:pPr>
        <w:widowControl/>
        <w:numPr>
          <w:ilvl w:val="0"/>
          <w:numId w:val="0"/>
        </w:numPr>
        <w:spacing w:line="540" w:lineRule="exact"/>
        <w:ind w:leftChars="0"/>
        <w:rPr>
          <w:rFonts w:hint="eastAsia" w:ascii="宋体" w:hAnsi="宋体"/>
          <w:b/>
          <w:kern w:val="0"/>
          <w:sz w:val="28"/>
          <w:szCs w:val="28"/>
        </w:rPr>
      </w:pPr>
    </w:p>
    <w:p w14:paraId="5C6DA185">
      <w:pPr>
        <w:widowControl/>
        <w:numPr>
          <w:ilvl w:val="0"/>
          <w:numId w:val="0"/>
        </w:numPr>
        <w:spacing w:line="540" w:lineRule="exact"/>
        <w:ind w:leftChars="0"/>
        <w:rPr>
          <w:rFonts w:hint="eastAsia" w:ascii="宋体" w:hAnsi="宋体"/>
          <w:b/>
          <w:kern w:val="0"/>
          <w:sz w:val="28"/>
          <w:szCs w:val="28"/>
        </w:rPr>
      </w:pPr>
    </w:p>
    <w:p w14:paraId="637B72D0">
      <w:pPr>
        <w:widowControl/>
        <w:numPr>
          <w:ilvl w:val="0"/>
          <w:numId w:val="0"/>
        </w:numPr>
        <w:spacing w:line="540" w:lineRule="exact"/>
        <w:ind w:leftChars="0"/>
        <w:rPr>
          <w:rFonts w:hint="eastAsia" w:ascii="宋体" w:hAnsi="宋体"/>
          <w:b/>
          <w:kern w:val="0"/>
          <w:sz w:val="28"/>
          <w:szCs w:val="28"/>
        </w:rPr>
      </w:pPr>
    </w:p>
    <w:p w14:paraId="7F8DDCA1">
      <w:pPr>
        <w:widowControl/>
        <w:numPr>
          <w:ilvl w:val="1"/>
          <w:numId w:val="1"/>
        </w:numPr>
        <w:spacing w:line="540" w:lineRule="exact"/>
        <w:ind w:left="567" w:leftChars="0" w:hanging="567" w:firstLineChars="0"/>
        <w:rPr>
          <w:rFonts w:hint="eastAsia" w:ascii="宋体" w:hAnsi="宋体"/>
          <w:b/>
          <w:kern w:val="0"/>
          <w:sz w:val="28"/>
          <w:szCs w:val="28"/>
        </w:rPr>
      </w:pPr>
      <w:r>
        <w:rPr>
          <w:rFonts w:hint="eastAsia" w:ascii="宋体" w:hAnsi="宋体"/>
          <w:b/>
          <w:kern w:val="0"/>
          <w:sz w:val="28"/>
          <w:szCs w:val="28"/>
        </w:rPr>
        <w:t>企业承诺书</w:t>
      </w:r>
    </w:p>
    <w:p w14:paraId="68AA9A9A">
      <w:pPr>
        <w:rPr>
          <w:rFonts w:hint="eastAsia" w:eastAsiaTheme="minorEastAsia"/>
          <w:lang w:eastAsia="zh-CN"/>
        </w:rPr>
      </w:pPr>
      <w:r>
        <w:rPr>
          <w:rFonts w:hint="eastAsia" w:eastAsiaTheme="minorEastAsia"/>
          <w:lang w:eastAsia="zh-CN"/>
        </w:rPr>
        <w:drawing>
          <wp:inline distT="0" distB="0" distL="114300" distR="114300">
            <wp:extent cx="5274945" cy="7455535"/>
            <wp:effectExtent l="0" t="0" r="13335" b="12065"/>
            <wp:docPr id="16" name="图片 16" descr="SKM_C226240827140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KM_C22624082714040_02"/>
                    <pic:cNvPicPr>
                      <a:picLocks noChangeAspect="1"/>
                    </pic:cNvPicPr>
                  </pic:nvPicPr>
                  <pic:blipFill>
                    <a:blip r:embed="rId46"/>
                    <a:stretch>
                      <a:fillRect/>
                    </a:stretch>
                  </pic:blipFill>
                  <pic:spPr>
                    <a:xfrm>
                      <a:off x="0" y="0"/>
                      <a:ext cx="5274945" cy="7455535"/>
                    </a:xfrm>
                    <a:prstGeom prst="rect">
                      <a:avLst/>
                    </a:prstGeom>
                  </pic:spPr>
                </pic:pic>
              </a:graphicData>
            </a:graphic>
          </wp:inline>
        </w:drawing>
      </w:r>
    </w:p>
    <w:sectPr>
      <w:pgSz w:w="11906" w:h="16838"/>
      <w:pgMar w:top="1559"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3193C">
    <w:pPr>
      <w:spacing w:before="92" w:line="162" w:lineRule="auto"/>
      <w:ind w:left="4338"/>
      <w:rPr>
        <w:rFonts w:ascii="楷体" w:hAnsi="楷体" w:eastAsia="楷体" w:cs="楷体"/>
        <w:sz w:val="18"/>
        <w:szCs w:val="18"/>
      </w:rPr>
    </w:pPr>
    <w:r>
      <mc:AlternateContent>
        <mc:Choice Requires="wps">
          <w:drawing>
            <wp:anchor distT="0" distB="0" distL="114300" distR="114300" simplePos="0" relativeHeight="251682816" behindDoc="0" locked="0" layoutInCell="0" allowOverlap="1">
              <wp:simplePos x="0" y="0"/>
              <wp:positionH relativeFrom="page">
                <wp:posOffset>701040</wp:posOffset>
              </wp:positionH>
              <wp:positionV relativeFrom="page">
                <wp:posOffset>10091420</wp:posOffset>
              </wp:positionV>
              <wp:extent cx="5870575" cy="6350"/>
              <wp:effectExtent l="0" t="0" r="0" b="0"/>
              <wp:wrapNone/>
              <wp:docPr id="57" name="任意多边形 57"/>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794.6pt;height:0.5pt;width:462.25pt;mso-position-horizontal-relative:page;mso-position-vertical-relative:page;z-index:251682816;mso-width-relative:page;mso-height-relative:page;" fillcolor="#000000" filled="t" stroked="f" coordsize="9245,10" o:allowincell="f" o:gfxdata="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GmbzZAAAADgEA&#10;AA8AAAAAAAAAAQAgAAAAIgAAAGRycy9kb3ducmV2LnhtbFBLAQIUABQAAAAIAIdO4kAQC7k8GQIA&#10;AHsEAAAOAAAAAAAAAAEAIAAAACgBAABkcnMvZTJvRG9jLnhtbFBLBQYAAAAABgAGAFkBAACzBQAA&#10;AAA=&#10;" path="m0,9l9244,9,9244,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7"/>
        <w:sz w:val="18"/>
        <w:szCs w:val="18"/>
      </w:rPr>
      <w:t xml:space="preserve"> </w:t>
    </w:r>
    <w:r>
      <w:rPr>
        <w:rFonts w:ascii="Calibri" w:hAnsi="Calibri" w:eastAsia="Calibri" w:cs="Calibri"/>
        <w:spacing w:val="-4"/>
        <w:sz w:val="18"/>
        <w:szCs w:val="18"/>
      </w:rPr>
      <w:t>176</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273B">
    <w:pPr>
      <w:spacing w:before="87" w:line="168" w:lineRule="auto"/>
      <w:ind w:left="6988"/>
      <w:rPr>
        <w:rFonts w:ascii="楷体" w:hAnsi="楷体" w:eastAsia="楷体" w:cs="楷体"/>
        <w:sz w:val="18"/>
        <w:szCs w:val="18"/>
      </w:rPr>
    </w:pPr>
    <w:r>
      <mc:AlternateContent>
        <mc:Choice Requires="wps">
          <w:drawing>
            <wp:anchor distT="0" distB="0" distL="114300" distR="114300" simplePos="0" relativeHeight="251673600"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38" name="任意多边形 38"/>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73600;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5KD2QAAAA4BAAAP&#10;AAAAAAAAAAEAIAAAACIAAABkcnMvZG93bnJldi54bWxQSwECFAAUAAAACACHTuJAXv3rbhcCAAB+&#10;BAAADgAAAAAAAAABACAAAAAoAQAAZHJzL2Uyb0RvYy54bWxQSwUGAAAAAAYABgBZAQAAsQU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0AA44">
    <w:pPr>
      <w:spacing w:before="92" w:line="162" w:lineRule="auto"/>
      <w:ind w:left="6988"/>
      <w:rPr>
        <w:rFonts w:ascii="楷体" w:hAnsi="楷体" w:eastAsia="楷体" w:cs="楷体"/>
        <w:sz w:val="18"/>
        <w:szCs w:val="18"/>
      </w:rPr>
    </w:pPr>
    <w:r>
      <mc:AlternateContent>
        <mc:Choice Requires="wps">
          <w:drawing>
            <wp:anchor distT="0" distB="0" distL="114300" distR="114300" simplePos="0" relativeHeight="251675648"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43" name="任意多边形 43"/>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75648;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5KD2QAAAA4BAAAP&#10;AAAAAAAAAAEAIAAAACIAAABkcnMvZG93bnJldi54bWxQSwECFAAUAAAACACHTuJAAdiTmxcCAAB+&#10;BAAADgAAAAAAAAABACAAAAAoAQAAZHJzL2Uyb0RvYy54bWxQSwUGAAAAAAYABgBZAQAAsQU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52</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566EA">
    <w:pPr>
      <w:spacing w:before="87" w:line="168" w:lineRule="auto"/>
      <w:ind w:left="6988"/>
      <w:rPr>
        <w:rFonts w:ascii="楷体" w:hAnsi="楷体" w:eastAsia="楷体" w:cs="楷体"/>
        <w:sz w:val="18"/>
        <w:szCs w:val="18"/>
      </w:rPr>
    </w:pPr>
    <w:r>
      <mc:AlternateContent>
        <mc:Choice Requires="wps">
          <w:drawing>
            <wp:anchor distT="0" distB="0" distL="114300" distR="114300" simplePos="0" relativeHeight="251677696"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47" name="任意多边形 47"/>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77696;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5KD2QAAAA4BAAAP&#10;AAAAAAAAAAEAIAAAACIAAABkcnMvZG93bnJldi54bWxQSwECFAAUAAAACACHTuJARh/RjhcCAAB+&#10;BAAADgAAAAAAAAABACAAAAAoAQAAZHJzL2Uyb0RvYy54bWxQSwUGAAAAAAYABgBZAQAAsQU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7B35D">
    <w:pPr>
      <w:spacing w:before="94" w:line="160" w:lineRule="auto"/>
      <w:ind w:left="6988"/>
      <w:rPr>
        <w:rFonts w:ascii="楷体" w:hAnsi="楷体" w:eastAsia="楷体" w:cs="楷体"/>
        <w:sz w:val="18"/>
        <w:szCs w:val="18"/>
      </w:rPr>
    </w:pPr>
    <w:r>
      <mc:AlternateContent>
        <mc:Choice Requires="wps">
          <w:drawing>
            <wp:anchor distT="0" distB="0" distL="114300" distR="114300" simplePos="0" relativeHeight="251679744"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42" name="任意多边形 42"/>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79744;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5KD2QAAAA4BAAAP&#10;AAAAAAAAAAEAIAAAACIAAABkcnMvZG93bnJldi54bWxQSwECFAAUAAAACACHTuJAYKunBRcCAAB+&#10;BAAADgAAAAAAAAABACAAAAAoAQAAZHJzL2Uyb0RvYy54bWxQSwUGAAAAAAYABgBZAQAAsQU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54</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A155">
    <w:pPr>
      <w:spacing w:before="90" w:line="165" w:lineRule="auto"/>
      <w:ind w:left="6988"/>
      <w:rPr>
        <w:rFonts w:ascii="楷体" w:hAnsi="楷体" w:eastAsia="楷体" w:cs="楷体"/>
        <w:sz w:val="18"/>
        <w:szCs w:val="18"/>
      </w:rPr>
    </w:pPr>
    <w:r>
      <mc:AlternateContent>
        <mc:Choice Requires="wps">
          <w:drawing>
            <wp:anchor distT="0" distB="0" distL="114300" distR="114300" simplePos="0" relativeHeight="251680768"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44" name="任意多边形 44"/>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80768;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5KD2QAAAA4BAAAP&#10;AAAAAAAAAAEAIAAAACIAAABkcnMvZG93bnJldi54bWxQSwECFAAUAAAACACHTuJApIz89xcCAAB+&#10;BAAADgAAAAAAAAABACAAAAAoAQAAZHJzL2Uyb0RvYy54bWxQSwUGAAAAAAYABgBZAQAAsQU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A1814">
    <w:pPr>
      <w:pStyle w:val="8"/>
      <w:framePr w:wrap="around" w:vAnchor="text" w:hAnchor="margin" w:xAlign="center" w:y="1"/>
      <w:rPr>
        <w:rStyle w:val="16"/>
        <w:rFonts w:eastAsia="宋体" w:cs="Times New Roman"/>
      </w:rPr>
    </w:pPr>
    <w:r>
      <w:rPr>
        <w:rStyle w:val="16"/>
        <w:rFonts w:eastAsia="宋体" w:cs="Times New Roman"/>
        <w:sz w:val="21"/>
        <w:szCs w:val="24"/>
      </w:rPr>
      <w:fldChar w:fldCharType="begin"/>
    </w:r>
    <w:r>
      <w:rPr>
        <w:rStyle w:val="16"/>
        <w:rFonts w:eastAsia="宋体" w:cs="Times New Roman"/>
        <w:sz w:val="21"/>
        <w:szCs w:val="24"/>
      </w:rPr>
      <w:instrText xml:space="preserve">PAGE  </w:instrText>
    </w:r>
    <w:r>
      <w:rPr>
        <w:rStyle w:val="16"/>
        <w:rFonts w:eastAsia="宋体" w:cs="Times New Roman"/>
        <w:sz w:val="21"/>
        <w:szCs w:val="24"/>
      </w:rPr>
      <w:fldChar w:fldCharType="separate"/>
    </w:r>
    <w:r>
      <w:rPr>
        <w:rStyle w:val="16"/>
        <w:rFonts w:eastAsia="宋体" w:cs="Times New Roman"/>
        <w:sz w:val="21"/>
        <w:szCs w:val="24"/>
      </w:rPr>
      <w:t>9</w:t>
    </w:r>
    <w:r>
      <w:rPr>
        <w:rStyle w:val="16"/>
        <w:rFonts w:eastAsia="宋体" w:cs="Times New Roman"/>
        <w:sz w:val="21"/>
        <w:szCs w:val="24"/>
      </w:rPr>
      <w:fldChar w:fldCharType="end"/>
    </w:r>
  </w:p>
  <w:p w14:paraId="1F7B7E4A">
    <w:pPr>
      <w:pStyle w:val="8"/>
      <w:ind w:right="360"/>
      <w:jc w:val="center"/>
      <w:rPr>
        <w:rFonts w:hint="eastAsia" w:eastAsia="宋体" w:cs="Times New Roman"/>
      </w:rPr>
    </w:pPr>
    <w:r>
      <w:rPr>
        <w:rFonts w:hint="eastAsia" w:eastAsia="宋体" w:cs="Times New Roman"/>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5E66">
    <w:pPr>
      <w:spacing w:before="92" w:line="162" w:lineRule="auto"/>
      <w:ind w:left="4353"/>
      <w:rPr>
        <w:rFonts w:ascii="楷体" w:hAnsi="楷体" w:eastAsia="楷体" w:cs="楷体"/>
        <w:sz w:val="18"/>
        <w:szCs w:val="18"/>
      </w:rPr>
    </w:pPr>
    <w:r>
      <mc:AlternateContent>
        <mc:Choice Requires="wps">
          <w:drawing>
            <wp:anchor distT="0" distB="0" distL="114300" distR="114300" simplePos="0" relativeHeight="251664384" behindDoc="0" locked="0" layoutInCell="0" allowOverlap="1">
              <wp:simplePos x="0" y="0"/>
              <wp:positionH relativeFrom="page">
                <wp:posOffset>701040</wp:posOffset>
              </wp:positionH>
              <wp:positionV relativeFrom="page">
                <wp:posOffset>10091420</wp:posOffset>
              </wp:positionV>
              <wp:extent cx="5870575" cy="6350"/>
              <wp:effectExtent l="0" t="0" r="0" b="0"/>
              <wp:wrapNone/>
              <wp:docPr id="21" name="任意多边形 21"/>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794.6pt;height:0.5pt;width:462.25pt;mso-position-horizontal-relative:page;mso-position-vertical-relative:page;z-index:251664384;mso-width-relative:page;mso-height-relative:page;" fillcolor="#000000" filled="t" stroked="f" coordsize="9245,10" o:allowincell="f" o:gfxdata="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oaZvNkAAAAOAQAA&#10;DwAAAAAAAAABACAAAAAiAAAAZHJzL2Rvd25yZXYueG1sUEsBAhQAFAAAAAgAh07iQHDkAXYYAgAA&#10;ewQAAA4AAAAAAAAAAQAgAAAAKAEAAGRycy9lMm9Eb2MueG1sUEsFBgAAAAAGAAYAWQEAALIFAAAA&#10;AA==&#10;" path="m0,9l9244,9,9244,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32</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9584C">
    <w:pPr>
      <w:spacing w:before="87" w:line="168" w:lineRule="auto"/>
      <w:ind w:left="4436"/>
      <w:rPr>
        <w:rFonts w:ascii="楷体" w:hAnsi="楷体" w:eastAsia="楷体" w:cs="楷体"/>
        <w:sz w:val="18"/>
        <w:szCs w:val="18"/>
      </w:rPr>
    </w:pPr>
    <w:r>
      <mc:AlternateContent>
        <mc:Choice Requires="wps">
          <w:drawing>
            <wp:anchor distT="0" distB="0" distL="114300" distR="114300" simplePos="0" relativeHeight="251665408" behindDoc="0" locked="0" layoutInCell="0" allowOverlap="1">
              <wp:simplePos x="0" y="0"/>
              <wp:positionH relativeFrom="page">
                <wp:posOffset>990600</wp:posOffset>
              </wp:positionH>
              <wp:positionV relativeFrom="page">
                <wp:posOffset>10091420</wp:posOffset>
              </wp:positionV>
              <wp:extent cx="5869940" cy="635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794.6pt;height:0.5pt;width:462.2pt;mso-position-horizontal-relative:page;mso-position-vertical-relative:page;z-index:251665408;mso-width-relative:page;mso-height-relative:page;" fillcolor="#000000" filled="t" stroked="f" coordsize="9244,10" o:allowincell="f" o:gfxdata="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BFMvdkAAAAOAQAA&#10;DwAAAAAAAAABACAAAAAiAAAAZHJzL2Rvd25yZXYueG1sUEsBAhQAFAAAAAgAh07iQFZqTq0YAgAA&#10;ewQAAA4AAAAAAAAAAQAgAAAAKAEAAGRycy9lMm9Eb2MueG1sUEsFBgAAAAAGAAYAWQEAALIFAAAA&#10;AA==&#10;" path="m0,9l9243,9,9243,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746CB">
    <w:pPr>
      <w:spacing w:before="92" w:line="162" w:lineRule="auto"/>
      <w:ind w:left="4437"/>
      <w:rPr>
        <w:rFonts w:ascii="楷体" w:hAnsi="楷体" w:eastAsia="楷体" w:cs="楷体"/>
        <w:sz w:val="18"/>
        <w:szCs w:val="18"/>
      </w:rPr>
    </w:pPr>
    <w:r>
      <mc:AlternateContent>
        <mc:Choice Requires="wps">
          <w:drawing>
            <wp:anchor distT="0" distB="0" distL="114300" distR="114300" simplePos="0" relativeHeight="251666432" behindDoc="0" locked="0" layoutInCell="0" allowOverlap="1">
              <wp:simplePos x="0" y="0"/>
              <wp:positionH relativeFrom="page">
                <wp:posOffset>701040</wp:posOffset>
              </wp:positionH>
              <wp:positionV relativeFrom="page">
                <wp:posOffset>10091420</wp:posOffset>
              </wp:positionV>
              <wp:extent cx="5870575" cy="6350"/>
              <wp:effectExtent l="0" t="0" r="0" b="0"/>
              <wp:wrapNone/>
              <wp:docPr id="31" name="任意多边形 31"/>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794.6pt;height:0.5pt;width:462.25pt;mso-position-horizontal-relative:page;mso-position-vertical-relative:page;z-index:251666432;mso-width-relative:page;mso-height-relative:page;" fillcolor="#000000" filled="t" stroked="f" coordsize="9245,10" o:allowincell="f" o:gfxdata="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GmbzZAAAADgEA&#10;AA8AAAAAAAAAAQAgAAAAIgAAAGRycy9kb3ducmV2LnhtbFBLAQIUABQAAAAIAIdO4kAA37KVGQIA&#10;AHsEAAAOAAAAAAAAAAEAIAAAACgBAABkcnMvZTJvRG9jLnhtbFBLBQYAAAAABgAGAFkBAACzBQAA&#10;AAA=&#10;" path="m0,9l9244,9,9244,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34</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B26D">
    <w:pPr>
      <w:spacing w:before="87" w:line="168" w:lineRule="auto"/>
      <w:ind w:left="4436"/>
      <w:rPr>
        <w:rFonts w:ascii="楷体" w:hAnsi="楷体" w:eastAsia="楷体" w:cs="楷体"/>
        <w:sz w:val="18"/>
        <w:szCs w:val="18"/>
      </w:rPr>
    </w:pPr>
    <w:r>
      <mc:AlternateContent>
        <mc:Choice Requires="wps">
          <w:drawing>
            <wp:anchor distT="0" distB="0" distL="114300" distR="114300" simplePos="0" relativeHeight="251667456" behindDoc="0" locked="0" layoutInCell="0" allowOverlap="1">
              <wp:simplePos x="0" y="0"/>
              <wp:positionH relativeFrom="page">
                <wp:posOffset>990600</wp:posOffset>
              </wp:positionH>
              <wp:positionV relativeFrom="page">
                <wp:posOffset>10091420</wp:posOffset>
              </wp:positionV>
              <wp:extent cx="5869940" cy="6350"/>
              <wp:effectExtent l="0" t="0" r="0" b="0"/>
              <wp:wrapNone/>
              <wp:docPr id="20" name="任意多边形 20"/>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794.6pt;height:0.5pt;width:462.2pt;mso-position-horizontal-relative:page;mso-position-vertical-relative:page;z-index:251667456;mso-width-relative:page;mso-height-relative:page;" fillcolor="#000000" filled="t" stroked="f" coordsize="9244,10" o:allowincell="f" o:gfxdata="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BFMvdkAAAAOAQAA&#10;DwAAAAAAAAABACAAAAAiAAAAZHJzL2Rvd25yZXYueG1sUEsBAhQAFAAAAAgAh07iQI/LbwYYAgAA&#10;ewQAAA4AAAAAAAAAAQAgAAAAKAEAAGRycy9lMm9Eb2MueG1sUEsFBgAAAAAGAAYAWQEAALIFAAAA&#10;AA==&#10;" path="m0,9l9243,9,9243,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0080">
    <w:pPr>
      <w:spacing w:before="92" w:line="162" w:lineRule="auto"/>
      <w:ind w:left="4437"/>
      <w:rPr>
        <w:rFonts w:ascii="楷体" w:hAnsi="楷体" w:eastAsia="楷体" w:cs="楷体"/>
        <w:sz w:val="18"/>
        <w:szCs w:val="18"/>
      </w:rPr>
    </w:pPr>
    <w:r>
      <mc:AlternateContent>
        <mc:Choice Requires="wps">
          <w:drawing>
            <wp:anchor distT="0" distB="0" distL="114300" distR="114300" simplePos="0" relativeHeight="251668480" behindDoc="0" locked="0" layoutInCell="0" allowOverlap="1">
              <wp:simplePos x="0" y="0"/>
              <wp:positionH relativeFrom="page">
                <wp:posOffset>701040</wp:posOffset>
              </wp:positionH>
              <wp:positionV relativeFrom="page">
                <wp:posOffset>10091420</wp:posOffset>
              </wp:positionV>
              <wp:extent cx="5870575" cy="6350"/>
              <wp:effectExtent l="0" t="0" r="0" b="0"/>
              <wp:wrapNone/>
              <wp:docPr id="32" name="任意多边形 32"/>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794.6pt;height:0.5pt;width:462.25pt;mso-position-horizontal-relative:page;mso-position-vertical-relative:page;z-index:251668480;mso-width-relative:page;mso-height-relative:page;" fillcolor="#000000" filled="t" stroked="f" coordsize="9245,10" o:allowincell="f" o:gfxdata="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GmbzZAAAADgEA&#10;AA8AAAAAAAAAAQAgAAAAIgAAAGRycy9kb3ducmV2LnhtbFBLAQIUABQAAAAIAIdO4kDZfpM+GQIA&#10;AHsEAAAOAAAAAAAAAAEAIAAAACgBAABkcnMvZTJvRG9jLnhtbFBLBQYAAAAABgAGAFkBAACzBQAA&#10;AAA=&#10;" path="m0,9l9244,9,9244,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36</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973C">
    <w:pPr>
      <w:spacing w:before="87" w:line="168" w:lineRule="auto"/>
      <w:ind w:left="4352"/>
      <w:rPr>
        <w:rFonts w:ascii="楷体" w:hAnsi="楷体" w:eastAsia="楷体" w:cs="楷体"/>
        <w:sz w:val="18"/>
        <w:szCs w:val="18"/>
      </w:rPr>
    </w:pPr>
    <w:r>
      <mc:AlternateContent>
        <mc:Choice Requires="wps">
          <w:drawing>
            <wp:anchor distT="0" distB="0" distL="114300" distR="114300" simplePos="0" relativeHeight="251669504" behindDoc="0" locked="0" layoutInCell="0" allowOverlap="1">
              <wp:simplePos x="0" y="0"/>
              <wp:positionH relativeFrom="page">
                <wp:posOffset>990600</wp:posOffset>
              </wp:positionH>
              <wp:positionV relativeFrom="page">
                <wp:posOffset>10091420</wp:posOffset>
              </wp:positionV>
              <wp:extent cx="5869940" cy="6350"/>
              <wp:effectExtent l="0" t="0" r="0" b="0"/>
              <wp:wrapNone/>
              <wp:docPr id="35" name="任意多边形 35"/>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794.6pt;height:0.5pt;width:462.2pt;mso-position-horizontal-relative:page;mso-position-vertical-relative:page;z-index:251669504;mso-width-relative:page;mso-height-relative:page;" fillcolor="#000000" filled="t" stroked="f" coordsize="9244,10" o:allowincell="f" o:gfxdata="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BFMvdkAAAAOAQAA&#10;DwAAAAAAAAABACAAAAAiAAAAZHJzL2Rvd25yZXYueG1sUEsBAhQAFAAAAAgAh07iQNUUz8MYAgAA&#10;ewQAAA4AAAAAAAAAAQAgAAAAKAEAAGRycy9lMm9Eb2MueG1sUEsFBgAAAAAGAAYAWQEAALIFAAAA&#10;AA==&#10;" path="m0,9l9243,9,9243,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A23B">
    <w:pPr>
      <w:spacing w:before="87" w:line="168" w:lineRule="auto"/>
      <w:ind w:left="4436"/>
      <w:rPr>
        <w:rFonts w:ascii="楷体" w:hAnsi="楷体" w:eastAsia="楷体" w:cs="楷体"/>
        <w:sz w:val="18"/>
        <w:szCs w:val="18"/>
      </w:rPr>
    </w:pPr>
    <w:r>
      <mc:AlternateContent>
        <mc:Choice Requires="wps">
          <w:drawing>
            <wp:anchor distT="0" distB="0" distL="114300" distR="114300" simplePos="0" relativeHeight="251670528" behindDoc="0" locked="0" layoutInCell="0" allowOverlap="1">
              <wp:simplePos x="0" y="0"/>
              <wp:positionH relativeFrom="page">
                <wp:posOffset>990600</wp:posOffset>
              </wp:positionH>
              <wp:positionV relativeFrom="page">
                <wp:posOffset>10091420</wp:posOffset>
              </wp:positionV>
              <wp:extent cx="5869940" cy="6350"/>
              <wp:effectExtent l="0" t="0" r="0" b="0"/>
              <wp:wrapNone/>
              <wp:docPr id="26" name="任意多边形 26"/>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794.6pt;height:0.5pt;width:462.2pt;mso-position-horizontal-relative:page;mso-position-vertical-relative:page;z-index:251670528;mso-width-relative:page;mso-height-relative:page;" fillcolor="#000000" filled="t" stroked="f" coordsize="9244,10" o:allowincell="f" o:gfxdata="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wRTL3ZAAAADgEA&#10;AA8AAAAAAAAAAQAgAAAAIgAAAGRycy9kb3ducmV2LnhtbFBLAQIUABQAAAAIAIdO4kB8jl2LGQIA&#10;AHsEAAAOAAAAAAAAAAEAIAAAACgBAABkcnMvZTJvRG9jLnhtbFBLBQYAAAAABgAGAFkBAACzBQAA&#10;AAA=&#10;" path="m0,9l9243,9,9243,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2"/>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2"/>
        <w:sz w:val="18"/>
        <w:szCs w:val="18"/>
      </w:rPr>
      <w:t xml:space="preserve">  </w:t>
    </w:r>
    <w:r>
      <w:rPr>
        <w:rFonts w:ascii="楷体" w:hAnsi="楷体" w:eastAsia="楷体" w:cs="楷体"/>
        <w:spacing w:val="-4"/>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8B6B">
    <w:pPr>
      <w:spacing w:before="92" w:line="162" w:lineRule="auto"/>
      <w:ind w:left="6988"/>
      <w:rPr>
        <w:rFonts w:ascii="楷体" w:hAnsi="楷体" w:eastAsia="楷体" w:cs="楷体"/>
        <w:sz w:val="18"/>
        <w:szCs w:val="18"/>
      </w:rPr>
    </w:pPr>
    <w:r>
      <mc:AlternateContent>
        <mc:Choice Requires="wps">
          <w:drawing>
            <wp:anchor distT="0" distB="0" distL="114300" distR="114300" simplePos="0" relativeHeight="251671552" behindDoc="0" locked="0" layoutInCell="0" allowOverlap="1">
              <wp:simplePos x="0" y="0"/>
              <wp:positionH relativeFrom="page">
                <wp:posOffset>701040</wp:posOffset>
              </wp:positionH>
              <wp:positionV relativeFrom="page">
                <wp:posOffset>6959600</wp:posOffset>
              </wp:positionV>
              <wp:extent cx="9110345" cy="6350"/>
              <wp:effectExtent l="0" t="0" r="0" b="0"/>
              <wp:wrapNone/>
              <wp:docPr id="45" name="任意多边形 45"/>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8pt;height:0.5pt;width:717.35pt;mso-position-horizontal-relative:page;mso-position-vertical-relative:page;z-index:251671552;mso-width-relative:page;mso-height-relative:page;" fillcolor="#000000" filled="t" stroked="f" coordsize="14346,10" o:allowincell="f" o:gfxdata="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koPZAAAADgEAAA8A&#10;AAAAAAAAAQAgAAAAIgAAAGRycy9kb3ducmV2LnhtbFBLAQIUABQAAAAIAIdO4kDF/8hpFgIAAH4E&#10;AAAOAAAAAAAAAAEAIAAAACgBAABkcnMvZTJvRG9jLnhtbFBLBQYAAAAABgAGAFkBAACwBQAAAAA=&#10;" path="m0,9l14346,9,14346,0,0,0,0,9xe">
              <v:fill on="t" focussize="0,0"/>
              <v:stroke on="f"/>
              <v:imagedata o:title=""/>
              <o:lock v:ext="edit" aspectratio="f"/>
            </v:shape>
          </w:pict>
        </mc:Fallback>
      </mc:AlternateContent>
    </w:r>
    <w:r>
      <w:rPr>
        <w:rFonts w:ascii="楷体" w:hAnsi="楷体" w:eastAsia="楷体" w:cs="楷体"/>
        <w:spacing w:val="-4"/>
        <w:sz w:val="18"/>
        <w:szCs w:val="18"/>
      </w:rPr>
      <w:t>-</w:t>
    </w:r>
    <w:r>
      <w:rPr>
        <w:rFonts w:ascii="楷体" w:hAnsi="楷体" w:eastAsia="楷体" w:cs="楷体"/>
        <w:spacing w:val="13"/>
        <w:sz w:val="18"/>
        <w:szCs w:val="18"/>
      </w:rPr>
      <w:t xml:space="preserve"> </w:t>
    </w:r>
    <w:r>
      <w:rPr>
        <w:rFonts w:ascii="Calibri" w:hAnsi="Calibri" w:eastAsia="Calibri" w:cs="Calibri"/>
        <w:spacing w:val="-4"/>
        <w:sz w:val="18"/>
        <w:szCs w:val="18"/>
      </w:rPr>
      <w:t>50</w:t>
    </w:r>
    <w:r>
      <w:rPr>
        <w:rFonts w:ascii="Calibri" w:hAnsi="Calibri" w:eastAsia="Calibri" w:cs="Calibri"/>
        <w:spacing w:val="5"/>
        <w:sz w:val="18"/>
        <w:szCs w:val="18"/>
      </w:rPr>
      <w:t xml:space="preserve">  </w:t>
    </w:r>
    <w:r>
      <w:rPr>
        <w:rFonts w:ascii="楷体" w:hAnsi="楷体" w:eastAsia="楷体" w:cs="楷体"/>
        <w:spacing w:val="-4"/>
        <w:sz w:val="18"/>
        <w:szCs w:val="1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437B3">
    <w:pPr>
      <w:spacing w:before="18" w:line="221" w:lineRule="auto"/>
      <w:ind w:left="806"/>
      <w:rPr>
        <w:rFonts w:ascii="宋体" w:hAnsi="宋体" w:eastAsia="宋体" w:cs="宋体"/>
        <w:sz w:val="21"/>
        <w:szCs w:val="21"/>
      </w:rPr>
    </w:pPr>
    <w:r>
      <mc:AlternateContent>
        <mc:Choice Requires="wps">
          <w:drawing>
            <wp:anchor distT="0" distB="0" distL="114300" distR="114300" simplePos="0" relativeHeight="251681792" behindDoc="0" locked="0" layoutInCell="0" allowOverlap="1">
              <wp:simplePos x="0" y="0"/>
              <wp:positionH relativeFrom="page">
                <wp:posOffset>701040</wp:posOffset>
              </wp:positionH>
              <wp:positionV relativeFrom="page">
                <wp:posOffset>802640</wp:posOffset>
              </wp:positionV>
              <wp:extent cx="5870575" cy="9525"/>
              <wp:effectExtent l="0" t="0" r="0" b="0"/>
              <wp:wrapNone/>
              <wp:docPr id="56" name="任意多边形 56"/>
              <wp:cNvGraphicFramePr/>
              <a:graphic xmlns:a="http://schemas.openxmlformats.org/drawingml/2006/main">
                <a:graphicData uri="http://schemas.microsoft.com/office/word/2010/wordprocessingShape">
                  <wps:wsp>
                    <wps:cNvSpPr/>
                    <wps:spPr>
                      <a:xfrm>
                        <a:off x="0" y="0"/>
                        <a:ext cx="5870575" cy="9525"/>
                      </a:xfrm>
                      <a:custGeom>
                        <a:avLst/>
                        <a:gdLst/>
                        <a:ahLst/>
                        <a:cxnLst/>
                        <a:pathLst>
                          <a:path w="9245" h="15">
                            <a:moveTo>
                              <a:pt x="0" y="14"/>
                            </a:moveTo>
                            <a:lnTo>
                              <a:pt x="9244" y="14"/>
                            </a:lnTo>
                            <a:lnTo>
                              <a:pt x="9244"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63.2pt;height:0.75pt;width:462.25pt;mso-position-horizontal-relative:page;mso-position-vertical-relative:page;z-index:251681792;mso-width-relative:page;mso-height-relative:page;" fillcolor="#000000" filled="t" stroked="f" coordsize="9245,15" o:allowincell="f" o:gfxdata="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E+ut1wAAAAwBAAAPAAAA&#10;AAAAAAEAIAAAACIAAABkcnMvZG93bnJldi54bWxQSwECFAAUAAAACACHTuJA5hNZVxYCAAB+BAAA&#10;DgAAAAAAAAABACAAAAAmAQAAZHJzL2Uyb0RvYy54bWxQSwUGAAAAAAYABgBZAQAArgUAAAAA&#10;" path="m0,14l9244,14,9244,0,0,0,0,14xe">
              <v:fill on="t" focussize="0,0"/>
              <v:stroke on="f"/>
              <v:imagedata o:title=""/>
              <o:lock v:ext="edit" aspectratio="f"/>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C431">
    <w:pPr>
      <w:spacing w:before="18" w:line="221" w:lineRule="auto"/>
      <w:ind w:left="3410"/>
      <w:rPr>
        <w:rFonts w:ascii="宋体" w:hAnsi="宋体" w:eastAsia="宋体" w:cs="宋体"/>
        <w:sz w:val="21"/>
        <w:szCs w:val="21"/>
      </w:rPr>
    </w:pPr>
    <w:r>
      <mc:AlternateContent>
        <mc:Choice Requires="wps">
          <w:drawing>
            <wp:anchor distT="0" distB="0" distL="114300" distR="114300" simplePos="0" relativeHeight="251674624"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49" name="任意多边形 49"/>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4624;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jKZrbXAAAADAEAAA8A&#10;AAAAAAAAAQAgAAAAIgAAAGRycy9kb3ducmV2LnhtbFBLAQIUABQAAAAIAIdO4kAMtg9WGAIAAH4E&#10;AAAOAAAAAAAAAAEAIAAAACYBAABkcnMvZTJvRG9jLnhtbFBLBQYAAAAABgAGAFkBAACwBQAAAAA=&#10;" path="m0,9l14346,9,14346,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A1934">
    <w:pPr>
      <w:spacing w:before="18" w:line="221" w:lineRule="auto"/>
      <w:ind w:left="3431"/>
      <w:rPr>
        <w:rFonts w:ascii="宋体" w:hAnsi="宋体" w:eastAsia="宋体" w:cs="宋体"/>
        <w:sz w:val="21"/>
        <w:szCs w:val="21"/>
      </w:rPr>
    </w:pPr>
    <w:r>
      <mc:AlternateContent>
        <mc:Choice Requires="wps">
          <w:drawing>
            <wp:anchor distT="0" distB="0" distL="114300" distR="114300" simplePos="0" relativeHeight="251676672"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46" name="任意多边形 46"/>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6672;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yma21wAAAAwBAAAPAAAA&#10;AAAAAAEAIAAAACIAAABkcnMvZG93bnJldi54bWxQSwECFAAUAAAACACHTuJAJ2zlEBYCAAB+BAAA&#10;DgAAAAAAAAABACAAAAAmAQAAZHJzL2Uyb0RvYy54bWxQSwUGAAAAAAYABgBZAQAArgUAAAAA&#10;" path="m0,9l14346,9,14346,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8"/>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4"/>
        <w:sz w:val="21"/>
        <w:szCs w:val="21"/>
      </w:rPr>
      <w:t xml:space="preserve"> </w:t>
    </w:r>
    <w:r>
      <w:rPr>
        <w:rFonts w:ascii="宋体" w:hAnsi="宋体" w:eastAsia="宋体" w:cs="宋体"/>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FBE9C">
    <w:pPr>
      <w:spacing w:before="18" w:line="221" w:lineRule="auto"/>
      <w:ind w:left="3431"/>
      <w:rPr>
        <w:rFonts w:ascii="宋体" w:hAnsi="宋体" w:eastAsia="宋体" w:cs="宋体"/>
        <w:sz w:val="21"/>
        <w:szCs w:val="21"/>
      </w:rPr>
    </w:pPr>
    <w:r>
      <mc:AlternateContent>
        <mc:Choice Requires="wps">
          <w:drawing>
            <wp:anchor distT="0" distB="0" distL="114300" distR="114300" simplePos="0" relativeHeight="251678720"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40" name="任意多边形 40"/>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8720;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yma21wAAAAwBAAAPAAAA&#10;AAAAAAEAIAAAACIAAABkcnMvZG93bnJldi54bWxQSwECFAAUAAAACACHTuJA40u+4hYCAAB+BAAA&#10;DgAAAAAAAAABACAAAAAmAQAAZHJzL2Uyb0RvYy54bWxQSwUGAAAAAAYABgBZAQAArgUAAAAA&#10;" path="m0,9l14346,9,14346,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108E5">
    <w:pPr>
      <w:spacing w:before="18" w:line="221" w:lineRule="auto"/>
      <w:ind w:left="3431"/>
      <w:rPr>
        <w:rFonts w:ascii="宋体" w:hAnsi="宋体" w:eastAsia="宋体" w:cs="宋体"/>
        <w:sz w:val="21"/>
        <w:szCs w:val="21"/>
      </w:rPr>
    </w:pPr>
    <w:r>
      <mc:AlternateContent>
        <mc:Choice Requires="wps">
          <w:drawing>
            <wp:anchor distT="0" distB="0" distL="114300" distR="114300" simplePos="0" relativeHeight="251676672"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41" name="任意多边形 41"/>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6672;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pmttcAAAAMAQAADwAA&#10;AAAAAAABACAAAAAiAAAAZHJzL2Rvd25yZXYueG1sUEsBAhQAFAAAAAgAh07iQII4inwXAgAAfgQA&#10;AA4AAAAAAAAAAQAgAAAAJgEAAGRycy9lMm9Eb2MueG1sUEsFBgAAAAAGAAYAWQEAAK8FAAAAAA==&#10;" path="m0,9l14346,9,14346,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8"/>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4"/>
        <w:sz w:val="21"/>
        <w:szCs w:val="21"/>
      </w:rPr>
      <w:t xml:space="preserve"> </w:t>
    </w:r>
    <w:r>
      <w:rPr>
        <w:rFonts w:ascii="宋体" w:hAnsi="宋体" w:eastAsia="宋体" w:cs="宋体"/>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8331">
    <w:pPr>
      <w:spacing w:before="18" w:line="221" w:lineRule="auto"/>
      <w:ind w:left="3431"/>
      <w:rPr>
        <w:rFonts w:ascii="宋体" w:hAnsi="宋体" w:eastAsia="宋体" w:cs="宋体"/>
        <w:sz w:val="21"/>
        <w:szCs w:val="21"/>
      </w:rPr>
    </w:pPr>
    <w:r>
      <mc:AlternateContent>
        <mc:Choice Requires="wps">
          <w:drawing>
            <wp:anchor distT="0" distB="0" distL="114300" distR="114300" simplePos="0" relativeHeight="251678720"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48" name="任意多边形 48"/>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8720;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pmttcAAAAMAQAADwAA&#10;AAAAAAABACAAAAAiAAAAZHJzL2Rvd25yZXYueG1sUEsBAhQAFAAAAAgAh07iQG3FO8gXAgAAfgQA&#10;AA4AAAAAAAAAAQAgAAAAJgEAAGRycy9lMm9Eb2MueG1sUEsFBgAAAAAGAAYAWQEAAK8FAAAAAA==&#10;" path="m0,9l14346,9,14346,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D5FB">
    <w:pPr>
      <w:pStyle w:val="9"/>
      <w:pBdr>
        <w:bottom w:val="none" w:color="auto" w:sz="0" w:space="0"/>
      </w:pBdr>
      <w:rPr>
        <w:rFonts w:eastAsia="宋体"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1AF6">
    <w:pPr>
      <w:spacing w:before="18" w:line="221" w:lineRule="auto"/>
      <w:ind w:left="796"/>
      <w:rPr>
        <w:rFonts w:ascii="宋体" w:hAnsi="宋体" w:eastAsia="宋体" w:cs="宋体"/>
        <w:sz w:val="21"/>
        <w:szCs w:val="21"/>
      </w:rPr>
    </w:pPr>
    <w:r>
      <mc:AlternateContent>
        <mc:Choice Requires="wps">
          <w:drawing>
            <wp:anchor distT="0" distB="0" distL="114300" distR="114300" simplePos="0" relativeHeight="251663360" behindDoc="0" locked="0" layoutInCell="0" allowOverlap="1">
              <wp:simplePos x="0" y="0"/>
              <wp:positionH relativeFrom="page">
                <wp:posOffset>701040</wp:posOffset>
              </wp:positionH>
              <wp:positionV relativeFrom="page">
                <wp:posOffset>693420</wp:posOffset>
              </wp:positionV>
              <wp:extent cx="5870575" cy="6350"/>
              <wp:effectExtent l="0" t="0" r="0" b="0"/>
              <wp:wrapNone/>
              <wp:docPr id="22" name="任意多边形 22"/>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462.25pt;mso-position-horizontal-relative:page;mso-position-vertical-relative:page;z-index:251663360;mso-width-relative:page;mso-height-relative:page;" fillcolor="#000000" filled="t" stroked="f" coordsize="9245,10" o:allowincell="f" o:gfxdata="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XTWE1wAAAAwBAAAP&#10;AAAAAAAAAAEAIAAAACIAAABkcnMvZG93bnJldi54bWxQSwECFAAUAAAACACHTuJAqUUg3RkCAAB7&#10;BAAADgAAAAAAAAABACAAAAAmAQAAZHJzL2Uyb0RvYy54bWxQSwUGAAAAAAYABgBZAQAAsQUAAAAA&#10;" path="m0,9l9244,9,9244,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pacing w:val="-1"/>
        <w:sz w:val="21"/>
        <w:szCs w:val="21"/>
      </w:rPr>
      <w:t>8</w:t>
    </w:r>
    <w:r>
      <w:rPr>
        <w:rFonts w:ascii="宋体" w:hAnsi="宋体" w:eastAsia="宋体" w:cs="宋体"/>
        <w:spacing w:val="-41"/>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2FFF5">
    <w:pPr>
      <w:spacing w:before="18" w:line="221" w:lineRule="auto"/>
      <w:ind w:left="858"/>
      <w:rPr>
        <w:rFonts w:ascii="宋体" w:hAnsi="宋体" w:eastAsia="宋体" w:cs="宋体"/>
        <w:sz w:val="21"/>
        <w:szCs w:val="21"/>
      </w:rPr>
    </w:pPr>
    <w:r>
      <mc:AlternateContent>
        <mc:Choice Requires="wps">
          <w:drawing>
            <wp:anchor distT="0" distB="0" distL="114300" distR="114300" simplePos="0" relativeHeight="251661312" behindDoc="0" locked="0" layoutInCell="0" allowOverlap="1">
              <wp:simplePos x="0" y="0"/>
              <wp:positionH relativeFrom="page">
                <wp:posOffset>990600</wp:posOffset>
              </wp:positionH>
              <wp:positionV relativeFrom="page">
                <wp:posOffset>693420</wp:posOffset>
              </wp:positionV>
              <wp:extent cx="5869940" cy="635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54.6pt;height:0.5pt;width:462.2pt;mso-position-horizontal-relative:page;mso-position-vertical-relative:page;z-index:251661312;mso-width-relative:page;mso-height-relative:page;" fillcolor="#000000" filled="t" stroked="f" coordsize="9244,10" o:allowincell="f" o:gfxdata="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Rq6VjXAAAADAEAAA8A&#10;AAAAAAAAAQAgAAAAIgAAAGRycy9kb3ducmV2LnhtbFBLAQIUABQAAAAIAIdO4kCKwFkxGAIAAHsE&#10;AAAOAAAAAAAAAAEAIAAAACYBAABkcnMvZTJvRG9jLnhtbFBLBQYAAAAABgAGAFkBAACwBQAAAAA=&#10;" path="m0,9l9243,9,9243,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2"/>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6CE9D">
    <w:pPr>
      <w:spacing w:before="18" w:line="221" w:lineRule="auto"/>
      <w:ind w:left="859"/>
      <w:rPr>
        <w:rFonts w:ascii="宋体" w:hAnsi="宋体" w:eastAsia="宋体" w:cs="宋体"/>
        <w:sz w:val="21"/>
        <w:szCs w:val="21"/>
      </w:rPr>
    </w:pPr>
    <w:r>
      <mc:AlternateContent>
        <mc:Choice Requires="wps">
          <w:drawing>
            <wp:anchor distT="0" distB="0" distL="114300" distR="114300" simplePos="0" relativeHeight="251660288" behindDoc="0" locked="0" layoutInCell="0" allowOverlap="1">
              <wp:simplePos x="0" y="0"/>
              <wp:positionH relativeFrom="page">
                <wp:posOffset>701040</wp:posOffset>
              </wp:positionH>
              <wp:positionV relativeFrom="page">
                <wp:posOffset>693420</wp:posOffset>
              </wp:positionV>
              <wp:extent cx="5870575" cy="6350"/>
              <wp:effectExtent l="0" t="0" r="0" b="0"/>
              <wp:wrapNone/>
              <wp:docPr id="34" name="任意多边形 34"/>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462.25pt;mso-position-horizontal-relative:page;mso-position-vertical-relative:page;z-index:251660288;mso-width-relative:page;mso-height-relative:page;" fillcolor="#000000" filled="t" stroked="f" coordsize="9245,10" o:allowincell="f" o:gfxdata="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XTWE1wAAAAwBAAAP&#10;AAAAAAAAAAEAIAAAACIAAABkcnMvZG93bnJldi54bWxQSwECFAAUAAAACACHTuJAKjuhsxkCAAB7&#10;BAAADgAAAAAAAAABACAAAAAmAQAAZHJzL2Uyb0RvYy54bWxQSwUGAAAAAAYABgBZAQAAsQUAAAAA&#10;" path="m0,9l9244,9,9244,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C4A74">
    <w:pPr>
      <w:spacing w:before="18" w:line="221" w:lineRule="auto"/>
      <w:ind w:left="858"/>
      <w:rPr>
        <w:rFonts w:ascii="宋体" w:hAnsi="宋体" w:eastAsia="宋体" w:cs="宋体"/>
        <w:sz w:val="21"/>
        <w:szCs w:val="21"/>
      </w:rPr>
    </w:pPr>
    <w:r>
      <mc:AlternateContent>
        <mc:Choice Requires="wps">
          <w:drawing>
            <wp:anchor distT="0" distB="0" distL="114300" distR="114300" simplePos="0" relativeHeight="251661312" behindDoc="0" locked="0" layoutInCell="0" allowOverlap="1">
              <wp:simplePos x="0" y="0"/>
              <wp:positionH relativeFrom="page">
                <wp:posOffset>990600</wp:posOffset>
              </wp:positionH>
              <wp:positionV relativeFrom="page">
                <wp:posOffset>693420</wp:posOffset>
              </wp:positionV>
              <wp:extent cx="5869940" cy="6350"/>
              <wp:effectExtent l="0" t="0" r="0" b="0"/>
              <wp:wrapNone/>
              <wp:docPr id="29" name="任意多边形 29"/>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54.6pt;height:0.5pt;width:462.2pt;mso-position-horizontal-relative:page;mso-position-vertical-relative:page;z-index:251661312;mso-width-relative:page;mso-height-relative:page;" fillcolor="#000000" filled="t" stroked="f" coordsize="9244,10" o:allowincell="f" o:gfxdata="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rpWNcAAAAMAQAA&#10;DwAAAAAAAAABACAAAAAiAAAAZHJzL2Rvd25yZXYueG1sUEsBAhQAFAAAAAgAh07iQAKiaeEaAgAA&#10;ewQAAA4AAAAAAAAAAQAgAAAAJgEAAGRycy9lMm9Eb2MueG1sUEsFBgAAAAAGAAYAWQEAALIFAAAA&#10;AA==&#10;" path="m0,9l9243,9,9243,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2"/>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5CD5">
    <w:pPr>
      <w:spacing w:before="18" w:line="221" w:lineRule="auto"/>
      <w:ind w:left="859"/>
      <w:rPr>
        <w:rFonts w:ascii="宋体" w:hAnsi="宋体" w:eastAsia="宋体" w:cs="宋体"/>
        <w:sz w:val="21"/>
        <w:szCs w:val="21"/>
      </w:rPr>
    </w:pPr>
    <w:r>
      <mc:AlternateContent>
        <mc:Choice Requires="wps">
          <w:drawing>
            <wp:anchor distT="0" distB="0" distL="114300" distR="114300" simplePos="0" relativeHeight="251660288" behindDoc="0" locked="0" layoutInCell="0" allowOverlap="1">
              <wp:simplePos x="0" y="0"/>
              <wp:positionH relativeFrom="page">
                <wp:posOffset>701040</wp:posOffset>
              </wp:positionH>
              <wp:positionV relativeFrom="page">
                <wp:posOffset>693420</wp:posOffset>
              </wp:positionV>
              <wp:extent cx="5870575" cy="6350"/>
              <wp:effectExtent l="0" t="0" r="0" b="0"/>
              <wp:wrapNone/>
              <wp:docPr id="36" name="任意多边形 36"/>
              <wp:cNvGraphicFramePr/>
              <a:graphic xmlns:a="http://schemas.openxmlformats.org/drawingml/2006/main">
                <a:graphicData uri="http://schemas.microsoft.com/office/word/2010/wordprocessingShape">
                  <wps:wsp>
                    <wps:cNvSpPr/>
                    <wps:spPr>
                      <a:xfrm>
                        <a:off x="0" y="0"/>
                        <a:ext cx="5870575" cy="6350"/>
                      </a:xfrm>
                      <a:custGeom>
                        <a:avLst/>
                        <a:gdLst/>
                        <a:ahLst/>
                        <a:cxnLst/>
                        <a:pathLst>
                          <a:path w="9245" h="10">
                            <a:moveTo>
                              <a:pt x="0" y="9"/>
                            </a:moveTo>
                            <a:lnTo>
                              <a:pt x="9244" y="9"/>
                            </a:lnTo>
                            <a:lnTo>
                              <a:pt x="9244"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462.25pt;mso-position-horizontal-relative:page;mso-position-vertical-relative:page;z-index:251660288;mso-width-relative:page;mso-height-relative:page;" fillcolor="#000000" filled="t" stroked="f" coordsize="9245,10" o:allowincell="f" o:gfxdata="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XTWE1wAAAAwBAAAP&#10;AAAAAAAAAAEAIAAAACIAAABkcnMvZG93bnJldi54bWxQSwECFAAUAAAACACHTuJAe/iwyBkCAAB7&#10;BAAADgAAAAAAAAABACAAAAAmAQAAZHJzL2Uyb0RvYy54bWxQSwUGAAAAAAYABgBZAQAAsQUAAAAA&#10;" path="m0,9l9244,9,9244,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C2CC">
    <w:pPr>
      <w:spacing w:before="18" w:line="221" w:lineRule="auto"/>
      <w:ind w:left="774"/>
      <w:rPr>
        <w:rFonts w:ascii="宋体" w:hAnsi="宋体" w:eastAsia="宋体" w:cs="宋体"/>
        <w:sz w:val="21"/>
        <w:szCs w:val="21"/>
      </w:rPr>
    </w:pPr>
    <w:r>
      <mc:AlternateContent>
        <mc:Choice Requires="wps">
          <w:drawing>
            <wp:anchor distT="0" distB="0" distL="114300" distR="114300" simplePos="0" relativeHeight="251659264" behindDoc="0" locked="0" layoutInCell="0" allowOverlap="1">
              <wp:simplePos x="0" y="0"/>
              <wp:positionH relativeFrom="page">
                <wp:posOffset>990600</wp:posOffset>
              </wp:positionH>
              <wp:positionV relativeFrom="page">
                <wp:posOffset>693420</wp:posOffset>
              </wp:positionV>
              <wp:extent cx="5869940" cy="6350"/>
              <wp:effectExtent l="0" t="0" r="0" b="0"/>
              <wp:wrapNone/>
              <wp:docPr id="33" name="任意多边形 33"/>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54.6pt;height:0.5pt;width:462.2pt;mso-position-horizontal-relative:page;mso-position-vertical-relative:page;z-index:251659264;mso-width-relative:page;mso-height-relative:page;" fillcolor="#000000" filled="t" stroked="f" coordsize="9244,10" o:allowincell="f" o:gfxdata="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rpWNcAAAAMAQAADwAA&#10;AAAAAAABACAAAAAiAAAAZHJzL2Rvd25yZXYueG1sUEsBAhQAFAAAAAgAh07iQCZR/U4XAgAAewQA&#10;AA4AAAAAAAAAAQAgAAAAJgEAAGRycy9lMm9Eb2MueG1sUEsFBgAAAAAGAAYAWQEAAK8FAAAAAA==&#10;" path="m0,9l9243,9,9243,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2"/>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B2ED4">
    <w:pPr>
      <w:spacing w:before="18" w:line="221" w:lineRule="auto"/>
      <w:ind w:left="880"/>
      <w:rPr>
        <w:rFonts w:ascii="宋体" w:hAnsi="宋体" w:eastAsia="宋体" w:cs="宋体"/>
        <w:sz w:val="21"/>
        <w:szCs w:val="21"/>
      </w:rPr>
    </w:pPr>
    <w:r>
      <mc:AlternateContent>
        <mc:Choice Requires="wps">
          <w:drawing>
            <wp:anchor distT="0" distB="0" distL="114300" distR="114300" simplePos="0" relativeHeight="251662336" behindDoc="0" locked="0" layoutInCell="0" allowOverlap="1">
              <wp:simplePos x="0" y="0"/>
              <wp:positionH relativeFrom="page">
                <wp:posOffset>990600</wp:posOffset>
              </wp:positionH>
              <wp:positionV relativeFrom="page">
                <wp:posOffset>693420</wp:posOffset>
              </wp:positionV>
              <wp:extent cx="5869940" cy="6350"/>
              <wp:effectExtent l="0" t="0" r="0" b="0"/>
              <wp:wrapNone/>
              <wp:docPr id="30" name="任意多边形 30"/>
              <wp:cNvGraphicFramePr/>
              <a:graphic xmlns:a="http://schemas.openxmlformats.org/drawingml/2006/main">
                <a:graphicData uri="http://schemas.microsoft.com/office/word/2010/wordprocessingShape">
                  <wps:wsp>
                    <wps:cNvSpPr/>
                    <wps:spPr>
                      <a:xfrm>
                        <a:off x="0" y="0"/>
                        <a:ext cx="5869940" cy="6350"/>
                      </a:xfrm>
                      <a:custGeom>
                        <a:avLst/>
                        <a:gdLst/>
                        <a:ahLst/>
                        <a:cxnLst/>
                        <a:pathLst>
                          <a:path w="9244" h="10">
                            <a:moveTo>
                              <a:pt x="0" y="9"/>
                            </a:moveTo>
                            <a:lnTo>
                              <a:pt x="9243" y="9"/>
                            </a:lnTo>
                            <a:lnTo>
                              <a:pt x="9243"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pt;margin-top:54.6pt;height:0.5pt;width:462.2pt;mso-position-horizontal-relative:page;mso-position-vertical-relative:page;z-index:251662336;mso-width-relative:page;mso-height-relative:page;" fillcolor="#000000" filled="t" stroked="f" coordsize="9244,10" o:allowincell="f" o:gfxdata="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rpWNcAAAAMAQAADwAA&#10;AAAAAAABACAAAAAiAAAAZHJzL2Rvd25yZXYueG1sUEsBAhQAFAAAAAgAh07iQP/w3OUXAgAAewQA&#10;AA4AAAAAAAAAAQAgAAAAJgEAAGRycy9lMm9Eb2MueG1sUEsFBgAAAAAGAAYAWQEAAK8FAAAAAA==&#10;" path="m0,9l9243,9,9243,0,0,0,0,9xe">
              <v:fill on="t" focussize="0,0"/>
              <v:stroke on="f"/>
              <v:imagedata o:title=""/>
              <o:lock v:ext="edit" aspectratio="f"/>
            </v:shape>
          </w:pict>
        </mc:Fallback>
      </mc:AlternateContent>
    </w:r>
    <w:r>
      <w:rPr>
        <w:rFonts w:ascii="宋体" w:hAnsi="宋体" w:eastAsia="宋体" w:cs="宋体"/>
        <w:spacing w:val="-1"/>
        <w:sz w:val="21"/>
        <w:szCs w:val="21"/>
      </w:rPr>
      <w:t>年产</w:t>
    </w:r>
    <w:r>
      <w:rPr>
        <w:rFonts w:ascii="宋体" w:hAnsi="宋体" w:eastAsia="宋体" w:cs="宋体"/>
        <w:spacing w:val="-40"/>
        <w:sz w:val="21"/>
        <w:szCs w:val="21"/>
      </w:rPr>
      <w:t xml:space="preserve"> </w:t>
    </w:r>
    <w:r>
      <w:rPr>
        <w:rFonts w:ascii="宋体" w:hAnsi="宋体" w:eastAsia="宋体" w:cs="宋体"/>
        <w:spacing w:val="-1"/>
        <w:sz w:val="21"/>
        <w:szCs w:val="21"/>
      </w:rPr>
      <w:t>30</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万吨超纯电子化学品项目（一期年产</w:t>
    </w:r>
    <w:r>
      <w:rPr>
        <w:rFonts w:ascii="宋体" w:hAnsi="宋体" w:eastAsia="宋体" w:cs="宋体"/>
        <w:spacing w:val="-42"/>
        <w:sz w:val="21"/>
        <w:szCs w:val="21"/>
      </w:rPr>
      <w:t xml:space="preserve"> </w:t>
    </w:r>
    <w:r>
      <w:rPr>
        <w:rFonts w:ascii="宋体" w:hAnsi="宋体" w:eastAsia="宋体" w:cs="宋体"/>
        <w:spacing w:val="-1"/>
        <w:sz w:val="21"/>
        <w:szCs w:val="21"/>
      </w:rPr>
      <w:t>8</w:t>
    </w:r>
    <w:r>
      <w:rPr>
        <w:rFonts w:ascii="宋体" w:hAnsi="宋体" w:eastAsia="宋体" w:cs="宋体"/>
        <w:spacing w:val="-42"/>
        <w:sz w:val="21"/>
        <w:szCs w:val="21"/>
      </w:rPr>
      <w:t xml:space="preserve"> </w:t>
    </w:r>
    <w:r>
      <w:rPr>
        <w:rFonts w:ascii="宋体" w:hAnsi="宋体" w:eastAsia="宋体" w:cs="宋体"/>
        <w:spacing w:val="-1"/>
        <w:sz w:val="21"/>
        <w:szCs w:val="21"/>
      </w:rPr>
      <w:t>万吨</w:t>
    </w:r>
    <w:r>
      <w:rPr>
        <w:rFonts w:ascii="宋体" w:hAnsi="宋体" w:eastAsia="宋体" w:cs="宋体"/>
        <w:spacing w:val="-2"/>
        <w:sz w:val="21"/>
        <w:szCs w:val="21"/>
      </w:rPr>
      <w:t>超纯电子化学品工程）安全专篇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3729C">
    <w:pPr>
      <w:spacing w:before="18" w:line="221" w:lineRule="auto"/>
      <w:ind w:left="3410"/>
      <w:rPr>
        <w:rFonts w:ascii="宋体" w:hAnsi="宋体" w:eastAsia="宋体" w:cs="宋体"/>
        <w:sz w:val="21"/>
        <w:szCs w:val="21"/>
      </w:rPr>
    </w:pPr>
    <w:r>
      <mc:AlternateContent>
        <mc:Choice Requires="wps">
          <w:drawing>
            <wp:anchor distT="0" distB="0" distL="114300" distR="114300" simplePos="0" relativeHeight="251672576" behindDoc="0" locked="0" layoutInCell="0" allowOverlap="1">
              <wp:simplePos x="0" y="0"/>
              <wp:positionH relativeFrom="page">
                <wp:posOffset>701040</wp:posOffset>
              </wp:positionH>
              <wp:positionV relativeFrom="page">
                <wp:posOffset>693420</wp:posOffset>
              </wp:positionV>
              <wp:extent cx="9110345" cy="6350"/>
              <wp:effectExtent l="0" t="0" r="0" b="0"/>
              <wp:wrapNone/>
              <wp:docPr id="39" name="任意多边形 39"/>
              <wp:cNvGraphicFramePr/>
              <a:graphic xmlns:a="http://schemas.openxmlformats.org/drawingml/2006/main">
                <a:graphicData uri="http://schemas.microsoft.com/office/word/2010/wordprocessingShape">
                  <wps:wsp>
                    <wps:cNvSpPr/>
                    <wps:spPr>
                      <a:xfrm>
                        <a:off x="0" y="0"/>
                        <a:ext cx="9110345" cy="6350"/>
                      </a:xfrm>
                      <a:custGeom>
                        <a:avLst/>
                        <a:gdLst/>
                        <a:ahLst/>
                        <a:cxnLst/>
                        <a:pathLst>
                          <a:path w="14346" h="10">
                            <a:moveTo>
                              <a:pt x="0" y="9"/>
                            </a:moveTo>
                            <a:lnTo>
                              <a:pt x="14346" y="9"/>
                            </a:lnTo>
                            <a:lnTo>
                              <a:pt x="14346"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2pt;margin-top:54.6pt;height:0.5pt;width:717.35pt;mso-position-horizontal-relative:page;mso-position-vertical-relative:page;z-index:251672576;mso-width-relative:page;mso-height-relative:page;" fillcolor="#000000" filled="t" stroked="f" coordsize="14346,10" o:allowincell="f" o:gfxdata="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jKZrbXAAAADAEAAA8A&#10;AAAAAAAAAQAgAAAAIgAAAGRycy9kb3ducmV2LnhtbFBLAQIUABQAAAAIAIdO4kA/jt/wGAIAAH4E&#10;AAAOAAAAAAAAAAEAIAAAACYBAABkcnMvZTJvRG9jLnhtbFBLBQYAAAAABgAGAFkBAACwBQAAAAA=&#10;" path="m0,9l14346,9,14346,0,0,0,0,9xe">
              <v:fill on="t" focussize="0,0"/>
              <v:stroke on="f"/>
              <v:imagedata o:title=""/>
              <o:lock v:ext="edit" aspectratio="f"/>
            </v:shape>
          </w:pict>
        </mc:Fallback>
      </mc:AlternateContent>
    </w:r>
    <w:r>
      <w:rPr>
        <w:rFonts w:ascii="宋体" w:hAnsi="宋体" w:eastAsia="宋体" w:cs="宋体"/>
        <w:sz w:val="21"/>
        <w:szCs w:val="21"/>
      </w:rPr>
      <w:t>年产</w:t>
    </w:r>
    <w:r>
      <w:rPr>
        <w:rFonts w:ascii="宋体" w:hAnsi="宋体" w:eastAsia="宋体" w:cs="宋体"/>
        <w:spacing w:val="-39"/>
        <w:sz w:val="21"/>
        <w:szCs w:val="21"/>
      </w:rPr>
      <w:t xml:space="preserve"> </w:t>
    </w:r>
    <w:r>
      <w:rPr>
        <w:rFonts w:ascii="宋体" w:hAnsi="宋体" w:eastAsia="宋体" w:cs="宋体"/>
        <w:sz w:val="21"/>
        <w:szCs w:val="21"/>
      </w:rPr>
      <w:t>30</w:t>
    </w:r>
    <w:r>
      <w:rPr>
        <w:rFonts w:ascii="宋体" w:hAnsi="宋体" w:eastAsia="宋体" w:cs="宋体"/>
        <w:spacing w:val="-39"/>
        <w:sz w:val="21"/>
        <w:szCs w:val="21"/>
      </w:rPr>
      <w:t xml:space="preserve"> </w:t>
    </w:r>
    <w:r>
      <w:rPr>
        <w:rFonts w:ascii="宋体" w:hAnsi="宋体" w:eastAsia="宋体" w:cs="宋体"/>
        <w:sz w:val="21"/>
        <w:szCs w:val="21"/>
      </w:rPr>
      <w:t>万吨超纯电子化学品项目（一期年产</w:t>
    </w:r>
    <w:r>
      <w:rPr>
        <w:rFonts w:ascii="宋体" w:hAnsi="宋体" w:eastAsia="宋体" w:cs="宋体"/>
        <w:spacing w:val="-43"/>
        <w:sz w:val="21"/>
        <w:szCs w:val="21"/>
      </w:rPr>
      <w:t xml:space="preserve"> </w:t>
    </w:r>
    <w:r>
      <w:rPr>
        <w:rFonts w:ascii="宋体" w:hAnsi="宋体" w:eastAsia="宋体" w:cs="宋体"/>
        <w:sz w:val="21"/>
        <w:szCs w:val="21"/>
      </w:rPr>
      <w:t>8</w:t>
    </w:r>
    <w:r>
      <w:rPr>
        <w:rFonts w:ascii="宋体" w:hAnsi="宋体" w:eastAsia="宋体" w:cs="宋体"/>
        <w:spacing w:val="-39"/>
        <w:sz w:val="21"/>
        <w:szCs w:val="21"/>
      </w:rPr>
      <w:t xml:space="preserve"> </w:t>
    </w:r>
    <w:r>
      <w:rPr>
        <w:rFonts w:ascii="宋体" w:hAnsi="宋体" w:eastAsia="宋体" w:cs="宋体"/>
        <w:spacing w:val="-1"/>
        <w:sz w:val="21"/>
        <w:szCs w:val="21"/>
      </w:rPr>
      <w:t>万吨超纯电子化学品工程）安全专篇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BF3EE"/>
    <w:multiLevelType w:val="multilevel"/>
    <w:tmpl w:val="AFEBF3EE"/>
    <w:lvl w:ilvl="0" w:tentative="0">
      <w:start w:val="1"/>
      <w:numFmt w:val="decimal"/>
      <w:lvlText w:val="%1."/>
      <w:lvlJc w:val="left"/>
      <w:pPr>
        <w:ind w:left="425" w:hanging="425"/>
      </w:pPr>
      <w:rPr>
        <w:rFonts w:hint="default"/>
        <w:b/>
        <w:bCs/>
      </w:rPr>
    </w:lvl>
    <w:lvl w:ilvl="1" w:tentative="0">
      <w:start w:val="1"/>
      <w:numFmt w:val="decimal"/>
      <w:lvlText w:val="%1.%2."/>
      <w:lvlJc w:val="left"/>
      <w:pPr>
        <w:ind w:left="567" w:hanging="567"/>
      </w:pPr>
      <w:rPr>
        <w:rFonts w:hint="default"/>
      </w:rPr>
    </w:lvl>
    <w:lvl w:ilvl="2" w:tentative="0">
      <w:start w:val="1"/>
      <w:numFmt w:val="decimal"/>
      <w:suff w:val="nothing"/>
      <w:lvlText w:val="%1.%2.%3."/>
      <w:lvlJc w:val="left"/>
      <w:pPr>
        <w:ind w:left="545" w:leftChars="0" w:hanging="545"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ang">
    <w15:presenceInfo w15:providerId="WPS Office" w15:userId="3491558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mMTYyYTYyNTEyODM2NWU5NTRkZWQ3MTE0YWY1NTEifQ=="/>
  </w:docVars>
  <w:rsids>
    <w:rsidRoot w:val="44D91398"/>
    <w:rsid w:val="06D66948"/>
    <w:rsid w:val="07BF2EF2"/>
    <w:rsid w:val="09B873D3"/>
    <w:rsid w:val="0A040DE2"/>
    <w:rsid w:val="0A121052"/>
    <w:rsid w:val="0C2235AC"/>
    <w:rsid w:val="0C88422A"/>
    <w:rsid w:val="0C98522C"/>
    <w:rsid w:val="1CEC4FD0"/>
    <w:rsid w:val="26EB3291"/>
    <w:rsid w:val="302630E3"/>
    <w:rsid w:val="3A2F660B"/>
    <w:rsid w:val="3B7C1E01"/>
    <w:rsid w:val="430476B2"/>
    <w:rsid w:val="44D91398"/>
    <w:rsid w:val="4E47696B"/>
    <w:rsid w:val="4F7E1BFB"/>
    <w:rsid w:val="50282193"/>
    <w:rsid w:val="5122341E"/>
    <w:rsid w:val="53B54856"/>
    <w:rsid w:val="582C49A8"/>
    <w:rsid w:val="653C7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w:basedOn w:val="1"/>
    <w:uiPriority w:val="0"/>
    <w:pPr>
      <w:spacing w:after="120" w:afterLines="0" w:afterAutospacing="0"/>
    </w:pPr>
  </w:style>
  <w:style w:type="paragraph" w:styleId="7">
    <w:name w:val="toc 3"/>
    <w:basedOn w:val="1"/>
    <w:next w:val="1"/>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toc 2"/>
    <w:basedOn w:val="1"/>
    <w:next w:val="1"/>
    <w:qFormat/>
    <w:uiPriority w:val="0"/>
    <w:pPr>
      <w:ind w:left="420" w:leftChars="200"/>
    </w:pPr>
  </w:style>
  <w:style w:type="paragraph" w:styleId="12">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customStyle="1" w:styleId="17">
    <w:name w:val="p0"/>
    <w:uiPriority w:val="0"/>
    <w:pPr>
      <w:widowControl/>
      <w:jc w:val="both"/>
    </w:pPr>
    <w:rPr>
      <w:rFonts w:ascii="Times New Roman" w:hAnsi="Times New Roman" w:eastAsia="宋体" w:cs="Times New Roman"/>
      <w:kern w:val="0"/>
      <w:sz w:val="21"/>
      <w:szCs w:val="21"/>
      <w:lang w:val="en-US" w:eastAsia="zh-CN" w:bidi="ar-SA"/>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uiPriority w:val="0"/>
    <w:pPr>
      <w:ind w:leftChars="200"/>
    </w:pPr>
    <w:rPr>
      <w:rFonts w:asciiTheme="minorHAnsi" w:hAnsiTheme="minorHAnsi" w:eastAsiaTheme="minorEastAsia" w:cstheme="minorBidi"/>
      <w:sz w:val="20"/>
      <w:szCs w:val="20"/>
    </w:rPr>
  </w:style>
  <w:style w:type="character" w:customStyle="1" w:styleId="20">
    <w:name w:val="正文1"/>
    <w:qFormat/>
    <w:uiPriority w:val="0"/>
    <w:rPr>
      <w:rFonts w:hint="eastAsia" w:ascii="宋体" w:hAnsi="宋体" w:eastAsia="宋体"/>
      <w:sz w:val="22"/>
      <w:szCs w:val="22"/>
    </w:rPr>
  </w:style>
  <w:style w:type="table" w:customStyle="1" w:styleId="21">
    <w:name w:val="Table Normal"/>
    <w:basedOn w:val="13"/>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microsoft.com/office/2011/relationships/people" Target="people.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jpe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1.xml"/><Relationship Id="rId39" Type="http://schemas.openxmlformats.org/officeDocument/2006/relationships/image" Target="media/image6.png"/><Relationship Id="rId38" Type="http://schemas.openxmlformats.org/officeDocument/2006/relationships/image" Target="media/image5.jpeg"/><Relationship Id="rId37" Type="http://schemas.openxmlformats.org/officeDocument/2006/relationships/image" Target="media/image4.jpeg"/><Relationship Id="rId36" Type="http://schemas.openxmlformats.org/officeDocument/2006/relationships/image" Target="media/image3.jpeg"/><Relationship Id="rId35" Type="http://schemas.openxmlformats.org/officeDocument/2006/relationships/image" Target="media/image2.jpe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88429</Words>
  <Characters>95781</Characters>
  <Lines>0</Lines>
  <Paragraphs>0</Paragraphs>
  <TotalTime>7</TotalTime>
  <ScaleCrop>false</ScaleCrop>
  <LinksUpToDate>false</LinksUpToDate>
  <CharactersWithSpaces>97195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2024-08-27T02:21:00Z</dcterms:created>
  <dc:creator>tang</dc:creator>
  <cp:lastModifiedBy>tang</cp:lastModifiedBy>
  <dcterms:modified xsi:type="dcterms:W3CDTF">2024-08-27T06:20:10Z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B00A57784DCE48E5BF921BD126766DAC_11</vt:lpwstr>
  </property>
</Properties>
</file>